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9F92E" w14:textId="77777777" w:rsidR="004E5E6D" w:rsidRPr="00400514" w:rsidRDefault="004E5E6D" w:rsidP="00D36568">
      <w:pPr>
        <w:pStyle w:val="Heading1"/>
      </w:pPr>
      <w:bookmarkStart w:id="0" w:name="_GoBack"/>
      <w:bookmarkEnd w:id="0"/>
      <w:r w:rsidRPr="00883E1C">
        <w:t xml:space="preserve">Информация за </w:t>
      </w:r>
      <w:r w:rsidR="00291D36">
        <w:t>дейността</w:t>
      </w:r>
    </w:p>
    <w:p w14:paraId="15793783" w14:textId="77777777" w:rsidR="004E5E6D" w:rsidRPr="00883E1C" w:rsidRDefault="004E5E6D" w:rsidP="00D36568">
      <w:pPr>
        <w:pStyle w:val="Heading2"/>
      </w:pPr>
      <w:r w:rsidRPr="00883E1C">
        <w:t xml:space="preserve">Кратка информация: </w:t>
      </w:r>
    </w:p>
    <w:p w14:paraId="6653669E" w14:textId="77777777" w:rsidR="0030294A" w:rsidRPr="00E55617" w:rsidRDefault="00DE4232" w:rsidP="00D3656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5617">
        <w:rPr>
          <w:rFonts w:ascii="Times New Roman" w:hAnsi="Times New Roman"/>
          <w:sz w:val="24"/>
          <w:szCs w:val="24"/>
        </w:rPr>
        <w:t>Осигуряване на извънгаранционна поддръжка на специализирания софтуер на Интегрираната информационна система на държавната администрация (ИИСДА)</w:t>
      </w:r>
    </w:p>
    <w:p w14:paraId="2894A6EC" w14:textId="77777777" w:rsidR="00E21FAE" w:rsidRPr="00E55617" w:rsidRDefault="00E21FAE" w:rsidP="00D3656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69D4784F" w14:textId="77777777" w:rsidR="0030294A" w:rsidRPr="00E55617" w:rsidRDefault="0030294A" w:rsidP="00D36568">
      <w:pPr>
        <w:pStyle w:val="Heading2"/>
      </w:pPr>
      <w:bookmarkStart w:id="1" w:name="_Toc26004917"/>
      <w:r w:rsidRPr="00E55617">
        <w:t>Обхват</w:t>
      </w:r>
      <w:bookmarkEnd w:id="1"/>
      <w:r w:rsidR="0003426F" w:rsidRPr="00E55617">
        <w:t>:</w:t>
      </w:r>
    </w:p>
    <w:p w14:paraId="171860F8" w14:textId="3E1BBE06" w:rsidR="004060D1" w:rsidRPr="00E55617" w:rsidRDefault="004060D1" w:rsidP="00E5561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5617">
        <w:rPr>
          <w:rFonts w:ascii="Times New Roman" w:hAnsi="Times New Roman"/>
          <w:sz w:val="24"/>
          <w:szCs w:val="24"/>
        </w:rPr>
        <w:t xml:space="preserve">Изпълнението следва да включва отстраняване на всички грешки и проблеми, </w:t>
      </w:r>
      <w:r w:rsidRPr="00624749">
        <w:rPr>
          <w:rFonts w:ascii="Times New Roman" w:hAnsi="Times New Roman"/>
          <w:sz w:val="24"/>
          <w:szCs w:val="24"/>
        </w:rPr>
        <w:t>пряко или косвено</w:t>
      </w:r>
      <w:r w:rsidRPr="00E55617">
        <w:rPr>
          <w:rFonts w:ascii="Times New Roman" w:hAnsi="Times New Roman"/>
          <w:sz w:val="24"/>
          <w:szCs w:val="24"/>
        </w:rPr>
        <w:t xml:space="preserve"> свързани с</w:t>
      </w:r>
      <w:r w:rsidR="00797EF6">
        <w:rPr>
          <w:rFonts w:ascii="Times New Roman" w:hAnsi="Times New Roman"/>
          <w:sz w:val="24"/>
          <w:szCs w:val="24"/>
        </w:rPr>
        <w:t>ъс специализирания софтуер на</w:t>
      </w:r>
      <w:r w:rsidRPr="00E55617">
        <w:rPr>
          <w:rFonts w:ascii="Times New Roman" w:hAnsi="Times New Roman"/>
          <w:sz w:val="24"/>
          <w:szCs w:val="24"/>
        </w:rPr>
        <w:t xml:space="preserve"> </w:t>
      </w:r>
      <w:r w:rsidR="00DE4232" w:rsidRPr="00E55617">
        <w:rPr>
          <w:rFonts w:ascii="Times New Roman" w:hAnsi="Times New Roman"/>
          <w:sz w:val="24"/>
          <w:szCs w:val="24"/>
        </w:rPr>
        <w:t>Интегрираната информационна система на държавната администрация (ИИСДА)</w:t>
      </w:r>
      <w:r w:rsidRPr="00E55617">
        <w:rPr>
          <w:rFonts w:ascii="Times New Roman" w:hAnsi="Times New Roman"/>
          <w:sz w:val="24"/>
          <w:szCs w:val="24"/>
        </w:rPr>
        <w:t xml:space="preserve"> </w:t>
      </w:r>
      <w:r w:rsidRPr="00E55617">
        <w:rPr>
          <w:rFonts w:ascii="Times New Roman" w:hAnsi="Times New Roman"/>
          <w:b/>
          <w:sz w:val="24"/>
          <w:szCs w:val="24"/>
        </w:rPr>
        <w:t xml:space="preserve">за срок от </w:t>
      </w:r>
      <w:r w:rsidR="00DE4232" w:rsidRPr="00E55617">
        <w:rPr>
          <w:rFonts w:ascii="Times New Roman" w:hAnsi="Times New Roman"/>
          <w:b/>
          <w:sz w:val="24"/>
          <w:szCs w:val="24"/>
        </w:rPr>
        <w:t>1</w:t>
      </w:r>
      <w:r w:rsidRPr="00E55617">
        <w:rPr>
          <w:rFonts w:ascii="Times New Roman" w:hAnsi="Times New Roman"/>
          <w:b/>
          <w:sz w:val="24"/>
          <w:szCs w:val="24"/>
        </w:rPr>
        <w:t>2 месеца</w:t>
      </w:r>
      <w:r w:rsidRPr="00E55617">
        <w:rPr>
          <w:rFonts w:ascii="Times New Roman" w:hAnsi="Times New Roman"/>
          <w:sz w:val="24"/>
          <w:szCs w:val="24"/>
        </w:rPr>
        <w:t>.</w:t>
      </w:r>
    </w:p>
    <w:p w14:paraId="1D4CBDA6" w14:textId="77777777" w:rsidR="008067EA" w:rsidRPr="00E55617" w:rsidRDefault="008067EA" w:rsidP="0003426F">
      <w:pPr>
        <w:spacing w:before="120"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eastAsia="bg-BG"/>
        </w:rPr>
      </w:pPr>
    </w:p>
    <w:p w14:paraId="24143B95" w14:textId="77777777" w:rsidR="004060D1" w:rsidRPr="00E55617" w:rsidRDefault="008067EA" w:rsidP="00A3649B">
      <w:pPr>
        <w:spacing w:after="0"/>
        <w:jc w:val="both"/>
        <w:rPr>
          <w:rFonts w:ascii="Times New Roman" w:eastAsia="Arial" w:hAnsi="Times New Roman"/>
          <w:color w:val="000000"/>
          <w:sz w:val="24"/>
          <w:szCs w:val="24"/>
          <w:lang w:eastAsia="bg-BG"/>
        </w:rPr>
      </w:pPr>
      <w:r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>Изис</w:t>
      </w:r>
      <w:r w:rsidR="00A3649B"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квания към обема на дейностите </w:t>
      </w:r>
      <w:r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в </w:t>
      </w:r>
      <w:r w:rsidR="0067373B"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продукционна и </w:t>
      </w:r>
      <w:r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тестова среда </w:t>
      </w:r>
      <w:r w:rsidRPr="00E55617">
        <w:rPr>
          <w:rFonts w:ascii="Times New Roman" w:hAnsi="Times New Roman"/>
          <w:sz w:val="24"/>
          <w:szCs w:val="24"/>
        </w:rPr>
        <w:t xml:space="preserve">на специализирания софтуер </w:t>
      </w:r>
      <w:r w:rsidR="0067373B" w:rsidRPr="00E55617">
        <w:rPr>
          <w:rFonts w:ascii="Times New Roman" w:hAnsi="Times New Roman"/>
          <w:sz w:val="24"/>
          <w:szCs w:val="24"/>
        </w:rPr>
        <w:t xml:space="preserve">на ИИСДА </w:t>
      </w:r>
      <w:r w:rsidRPr="00E55617">
        <w:rPr>
          <w:rFonts w:ascii="Times New Roman" w:hAnsi="Times New Roman"/>
          <w:sz w:val="24"/>
          <w:szCs w:val="24"/>
        </w:rPr>
        <w:t>и всички негови компоненти</w:t>
      </w:r>
      <w:r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>:</w:t>
      </w:r>
    </w:p>
    <w:p w14:paraId="373E9866" w14:textId="33671280" w:rsidR="0003426F" w:rsidRPr="00E55617" w:rsidRDefault="00A3649B" w:rsidP="00D36568">
      <w:pPr>
        <w:numPr>
          <w:ilvl w:val="0"/>
          <w:numId w:val="6"/>
        </w:numPr>
        <w:tabs>
          <w:tab w:val="clear" w:pos="2204"/>
          <w:tab w:val="left" w:pos="426"/>
          <w:tab w:val="num" w:pos="1701"/>
        </w:tabs>
        <w:spacing w:before="120" w:after="120" w:line="240" w:lineRule="auto"/>
        <w:ind w:left="426" w:hanging="284"/>
        <w:jc w:val="both"/>
        <w:rPr>
          <w:rFonts w:ascii="Times New Roman" w:eastAsia="Arial" w:hAnsi="Times New Roman"/>
          <w:color w:val="000000"/>
          <w:sz w:val="24"/>
          <w:szCs w:val="24"/>
          <w:lang w:eastAsia="bg-BG"/>
        </w:rPr>
      </w:pPr>
      <w:r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извършване на диагностика на </w:t>
      </w:r>
      <w:r w:rsidR="00FD3307" w:rsidRPr="00E55617">
        <w:rPr>
          <w:rFonts w:ascii="Times New Roman" w:hAnsi="Times New Roman"/>
          <w:sz w:val="24"/>
          <w:szCs w:val="24"/>
        </w:rPr>
        <w:t>специализирания софтуер</w:t>
      </w:r>
      <w:r w:rsidR="00FD3307">
        <w:rPr>
          <w:rFonts w:ascii="Times New Roman" w:hAnsi="Times New Roman"/>
          <w:sz w:val="24"/>
          <w:szCs w:val="24"/>
        </w:rPr>
        <w:t xml:space="preserve"> за</w:t>
      </w:r>
      <w:r w:rsidR="00FD3307"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 </w:t>
      </w:r>
      <w:r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>докладван/на проблем/грешка с цел осигуряване на правилно функциониране на системата, модулите и уеб услугите</w:t>
      </w:r>
      <w:r w:rsidR="0003426F"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>;</w:t>
      </w:r>
    </w:p>
    <w:p w14:paraId="77694FA7" w14:textId="56E8057E" w:rsidR="0003426F" w:rsidRPr="00E55617" w:rsidRDefault="0003426F" w:rsidP="00D36568">
      <w:pPr>
        <w:numPr>
          <w:ilvl w:val="0"/>
          <w:numId w:val="6"/>
        </w:numPr>
        <w:tabs>
          <w:tab w:val="clear" w:pos="2204"/>
          <w:tab w:val="left" w:pos="426"/>
          <w:tab w:val="num" w:pos="1701"/>
        </w:tabs>
        <w:spacing w:after="120" w:line="240" w:lineRule="auto"/>
        <w:ind w:left="426" w:hanging="284"/>
        <w:jc w:val="both"/>
        <w:rPr>
          <w:rFonts w:ascii="Times New Roman" w:eastAsia="Arial" w:hAnsi="Times New Roman"/>
          <w:color w:val="000000"/>
          <w:sz w:val="24"/>
          <w:szCs w:val="24"/>
          <w:lang w:eastAsia="bg-BG"/>
        </w:rPr>
      </w:pPr>
      <w:r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>идентифициране и изолиране на всеки възникнал проблем</w:t>
      </w:r>
      <w:r w:rsidR="00FD3307"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 в </w:t>
      </w:r>
      <w:r w:rsidR="00FD3307" w:rsidRPr="00E55617">
        <w:rPr>
          <w:rFonts w:ascii="Times New Roman" w:hAnsi="Times New Roman"/>
          <w:sz w:val="24"/>
          <w:szCs w:val="24"/>
        </w:rPr>
        <w:t>специализирания софтуер</w:t>
      </w:r>
      <w:r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>;</w:t>
      </w:r>
    </w:p>
    <w:p w14:paraId="1E21A844" w14:textId="61685699" w:rsidR="0003426F" w:rsidRPr="00E55617" w:rsidRDefault="00A3649B" w:rsidP="00D36568">
      <w:pPr>
        <w:numPr>
          <w:ilvl w:val="0"/>
          <w:numId w:val="6"/>
        </w:numPr>
        <w:tabs>
          <w:tab w:val="clear" w:pos="2204"/>
          <w:tab w:val="left" w:pos="426"/>
          <w:tab w:val="num" w:pos="1701"/>
        </w:tabs>
        <w:spacing w:after="120" w:line="240" w:lineRule="auto"/>
        <w:ind w:left="426" w:hanging="284"/>
        <w:jc w:val="both"/>
        <w:rPr>
          <w:rFonts w:ascii="Times New Roman" w:eastAsia="Arial" w:hAnsi="Times New Roman"/>
          <w:color w:val="000000"/>
          <w:sz w:val="24"/>
          <w:szCs w:val="24"/>
          <w:lang w:eastAsia="bg-BG"/>
        </w:rPr>
      </w:pPr>
      <w:r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>отстраняване на дефектите, открити в софтуерните компоненти</w:t>
      </w:r>
      <w:r w:rsidR="00FD3307"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 на </w:t>
      </w:r>
      <w:r w:rsidR="00FD3307" w:rsidRPr="00E55617">
        <w:rPr>
          <w:rFonts w:ascii="Times New Roman" w:hAnsi="Times New Roman"/>
          <w:sz w:val="24"/>
          <w:szCs w:val="24"/>
        </w:rPr>
        <w:t>специализирания софтуер</w:t>
      </w:r>
      <w:r w:rsidR="0003426F"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>;</w:t>
      </w:r>
    </w:p>
    <w:p w14:paraId="0C40F014" w14:textId="77777777" w:rsidR="0003426F" w:rsidRPr="00E55617" w:rsidRDefault="0003426F" w:rsidP="00D36568">
      <w:pPr>
        <w:numPr>
          <w:ilvl w:val="0"/>
          <w:numId w:val="6"/>
        </w:numPr>
        <w:tabs>
          <w:tab w:val="clear" w:pos="2204"/>
          <w:tab w:val="left" w:pos="426"/>
          <w:tab w:val="num" w:pos="1701"/>
        </w:tabs>
        <w:spacing w:after="120" w:line="240" w:lineRule="auto"/>
        <w:ind w:left="426" w:hanging="284"/>
        <w:jc w:val="both"/>
        <w:rPr>
          <w:rFonts w:ascii="Times New Roman" w:eastAsia="Arial" w:hAnsi="Times New Roman"/>
          <w:color w:val="000000"/>
          <w:sz w:val="24"/>
          <w:szCs w:val="24"/>
          <w:lang w:eastAsia="bg-BG"/>
        </w:rPr>
      </w:pPr>
      <w:r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извършване на корективни дейности </w:t>
      </w:r>
      <w:r w:rsidRPr="00797EF6">
        <w:rPr>
          <w:rFonts w:ascii="Times New Roman" w:eastAsia="Arial" w:hAnsi="Times New Roman"/>
          <w:color w:val="000000"/>
          <w:sz w:val="24"/>
          <w:szCs w:val="24"/>
          <w:lang w:eastAsia="bg-BG"/>
        </w:rPr>
        <w:t>(в т.ч. корекции в базата данни)</w:t>
      </w:r>
      <w:r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>;</w:t>
      </w:r>
    </w:p>
    <w:p w14:paraId="3246EBA9" w14:textId="77777777" w:rsidR="0003426F" w:rsidRPr="00E55617" w:rsidRDefault="0003426F" w:rsidP="00D36568">
      <w:pPr>
        <w:numPr>
          <w:ilvl w:val="0"/>
          <w:numId w:val="6"/>
        </w:numPr>
        <w:tabs>
          <w:tab w:val="clear" w:pos="2204"/>
          <w:tab w:val="left" w:pos="426"/>
          <w:tab w:val="num" w:pos="1701"/>
        </w:tabs>
        <w:spacing w:after="120" w:line="240" w:lineRule="auto"/>
        <w:ind w:left="426" w:hanging="284"/>
        <w:jc w:val="both"/>
        <w:rPr>
          <w:rFonts w:ascii="Times New Roman" w:eastAsia="Arial" w:hAnsi="Times New Roman"/>
          <w:color w:val="000000"/>
          <w:sz w:val="24"/>
          <w:szCs w:val="24"/>
          <w:lang w:eastAsia="bg-BG"/>
        </w:rPr>
      </w:pPr>
      <w:r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>поддържане на интеграцията на ИИСДА с ЕИСУЧРДА и отстраняване на грешки;</w:t>
      </w:r>
    </w:p>
    <w:p w14:paraId="65CB754E" w14:textId="77777777" w:rsidR="0003426F" w:rsidRPr="00E55617" w:rsidRDefault="0003426F" w:rsidP="00D36568">
      <w:pPr>
        <w:numPr>
          <w:ilvl w:val="0"/>
          <w:numId w:val="6"/>
        </w:numPr>
        <w:tabs>
          <w:tab w:val="clear" w:pos="2204"/>
          <w:tab w:val="left" w:pos="426"/>
          <w:tab w:val="num" w:pos="1701"/>
        </w:tabs>
        <w:spacing w:after="120" w:line="240" w:lineRule="auto"/>
        <w:ind w:left="426" w:hanging="284"/>
        <w:jc w:val="both"/>
        <w:rPr>
          <w:rFonts w:ascii="Times New Roman" w:eastAsia="Arial" w:hAnsi="Times New Roman"/>
          <w:color w:val="000000"/>
          <w:sz w:val="24"/>
          <w:szCs w:val="24"/>
          <w:lang w:eastAsia="bg-BG"/>
        </w:rPr>
      </w:pPr>
      <w:r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>поддържане на разработените уеб услуги, предоставяни от ИИСДА и отстраняване на грешки;</w:t>
      </w:r>
    </w:p>
    <w:p w14:paraId="4960130B" w14:textId="2BCC3CC6" w:rsidR="00A3649B" w:rsidRPr="00E55617" w:rsidRDefault="008A02FF" w:rsidP="00D36568">
      <w:pPr>
        <w:numPr>
          <w:ilvl w:val="0"/>
          <w:numId w:val="6"/>
        </w:numPr>
        <w:tabs>
          <w:tab w:val="clear" w:pos="2204"/>
          <w:tab w:val="left" w:pos="426"/>
          <w:tab w:val="num" w:pos="1701"/>
        </w:tabs>
        <w:spacing w:after="120" w:line="240" w:lineRule="auto"/>
        <w:ind w:left="426" w:hanging="284"/>
        <w:jc w:val="both"/>
        <w:rPr>
          <w:rFonts w:ascii="Times New Roman" w:eastAsia="Arial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осигуряване на </w:t>
      </w:r>
      <w:r w:rsidR="00A3649B"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експертни консултации по телефон и електронна поща за системните администратори </w:t>
      </w:r>
      <w:r w:rsidR="00FD3307"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на </w:t>
      </w:r>
      <w:r w:rsidR="00FD3307" w:rsidRPr="00E55617">
        <w:rPr>
          <w:rFonts w:ascii="Times New Roman" w:hAnsi="Times New Roman"/>
          <w:sz w:val="24"/>
          <w:szCs w:val="24"/>
        </w:rPr>
        <w:t>специализирания софтуер</w:t>
      </w:r>
      <w:r w:rsidR="00FD3307"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 </w:t>
      </w:r>
      <w:r w:rsidR="00A3649B"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>на Възложителя с цел идентифициране на дефекти или грешки в софтуера;</w:t>
      </w:r>
    </w:p>
    <w:p w14:paraId="05C76172" w14:textId="77777777" w:rsidR="00291D36" w:rsidRDefault="00A3649B" w:rsidP="00291D36">
      <w:pPr>
        <w:numPr>
          <w:ilvl w:val="0"/>
          <w:numId w:val="6"/>
        </w:numPr>
        <w:tabs>
          <w:tab w:val="clear" w:pos="2204"/>
          <w:tab w:val="left" w:pos="426"/>
          <w:tab w:val="num" w:pos="1701"/>
        </w:tabs>
        <w:spacing w:after="120" w:line="240" w:lineRule="auto"/>
        <w:ind w:left="426" w:hanging="284"/>
        <w:jc w:val="both"/>
        <w:rPr>
          <w:rFonts w:ascii="Times New Roman" w:eastAsia="Arial" w:hAnsi="Times New Roman"/>
          <w:color w:val="000000"/>
          <w:sz w:val="24"/>
          <w:szCs w:val="24"/>
          <w:lang w:eastAsia="bg-BG"/>
        </w:rPr>
      </w:pPr>
      <w:r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при възникнали проблеми/грешки с критични последици за основни функционалности на </w:t>
      </w:r>
      <w:r w:rsidR="00FF1C86"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>ИИСДА</w:t>
      </w:r>
      <w:r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 и </w:t>
      </w:r>
      <w:r w:rsidR="00FF1C86"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>на</w:t>
      </w:r>
      <w:r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 тестов</w:t>
      </w:r>
      <w:r w:rsidR="00FF1C86"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>ата среда</w:t>
      </w:r>
      <w:r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 или тяхната неработоспособност </w:t>
      </w:r>
      <w:r w:rsidR="00291D36">
        <w:rPr>
          <w:rFonts w:ascii="Times New Roman" w:eastAsia="Arial" w:hAnsi="Times New Roman"/>
          <w:color w:val="000000"/>
          <w:sz w:val="24"/>
          <w:szCs w:val="24"/>
          <w:lang w:eastAsia="bg-BG"/>
        </w:rPr>
        <w:t>–</w:t>
      </w:r>
      <w:r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 </w:t>
      </w:r>
      <w:r w:rsidR="00291D36" w:rsidRPr="00291D36">
        <w:rPr>
          <w:rFonts w:ascii="Times New Roman" w:eastAsia="Arial" w:hAnsi="Times New Roman"/>
          <w:color w:val="000000"/>
          <w:sz w:val="24"/>
          <w:szCs w:val="24"/>
          <w:lang w:eastAsia="bg-BG"/>
        </w:rPr>
        <w:t>Изпълнителят ще ангажира необходимите ресурси за незабавното отстраняване на проблема и работата ще продължава до неговото отстраняване. За да се осигури изискването за наличност на приложението може да се реализира обходно решение, което да се приложи докато се полу</w:t>
      </w:r>
      <w:r w:rsidR="00291D36">
        <w:rPr>
          <w:rFonts w:ascii="Times New Roman" w:eastAsia="Arial" w:hAnsi="Times New Roman"/>
          <w:color w:val="000000"/>
          <w:sz w:val="24"/>
          <w:szCs w:val="24"/>
          <w:lang w:eastAsia="bg-BG"/>
        </w:rPr>
        <w:t>чи стабилно решение на проблема;</w:t>
      </w:r>
    </w:p>
    <w:p w14:paraId="4CF1FABA" w14:textId="77777777" w:rsidR="00A3649B" w:rsidRPr="00624749" w:rsidRDefault="00A3649B" w:rsidP="00291D36">
      <w:pPr>
        <w:numPr>
          <w:ilvl w:val="0"/>
          <w:numId w:val="6"/>
        </w:numPr>
        <w:tabs>
          <w:tab w:val="clear" w:pos="2204"/>
          <w:tab w:val="left" w:pos="426"/>
          <w:tab w:val="num" w:pos="1701"/>
        </w:tabs>
        <w:spacing w:after="120" w:line="240" w:lineRule="auto"/>
        <w:ind w:left="426" w:hanging="284"/>
        <w:jc w:val="both"/>
        <w:rPr>
          <w:rFonts w:ascii="Times New Roman" w:eastAsia="Arial" w:hAnsi="Times New Roman"/>
          <w:color w:val="000000"/>
          <w:sz w:val="24"/>
          <w:szCs w:val="24"/>
          <w:lang w:eastAsia="bg-BG"/>
        </w:rPr>
      </w:pPr>
      <w:r w:rsidRPr="00E55617"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при възникнали проблеми/грешки, водещи до затруднение в процеса на работа (функциониране в ограничен режим) - </w:t>
      </w:r>
      <w:r w:rsidR="00291D36" w:rsidRPr="00291D36">
        <w:rPr>
          <w:rFonts w:ascii="Times New Roman" w:eastAsia="Arial" w:hAnsi="Times New Roman"/>
          <w:color w:val="000000"/>
          <w:sz w:val="24"/>
          <w:szCs w:val="24"/>
          <w:lang w:eastAsia="bg-BG"/>
        </w:rPr>
        <w:t>Изпълнителят ще ангажир</w:t>
      </w:r>
      <w:r w:rsidR="00291D36">
        <w:rPr>
          <w:rFonts w:ascii="Times New Roman" w:eastAsia="Arial" w:hAnsi="Times New Roman"/>
          <w:color w:val="000000"/>
          <w:sz w:val="24"/>
          <w:szCs w:val="24"/>
          <w:lang w:eastAsia="bg-BG"/>
        </w:rPr>
        <w:t>а</w:t>
      </w:r>
      <w:r w:rsidR="00291D36" w:rsidRPr="00291D36"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 необходимите ресурси за незабавното отстраняване на проблема и работата ще продължава в </w:t>
      </w:r>
      <w:r w:rsidR="00291D36" w:rsidRPr="00624749">
        <w:rPr>
          <w:rFonts w:ascii="Times New Roman" w:eastAsia="Arial" w:hAnsi="Times New Roman"/>
          <w:color w:val="000000"/>
          <w:sz w:val="24"/>
          <w:szCs w:val="24"/>
          <w:lang w:eastAsia="bg-BG"/>
        </w:rPr>
        <w:t>нормалните бизнес часове до неговото отстраняване</w:t>
      </w:r>
      <w:r w:rsidRPr="00624749">
        <w:rPr>
          <w:rFonts w:ascii="Times New Roman" w:eastAsia="Arial" w:hAnsi="Times New Roman"/>
          <w:color w:val="000000"/>
          <w:sz w:val="24"/>
          <w:szCs w:val="24"/>
          <w:lang w:eastAsia="bg-BG"/>
        </w:rPr>
        <w:t>;</w:t>
      </w:r>
    </w:p>
    <w:p w14:paraId="052C7FDD" w14:textId="74AB3DD1" w:rsidR="00155ADF" w:rsidRPr="00624749" w:rsidRDefault="00A3649B" w:rsidP="00624749">
      <w:pPr>
        <w:numPr>
          <w:ilvl w:val="0"/>
          <w:numId w:val="6"/>
        </w:numPr>
        <w:tabs>
          <w:tab w:val="clear" w:pos="2204"/>
          <w:tab w:val="left" w:pos="426"/>
          <w:tab w:val="num" w:pos="1701"/>
        </w:tabs>
        <w:spacing w:after="120" w:line="240" w:lineRule="auto"/>
        <w:ind w:left="426" w:hanging="284"/>
        <w:jc w:val="both"/>
        <w:rPr>
          <w:rFonts w:ascii="Times New Roman" w:eastAsia="Arial" w:hAnsi="Times New Roman"/>
          <w:color w:val="000000"/>
          <w:sz w:val="24"/>
          <w:szCs w:val="24"/>
          <w:lang w:eastAsia="bg-BG"/>
        </w:rPr>
      </w:pPr>
      <w:r w:rsidRPr="00624749">
        <w:rPr>
          <w:rFonts w:ascii="Times New Roman" w:eastAsia="Arial" w:hAnsi="Times New Roman"/>
          <w:color w:val="000000"/>
          <w:sz w:val="24"/>
          <w:szCs w:val="24"/>
          <w:lang w:eastAsia="bg-BG"/>
        </w:rPr>
        <w:t xml:space="preserve">при възникнали проблеми/грешки с минимални последици за нормалното обслужване на бизнес процесите - </w:t>
      </w:r>
      <w:r w:rsidR="00291D36" w:rsidRPr="00624749">
        <w:rPr>
          <w:rFonts w:ascii="Times New Roman" w:eastAsia="Arial" w:hAnsi="Times New Roman"/>
          <w:color w:val="000000"/>
          <w:sz w:val="24"/>
          <w:szCs w:val="24"/>
          <w:lang w:eastAsia="bg-BG"/>
        </w:rPr>
        <w:t>Изпълнителят ще ангажира необходимите ресурси за отстраняване на проблема и планира работата за съгласувано време, в което работата ще се извършва в нормалните бизнес часове до достигане на нормалната производителност</w:t>
      </w:r>
      <w:r w:rsidR="00624749" w:rsidRPr="00624749">
        <w:rPr>
          <w:rFonts w:ascii="Times New Roman" w:eastAsia="Arial" w:hAnsi="Times New Roman"/>
          <w:color w:val="000000"/>
          <w:sz w:val="24"/>
          <w:szCs w:val="24"/>
          <w:lang w:eastAsia="bg-BG"/>
        </w:rPr>
        <w:t>.</w:t>
      </w:r>
    </w:p>
    <w:sectPr w:rsidR="00155ADF" w:rsidRPr="00624749" w:rsidSect="00291D36">
      <w:footerReference w:type="default" r:id="rId8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9F047F" w16cid:durableId="2799E0CD"/>
  <w16cid:commentId w16cid:paraId="7ACF1DFF" w16cid:durableId="2799E148"/>
  <w16cid:commentId w16cid:paraId="554447CD" w16cid:durableId="2799E1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161E5" w14:textId="77777777" w:rsidR="00283126" w:rsidRDefault="00283126" w:rsidP="00C63D1E">
      <w:pPr>
        <w:spacing w:after="0" w:line="240" w:lineRule="auto"/>
      </w:pPr>
      <w:r>
        <w:separator/>
      </w:r>
    </w:p>
  </w:endnote>
  <w:endnote w:type="continuationSeparator" w:id="0">
    <w:p w14:paraId="1BA6D809" w14:textId="77777777" w:rsidR="00283126" w:rsidRDefault="00283126" w:rsidP="00C6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00078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53EDFA8" w14:textId="77777777" w:rsidR="00291D36" w:rsidRPr="00291D36" w:rsidRDefault="00291D36" w:rsidP="00291D36">
        <w:pPr>
          <w:pStyle w:val="Footer"/>
          <w:jc w:val="center"/>
        </w:pPr>
        <w:r w:rsidRPr="00291D36">
          <w:rPr>
            <w:rFonts w:ascii="Times New Roman" w:hAnsi="Times New Roman"/>
          </w:rPr>
          <w:t>Осигуряване на извънгаранционна поддръжка на специализирания софтуер на Интегрираната информационна система на държавната администрация (ИИСДА)</w:t>
        </w:r>
      </w:p>
      <w:p w14:paraId="18170A3F" w14:textId="485EB74F" w:rsidR="00C63D1E" w:rsidRPr="00291D36" w:rsidRDefault="00291D36" w:rsidP="00291D36">
        <w:pPr>
          <w:pStyle w:val="Footer"/>
          <w:pBdr>
            <w:top w:val="single" w:sz="4" w:space="1" w:color="auto"/>
          </w:pBdr>
          <w:tabs>
            <w:tab w:val="left" w:pos="8222"/>
          </w:tabs>
          <w:ind w:left="8222"/>
          <w:jc w:val="right"/>
          <w:rPr>
            <w:rFonts w:ascii="Times New Roman" w:hAnsi="Times New Roman"/>
          </w:rPr>
        </w:pPr>
        <w:r w:rsidRPr="00291D36">
          <w:rPr>
            <w:rFonts w:ascii="Times New Roman" w:hAnsi="Times New Roman"/>
          </w:rPr>
          <w:fldChar w:fldCharType="begin"/>
        </w:r>
        <w:r w:rsidRPr="00291D36">
          <w:rPr>
            <w:rFonts w:ascii="Times New Roman" w:hAnsi="Times New Roman"/>
          </w:rPr>
          <w:instrText xml:space="preserve"> PAGE   \* MERGEFORMAT </w:instrText>
        </w:r>
        <w:r w:rsidRPr="00291D36">
          <w:rPr>
            <w:rFonts w:ascii="Times New Roman" w:hAnsi="Times New Roman"/>
          </w:rPr>
          <w:fldChar w:fldCharType="separate"/>
        </w:r>
        <w:r w:rsidR="00624749">
          <w:rPr>
            <w:rFonts w:ascii="Times New Roman" w:hAnsi="Times New Roman"/>
            <w:noProof/>
          </w:rPr>
          <w:t>2</w:t>
        </w:r>
        <w:r w:rsidRPr="00291D36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5189C" w14:textId="77777777" w:rsidR="00283126" w:rsidRDefault="00283126" w:rsidP="00C63D1E">
      <w:pPr>
        <w:spacing w:after="0" w:line="240" w:lineRule="auto"/>
      </w:pPr>
      <w:r>
        <w:separator/>
      </w:r>
    </w:p>
  </w:footnote>
  <w:footnote w:type="continuationSeparator" w:id="0">
    <w:p w14:paraId="2837CF2F" w14:textId="77777777" w:rsidR="00283126" w:rsidRDefault="00283126" w:rsidP="00C63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A8B"/>
    <w:multiLevelType w:val="hybridMultilevel"/>
    <w:tmpl w:val="FEE684E6"/>
    <w:lvl w:ilvl="0" w:tplc="72604B2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12D8"/>
    <w:multiLevelType w:val="hybridMultilevel"/>
    <w:tmpl w:val="492C76F6"/>
    <w:lvl w:ilvl="0" w:tplc="1CCC214E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  <w:color w:val="2E74B5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CE7"/>
    <w:multiLevelType w:val="hybridMultilevel"/>
    <w:tmpl w:val="3C94852C"/>
    <w:lvl w:ilvl="0" w:tplc="9E6E8FE2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50009266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56131D"/>
    <w:multiLevelType w:val="hybridMultilevel"/>
    <w:tmpl w:val="3078E86E"/>
    <w:lvl w:ilvl="0" w:tplc="04090005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2203"/>
    <w:multiLevelType w:val="hybridMultilevel"/>
    <w:tmpl w:val="06788164"/>
    <w:lvl w:ilvl="0" w:tplc="72604B2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72604B26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63AFA"/>
    <w:multiLevelType w:val="hybridMultilevel"/>
    <w:tmpl w:val="A11C5F3C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C5"/>
    <w:rsid w:val="0003311B"/>
    <w:rsid w:val="0003426F"/>
    <w:rsid w:val="00054689"/>
    <w:rsid w:val="000748D5"/>
    <w:rsid w:val="00155ADF"/>
    <w:rsid w:val="001F1B13"/>
    <w:rsid w:val="0021097C"/>
    <w:rsid w:val="00245B2A"/>
    <w:rsid w:val="00283126"/>
    <w:rsid w:val="00291D36"/>
    <w:rsid w:val="002B7BF2"/>
    <w:rsid w:val="002F12FA"/>
    <w:rsid w:val="0030294A"/>
    <w:rsid w:val="00400514"/>
    <w:rsid w:val="004060D1"/>
    <w:rsid w:val="00416327"/>
    <w:rsid w:val="004E5E6D"/>
    <w:rsid w:val="00540C3D"/>
    <w:rsid w:val="005C1424"/>
    <w:rsid w:val="005C3628"/>
    <w:rsid w:val="005F1158"/>
    <w:rsid w:val="00624749"/>
    <w:rsid w:val="00637C8D"/>
    <w:rsid w:val="0067373B"/>
    <w:rsid w:val="0076387A"/>
    <w:rsid w:val="00797EF6"/>
    <w:rsid w:val="008067EA"/>
    <w:rsid w:val="00883E1C"/>
    <w:rsid w:val="008A02FF"/>
    <w:rsid w:val="008A3CA2"/>
    <w:rsid w:val="009872CA"/>
    <w:rsid w:val="009C70EF"/>
    <w:rsid w:val="00A07BE7"/>
    <w:rsid w:val="00A17293"/>
    <w:rsid w:val="00A3649B"/>
    <w:rsid w:val="00BE2CC8"/>
    <w:rsid w:val="00C1703E"/>
    <w:rsid w:val="00C229C5"/>
    <w:rsid w:val="00C50609"/>
    <w:rsid w:val="00C63D1E"/>
    <w:rsid w:val="00D215E3"/>
    <w:rsid w:val="00D36568"/>
    <w:rsid w:val="00DE4232"/>
    <w:rsid w:val="00E21FAE"/>
    <w:rsid w:val="00E41016"/>
    <w:rsid w:val="00E55617"/>
    <w:rsid w:val="00E903DA"/>
    <w:rsid w:val="00F0586F"/>
    <w:rsid w:val="00F71B86"/>
    <w:rsid w:val="00FD3307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A04B9A"/>
  <w15:docId w15:val="{E98F8DB1-19E6-4E8F-B7E2-0B9F620D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568"/>
    <w:pPr>
      <w:keepNext/>
      <w:spacing w:after="240"/>
      <w:jc w:val="center"/>
      <w:outlineLvl w:val="0"/>
    </w:pPr>
    <w:rPr>
      <w:rFonts w:ascii="Times New Roman" w:eastAsia="Times New Roman" w:hAnsi="Times New Roman"/>
      <w:b/>
      <w:bCs/>
      <w:color w:val="2E74B5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6568"/>
    <w:pPr>
      <w:keepNext/>
      <w:spacing w:before="240" w:after="0"/>
      <w:outlineLvl w:val="1"/>
    </w:pPr>
    <w:rPr>
      <w:rFonts w:ascii="Times New Roman" w:eastAsia="Times New Roman" w:hAnsi="Times New Roman"/>
      <w:b/>
      <w:bCs/>
      <w:iCs/>
      <w:color w:val="2E74B5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D1E"/>
  </w:style>
  <w:style w:type="paragraph" w:styleId="Footer">
    <w:name w:val="footer"/>
    <w:basedOn w:val="Normal"/>
    <w:link w:val="FooterChar"/>
    <w:uiPriority w:val="99"/>
    <w:unhideWhenUsed/>
    <w:rsid w:val="00C63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D1E"/>
  </w:style>
  <w:style w:type="paragraph" w:styleId="BalloonText">
    <w:name w:val="Balloon Text"/>
    <w:basedOn w:val="Normal"/>
    <w:link w:val="BalloonTextChar"/>
    <w:uiPriority w:val="99"/>
    <w:semiHidden/>
    <w:unhideWhenUsed/>
    <w:rsid w:val="0005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468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D36568"/>
    <w:rPr>
      <w:rFonts w:ascii="Times New Roman" w:eastAsia="Times New Roman" w:hAnsi="Times New Roman" w:cs="Times New Roman"/>
      <w:b/>
      <w:bCs/>
      <w:color w:val="2E74B5"/>
      <w:kern w:val="32"/>
      <w:sz w:val="28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D36568"/>
    <w:rPr>
      <w:rFonts w:ascii="Times New Roman" w:eastAsia="Times New Roman" w:hAnsi="Times New Roman" w:cs="Times New Roman"/>
      <w:b/>
      <w:bCs/>
      <w:iCs/>
      <w:color w:val="2E74B5"/>
      <w:sz w:val="24"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7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B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BF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BF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6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6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8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1E64F-94FB-4BDF-B156-9E8EC1BF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R.Ruseva@government.bg</dc:creator>
  <cp:keywords/>
  <cp:lastModifiedBy>Румяна Русева</cp:lastModifiedBy>
  <cp:revision>2</cp:revision>
  <cp:lastPrinted>2017-11-29T17:07:00Z</cp:lastPrinted>
  <dcterms:created xsi:type="dcterms:W3CDTF">2023-02-20T11:28:00Z</dcterms:created>
  <dcterms:modified xsi:type="dcterms:W3CDTF">2023-02-20T11:28:00Z</dcterms:modified>
</cp:coreProperties>
</file>