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17040" w14:textId="77777777" w:rsidR="00FE7C56" w:rsidRPr="009110E9" w:rsidRDefault="000233E8" w:rsidP="00FE37FF">
      <w:pPr>
        <w:pStyle w:val="Title"/>
        <w:jc w:val="center"/>
        <w:rPr>
          <w:sz w:val="22"/>
          <w:szCs w:val="22"/>
        </w:rPr>
      </w:pPr>
      <w:bookmarkStart w:id="0" w:name="_lmpgwqeneln5" w:colFirst="0" w:colLast="0"/>
      <w:bookmarkEnd w:id="0"/>
      <w:r w:rsidRPr="009110E9">
        <w:rPr>
          <w:sz w:val="36"/>
          <w:szCs w:val="36"/>
        </w:rPr>
        <w:t xml:space="preserve">Бланка за </w:t>
      </w:r>
      <w:r w:rsidR="005F101A" w:rsidRPr="009110E9">
        <w:rPr>
          <w:sz w:val="36"/>
          <w:szCs w:val="36"/>
        </w:rPr>
        <w:t>кандидатстване</w:t>
      </w:r>
      <w:r w:rsidRPr="009110E9">
        <w:rPr>
          <w:sz w:val="36"/>
          <w:szCs w:val="36"/>
        </w:rPr>
        <w:t xml:space="preserve"> на проект</w:t>
      </w:r>
      <w:r w:rsidR="00A2531D" w:rsidRPr="009110E9">
        <w:rPr>
          <w:sz w:val="36"/>
          <w:szCs w:val="36"/>
        </w:rPr>
        <w:t xml:space="preserve"> </w:t>
      </w:r>
      <w:r w:rsidRPr="009110E9">
        <w:rPr>
          <w:sz w:val="36"/>
          <w:szCs w:val="36"/>
        </w:rPr>
        <w:t xml:space="preserve">по </w:t>
      </w:r>
      <w:r w:rsidR="00A2531D" w:rsidRPr="009110E9">
        <w:rPr>
          <w:sz w:val="36"/>
          <w:szCs w:val="36"/>
        </w:rPr>
        <w:t>Инструмента за възстановяване и</w:t>
      </w:r>
      <w:r w:rsidR="00A2531D" w:rsidRPr="009110E9">
        <w:rPr>
          <w:sz w:val="22"/>
          <w:szCs w:val="22"/>
        </w:rPr>
        <w:t xml:space="preserve"> </w:t>
      </w:r>
      <w:r w:rsidR="00A2531D" w:rsidRPr="009110E9">
        <w:rPr>
          <w:sz w:val="36"/>
          <w:szCs w:val="36"/>
        </w:rPr>
        <w:t>устойчивост</w:t>
      </w:r>
    </w:p>
    <w:p w14:paraId="29DC334C" w14:textId="77777777" w:rsidR="00FE7C56" w:rsidRPr="009110E9" w:rsidRDefault="00FE7C56" w:rsidP="000750BB">
      <w:pPr>
        <w:jc w:val="both"/>
      </w:pPr>
    </w:p>
    <w:tbl>
      <w:tblPr>
        <w:tblStyle w:val="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67"/>
      </w:tblGrid>
      <w:tr w:rsidR="002A11EE" w:rsidRPr="009110E9" w14:paraId="081DC61C" w14:textId="77777777" w:rsidTr="00F045B9">
        <w:tc>
          <w:tcPr>
            <w:tcW w:w="9067" w:type="dxa"/>
            <w:shd w:val="clear" w:color="auto" w:fill="auto"/>
            <w:tcMar>
              <w:top w:w="100" w:type="dxa"/>
              <w:left w:w="100" w:type="dxa"/>
              <w:bottom w:w="100" w:type="dxa"/>
              <w:right w:w="100" w:type="dxa"/>
            </w:tcMar>
          </w:tcPr>
          <w:p w14:paraId="7FA8C1BF" w14:textId="3E770DE6" w:rsidR="002A11EE" w:rsidRPr="009110E9" w:rsidRDefault="002A11EE"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t>Наименование на проекта</w:t>
            </w:r>
          </w:p>
        </w:tc>
      </w:tr>
      <w:tr w:rsidR="002A11EE" w:rsidRPr="009110E9" w14:paraId="0606624B" w14:textId="77777777" w:rsidTr="00F045B9">
        <w:tc>
          <w:tcPr>
            <w:tcW w:w="9067" w:type="dxa"/>
            <w:shd w:val="clear" w:color="auto" w:fill="auto"/>
            <w:tcMar>
              <w:top w:w="100" w:type="dxa"/>
              <w:left w:w="100" w:type="dxa"/>
              <w:bottom w:w="100" w:type="dxa"/>
              <w:right w:w="100" w:type="dxa"/>
            </w:tcMar>
          </w:tcPr>
          <w:p w14:paraId="7945CE40" w14:textId="45A42220" w:rsidR="002A11EE" w:rsidRPr="009110E9" w:rsidRDefault="002A11EE" w:rsidP="00E91A6A">
            <w:pPr>
              <w:widowControl w:val="0"/>
              <w:pBdr>
                <w:top w:val="nil"/>
                <w:left w:val="nil"/>
                <w:bottom w:val="nil"/>
                <w:right w:val="nil"/>
                <w:between w:val="nil"/>
              </w:pBdr>
              <w:spacing w:line="240" w:lineRule="auto"/>
              <w:jc w:val="both"/>
              <w:rPr>
                <w:b/>
                <w:bCs/>
              </w:rPr>
            </w:pPr>
            <w:r>
              <w:rPr>
                <w:b/>
                <w:bCs/>
              </w:rPr>
              <w:t>Преустройство и рехабилитация на ключови гарови комплекси и и</w:t>
            </w:r>
            <w:r w:rsidRPr="009110E9">
              <w:rPr>
                <w:b/>
                <w:bCs/>
              </w:rPr>
              <w:t>зграждане на интермодален терминал – Горна Оряховица</w:t>
            </w:r>
          </w:p>
        </w:tc>
      </w:tr>
      <w:tr w:rsidR="002A11EE" w:rsidRPr="009110E9" w14:paraId="0E453EFD" w14:textId="77777777" w:rsidTr="00F045B9">
        <w:tc>
          <w:tcPr>
            <w:tcW w:w="9067" w:type="dxa"/>
            <w:shd w:val="clear" w:color="auto" w:fill="auto"/>
            <w:tcMar>
              <w:top w:w="100" w:type="dxa"/>
              <w:left w:w="100" w:type="dxa"/>
              <w:bottom w:w="100" w:type="dxa"/>
              <w:right w:w="100" w:type="dxa"/>
            </w:tcMar>
          </w:tcPr>
          <w:p w14:paraId="3DF5803B" w14:textId="77777777" w:rsidR="002A11EE" w:rsidRPr="009110E9" w:rsidRDefault="002A11EE"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t>Описание на проекта (цели, основни дейности).</w:t>
            </w:r>
          </w:p>
        </w:tc>
      </w:tr>
      <w:tr w:rsidR="002A11EE" w:rsidRPr="009110E9" w14:paraId="55BFC6CE" w14:textId="77777777" w:rsidTr="00F045B9">
        <w:trPr>
          <w:trHeight w:val="1018"/>
        </w:trPr>
        <w:tc>
          <w:tcPr>
            <w:tcW w:w="9067" w:type="dxa"/>
            <w:shd w:val="clear" w:color="auto" w:fill="auto"/>
            <w:tcMar>
              <w:top w:w="100" w:type="dxa"/>
              <w:left w:w="100" w:type="dxa"/>
              <w:bottom w:w="100" w:type="dxa"/>
              <w:right w:w="100" w:type="dxa"/>
            </w:tcMar>
          </w:tcPr>
          <w:p w14:paraId="10A7E42A" w14:textId="73D9B89D" w:rsidR="002A11EE" w:rsidRPr="009110E9" w:rsidRDefault="002A11EE" w:rsidP="00FC32B7">
            <w:pPr>
              <w:spacing w:line="240" w:lineRule="auto"/>
              <w:jc w:val="both"/>
            </w:pPr>
            <w:r w:rsidRPr="009110E9">
              <w:t>Железопътните гари, включително железопътните терминали, са основна производствена единица, в която започва и завършва производственият процес и от работата на която до голяма степен зависи изпълнението на заявките за превоз на пътници и товари по железопътния транспорт, безопасното и редовно движение на влаковете. Районът на железопътните гари/терминали включва коловозно развитие съобразно предназначението, приемна сграда и други технологични сгради, съоръжения и инсталации, свързани с управлението на движението на влаковете, безопасността на превозите и обслужването на пътници и товари. В железопътните гари/терминали се извършват дейностите по приемане, изпращане, престой и обработка на влаковете, осигуряване на превоза на пътници и товари, както и други технологични операции, свързани с експлоатацията на железопътната инфраструктура и превозната работа.</w:t>
            </w:r>
          </w:p>
          <w:p w14:paraId="13E8D030" w14:textId="5E95F440" w:rsidR="002A11EE" w:rsidRPr="009110E9" w:rsidRDefault="002A11EE" w:rsidP="00FC32B7">
            <w:pPr>
              <w:spacing w:line="240" w:lineRule="auto"/>
              <w:jc w:val="both"/>
            </w:pPr>
            <w:r w:rsidRPr="009110E9">
              <w:t>За извършване на дейностите във всяка жп гара/терминал и в съответствие с вида и обема се проектират и изграждат:</w:t>
            </w:r>
          </w:p>
          <w:p w14:paraId="65878C5D" w14:textId="4D9B87FC" w:rsidR="002A11EE" w:rsidRPr="009110E9" w:rsidRDefault="002A11EE" w:rsidP="00FC32B7">
            <w:pPr>
              <w:spacing w:line="240" w:lineRule="auto"/>
              <w:jc w:val="both"/>
            </w:pPr>
            <w:r w:rsidRPr="009110E9">
              <w:t>- гарови платформи (перони, рампи, площадки) с коловозно развитие;</w:t>
            </w:r>
          </w:p>
          <w:p w14:paraId="1C20BE34" w14:textId="40A6302A" w:rsidR="002A11EE" w:rsidRPr="009110E9" w:rsidRDefault="002A11EE" w:rsidP="00FC32B7">
            <w:pPr>
              <w:spacing w:line="240" w:lineRule="auto"/>
              <w:jc w:val="both"/>
            </w:pPr>
            <w:r w:rsidRPr="009110E9">
              <w:t>- административни, технически и пътнически сгради с необходимите помещения и работни места;</w:t>
            </w:r>
          </w:p>
          <w:p w14:paraId="2F2D9261" w14:textId="72A14455" w:rsidR="002A11EE" w:rsidRPr="009110E9" w:rsidRDefault="002A11EE" w:rsidP="00FC32B7">
            <w:pPr>
              <w:spacing w:line="240" w:lineRule="auto"/>
              <w:jc w:val="both"/>
            </w:pPr>
            <w:r w:rsidRPr="009110E9">
              <w:t>- далекосъобщителни инсталации и съоръжения;</w:t>
            </w:r>
          </w:p>
          <w:p w14:paraId="025563A4" w14:textId="42928570" w:rsidR="002A11EE" w:rsidRPr="009110E9" w:rsidRDefault="002A11EE" w:rsidP="00FC32B7">
            <w:pPr>
              <w:spacing w:line="240" w:lineRule="auto"/>
              <w:jc w:val="both"/>
            </w:pPr>
            <w:r w:rsidRPr="009110E9">
              <w:t>- устройства за сигнализация или за сигнализация, централизация и блокировка;</w:t>
            </w:r>
          </w:p>
          <w:p w14:paraId="20DC3A3C" w14:textId="0A15ECC9" w:rsidR="002A11EE" w:rsidRPr="009110E9" w:rsidRDefault="002A11EE" w:rsidP="00FC32B7">
            <w:pPr>
              <w:spacing w:line="240" w:lineRule="auto"/>
              <w:jc w:val="both"/>
            </w:pPr>
            <w:r w:rsidRPr="009110E9">
              <w:t>- инсталации по енергоснабдяване, топлоснабдяване и осветление;</w:t>
            </w:r>
          </w:p>
          <w:p w14:paraId="3BB2D75B" w14:textId="0E0589F0" w:rsidR="002A11EE" w:rsidRPr="009110E9" w:rsidRDefault="002A11EE" w:rsidP="00FC32B7">
            <w:pPr>
              <w:spacing w:line="240" w:lineRule="auto"/>
              <w:jc w:val="both"/>
            </w:pPr>
            <w:r w:rsidRPr="009110E9">
              <w:t>- контактна мрежа и съоръжения по електрифицираните железопътни линии;</w:t>
            </w:r>
          </w:p>
          <w:p w14:paraId="56FC9A72" w14:textId="0589792F" w:rsidR="002A11EE" w:rsidRPr="009110E9" w:rsidRDefault="002A11EE" w:rsidP="00FC32B7">
            <w:pPr>
              <w:spacing w:line="240" w:lineRule="auto"/>
              <w:jc w:val="both"/>
            </w:pPr>
            <w:r w:rsidRPr="009110E9">
              <w:t>- водоснабдяване и канализация;</w:t>
            </w:r>
          </w:p>
          <w:p w14:paraId="71AF31EF" w14:textId="05FAAE02" w:rsidR="002A11EE" w:rsidRPr="009110E9" w:rsidRDefault="002A11EE" w:rsidP="00FC32B7">
            <w:pPr>
              <w:spacing w:line="240" w:lineRule="auto"/>
              <w:jc w:val="both"/>
            </w:pPr>
            <w:r w:rsidRPr="009110E9">
              <w:t>- други необходими инфраструктури и технически средства.</w:t>
            </w:r>
          </w:p>
          <w:p w14:paraId="2A4C0CBF" w14:textId="7B75259A" w:rsidR="002A11EE" w:rsidRPr="009110E9" w:rsidRDefault="002A11EE" w:rsidP="00FC32B7">
            <w:pPr>
              <w:spacing w:line="240" w:lineRule="auto"/>
              <w:jc w:val="both"/>
            </w:pPr>
            <w:r w:rsidRPr="009110E9">
              <w:t>В обхвата на проекта са включени следните обекти:</w:t>
            </w:r>
          </w:p>
          <w:p w14:paraId="1B187972" w14:textId="77777777" w:rsidR="002A11EE" w:rsidRPr="009110E9" w:rsidRDefault="002A11EE" w:rsidP="00FC32B7">
            <w:pPr>
              <w:spacing w:line="240" w:lineRule="auto"/>
              <w:jc w:val="both"/>
            </w:pPr>
          </w:p>
          <w:p w14:paraId="6AD83143" w14:textId="335E8FA9" w:rsidR="002A11EE" w:rsidRPr="009110E9" w:rsidRDefault="002A11EE" w:rsidP="004B33A8">
            <w:pPr>
              <w:pStyle w:val="ListParagraph"/>
              <w:numPr>
                <w:ilvl w:val="0"/>
                <w:numId w:val="4"/>
              </w:numPr>
              <w:spacing w:line="240" w:lineRule="auto"/>
              <w:jc w:val="both"/>
              <w:rPr>
                <w:b/>
                <w:bCs/>
                <w:u w:val="single"/>
              </w:rPr>
            </w:pPr>
            <w:r w:rsidRPr="009110E9">
              <w:rPr>
                <w:b/>
                <w:bCs/>
                <w:u w:val="single"/>
              </w:rPr>
              <w:t xml:space="preserve">Изграждане на гаров комплекс Мездра: </w:t>
            </w:r>
          </w:p>
          <w:p w14:paraId="45E16F8E" w14:textId="74F8578F" w:rsidR="002A11EE" w:rsidRPr="009110E9" w:rsidRDefault="002A11EE" w:rsidP="00FC32B7">
            <w:pPr>
              <w:spacing w:line="240" w:lineRule="auto"/>
              <w:jc w:val="both"/>
            </w:pPr>
            <w:r w:rsidRPr="009110E9">
              <w:t xml:space="preserve">Участъкът, предвиден за изграждане </w:t>
            </w:r>
            <w:r w:rsidRPr="009110E9">
              <w:rPr>
                <w:lang w:val="en-US"/>
              </w:rPr>
              <w:t>e</w:t>
            </w:r>
            <w:r w:rsidRPr="009110E9">
              <w:t xml:space="preserve"> от до „граница на гара“.</w:t>
            </w:r>
          </w:p>
          <w:p w14:paraId="5A292269" w14:textId="6C30B111" w:rsidR="002A11EE" w:rsidRPr="009110E9" w:rsidRDefault="002A11EE" w:rsidP="00A279CA">
            <w:pPr>
              <w:spacing w:line="240" w:lineRule="auto"/>
              <w:jc w:val="both"/>
            </w:pPr>
            <w:r w:rsidRPr="009110E9">
              <w:t>Обхваща следните дейности:</w:t>
            </w:r>
          </w:p>
          <w:p w14:paraId="3AB8A9AF" w14:textId="18923955" w:rsidR="002A11EE" w:rsidRPr="009110E9" w:rsidRDefault="002A11EE" w:rsidP="00A279CA">
            <w:pPr>
              <w:tabs>
                <w:tab w:val="left" w:pos="250"/>
              </w:tabs>
              <w:spacing w:line="240" w:lineRule="auto"/>
              <w:jc w:val="both"/>
            </w:pPr>
            <w:r w:rsidRPr="009110E9">
              <w:t>-</w:t>
            </w:r>
            <w:r w:rsidRPr="009110E9">
              <w:tab/>
              <w:t>Модернизиране и рехабилитация на елементите на железопътната инфраструктура в района на гаровия комплекс</w:t>
            </w:r>
          </w:p>
          <w:p w14:paraId="3A8176B2" w14:textId="04987E38" w:rsidR="002A11EE" w:rsidRPr="009110E9" w:rsidRDefault="002A11EE" w:rsidP="00A279CA">
            <w:pPr>
              <w:tabs>
                <w:tab w:val="left" w:pos="250"/>
              </w:tabs>
              <w:spacing w:line="240" w:lineRule="auto"/>
              <w:jc w:val="both"/>
            </w:pPr>
            <w:r w:rsidRPr="009110E9">
              <w:t>-</w:t>
            </w:r>
            <w:r w:rsidRPr="009110E9">
              <w:tab/>
              <w:t>Реконструкция и облагородяване на околното пространство.</w:t>
            </w:r>
          </w:p>
          <w:p w14:paraId="3452ADD0" w14:textId="02651FB0" w:rsidR="002A11EE" w:rsidRPr="009110E9" w:rsidRDefault="002A11EE" w:rsidP="00A279CA">
            <w:pPr>
              <w:tabs>
                <w:tab w:val="left" w:pos="250"/>
              </w:tabs>
              <w:spacing w:line="240" w:lineRule="auto"/>
              <w:jc w:val="both"/>
            </w:pPr>
            <w:r w:rsidRPr="009110E9">
              <w:t>Описание на строителните работи:</w:t>
            </w:r>
          </w:p>
          <w:p w14:paraId="62E2D7BB" w14:textId="5859153B" w:rsidR="002A11EE" w:rsidRPr="009110E9" w:rsidRDefault="002A11EE" w:rsidP="00A279CA">
            <w:pPr>
              <w:tabs>
                <w:tab w:val="left" w:pos="250"/>
              </w:tabs>
              <w:spacing w:line="240" w:lineRule="auto"/>
              <w:jc w:val="both"/>
            </w:pPr>
            <w:r w:rsidRPr="009110E9">
              <w:t xml:space="preserve">Строително-монтажните работи предвиждат изграждане на </w:t>
            </w:r>
            <w:proofErr w:type="spellStart"/>
            <w:r w:rsidRPr="009110E9">
              <w:t>безнаставов</w:t>
            </w:r>
            <w:proofErr w:type="spellEnd"/>
            <w:r w:rsidRPr="009110E9">
              <w:t xml:space="preserve"> релсов път, подновяване на долното строене, изграждане на нови приемно-отправни коловози и нови перони. Предвидено е изграждане на нов пешеходен подлез/</w:t>
            </w:r>
            <w:proofErr w:type="spellStart"/>
            <w:r w:rsidRPr="009110E9">
              <w:t>пасарел</w:t>
            </w:r>
            <w:proofErr w:type="spellEnd"/>
            <w:r>
              <w:t>, шумозащитни прегради, както и осигуряване на противопожарен достъп</w:t>
            </w:r>
            <w:r w:rsidRPr="009110E9">
              <w:t xml:space="preserve">. Включени са за реконструкция и останалите коловози в гаровия район с подновяване на долно и горно строене. Изграждане на </w:t>
            </w:r>
            <w:r>
              <w:t xml:space="preserve">хале за ремонт на механизация с довеждаща инфраструктура, </w:t>
            </w:r>
            <w:r w:rsidRPr="009110E9">
              <w:t xml:space="preserve">нова дренажна система за ефективно отводняване на гаровите коловози, включително и на входна и изходна </w:t>
            </w:r>
            <w:proofErr w:type="spellStart"/>
            <w:r w:rsidRPr="009110E9">
              <w:t>гърловини</w:t>
            </w:r>
            <w:proofErr w:type="spellEnd"/>
            <w:r w:rsidRPr="009110E9">
              <w:t xml:space="preserve">. Подновяване на стълбовете </w:t>
            </w:r>
            <w:r>
              <w:t xml:space="preserve">и елементите </w:t>
            </w:r>
            <w:r w:rsidRPr="009110E9">
              <w:t>на контактната мрежа, съгласно изискванията за габарит.</w:t>
            </w:r>
          </w:p>
          <w:p w14:paraId="1CBCE070" w14:textId="77777777" w:rsidR="002A11EE" w:rsidRPr="009110E9" w:rsidRDefault="002A11EE" w:rsidP="00A279CA">
            <w:pPr>
              <w:tabs>
                <w:tab w:val="left" w:pos="250"/>
              </w:tabs>
              <w:spacing w:line="240" w:lineRule="auto"/>
              <w:jc w:val="both"/>
            </w:pPr>
          </w:p>
          <w:p w14:paraId="1120F97C" w14:textId="36787F94" w:rsidR="002A11EE" w:rsidRPr="009110E9" w:rsidRDefault="002A11EE" w:rsidP="004B33A8">
            <w:pPr>
              <w:pStyle w:val="ListParagraph"/>
              <w:numPr>
                <w:ilvl w:val="0"/>
                <w:numId w:val="4"/>
              </w:numPr>
              <w:spacing w:line="240" w:lineRule="auto"/>
              <w:jc w:val="both"/>
              <w:rPr>
                <w:b/>
                <w:bCs/>
                <w:u w:val="single"/>
              </w:rPr>
            </w:pPr>
            <w:r w:rsidRPr="009110E9">
              <w:rPr>
                <w:b/>
                <w:bCs/>
                <w:u w:val="single"/>
              </w:rPr>
              <w:t xml:space="preserve">Изграждане на гаров комплекс Червен Бряг: </w:t>
            </w:r>
          </w:p>
          <w:p w14:paraId="390FD128" w14:textId="31969DB3" w:rsidR="002A11EE" w:rsidRPr="009110E9" w:rsidRDefault="002A11EE" w:rsidP="00662D5E">
            <w:pPr>
              <w:spacing w:line="240" w:lineRule="auto"/>
              <w:jc w:val="both"/>
            </w:pPr>
            <w:r w:rsidRPr="009110E9">
              <w:t>Участъкът, предвиден за изграждане е от до „граница на гара“.</w:t>
            </w:r>
          </w:p>
          <w:p w14:paraId="2ED7AD78" w14:textId="77777777" w:rsidR="002A11EE" w:rsidRPr="009110E9" w:rsidRDefault="002A11EE" w:rsidP="00662D5E">
            <w:pPr>
              <w:spacing w:line="240" w:lineRule="auto"/>
              <w:jc w:val="both"/>
            </w:pPr>
            <w:r w:rsidRPr="009110E9">
              <w:t>Обхваща следните дейности:</w:t>
            </w:r>
          </w:p>
          <w:p w14:paraId="2326A871" w14:textId="77777777" w:rsidR="002A11EE" w:rsidRPr="009110E9" w:rsidRDefault="002A11EE" w:rsidP="00662D5E">
            <w:pPr>
              <w:tabs>
                <w:tab w:val="left" w:pos="250"/>
              </w:tabs>
              <w:spacing w:line="240" w:lineRule="auto"/>
              <w:jc w:val="both"/>
            </w:pPr>
            <w:r w:rsidRPr="009110E9">
              <w:lastRenderedPageBreak/>
              <w:t>-</w:t>
            </w:r>
            <w:r w:rsidRPr="009110E9">
              <w:tab/>
              <w:t>Модернизиране и рехабилитация на елементите на железопътната инфраструктура в района на гаровия комплекс</w:t>
            </w:r>
          </w:p>
          <w:p w14:paraId="1D18B458" w14:textId="6B720755" w:rsidR="002A11EE" w:rsidRPr="009110E9" w:rsidRDefault="002A11EE" w:rsidP="00662D5E">
            <w:pPr>
              <w:tabs>
                <w:tab w:val="left" w:pos="250"/>
              </w:tabs>
              <w:spacing w:line="240" w:lineRule="auto"/>
              <w:jc w:val="both"/>
            </w:pPr>
            <w:r w:rsidRPr="009110E9">
              <w:t>-</w:t>
            </w:r>
            <w:r w:rsidRPr="009110E9">
              <w:tab/>
              <w:t xml:space="preserve">Обследване </w:t>
            </w:r>
            <w:r>
              <w:t xml:space="preserve">и </w:t>
            </w:r>
            <w:r w:rsidRPr="009110E9">
              <w:t>Ре</w:t>
            </w:r>
            <w:r>
              <w:t>конструкция</w:t>
            </w:r>
            <w:r w:rsidRPr="009110E9">
              <w:t xml:space="preserve"> на приемно</w:t>
            </w:r>
            <w:r>
              <w:t>то</w:t>
            </w:r>
            <w:r w:rsidRPr="009110E9">
              <w:t xml:space="preserve"> здание</w:t>
            </w:r>
          </w:p>
          <w:p w14:paraId="57CB5DC6" w14:textId="77777777" w:rsidR="002A11EE" w:rsidRPr="009110E9" w:rsidRDefault="002A11EE" w:rsidP="00662D5E">
            <w:pPr>
              <w:tabs>
                <w:tab w:val="left" w:pos="250"/>
              </w:tabs>
              <w:spacing w:line="240" w:lineRule="auto"/>
              <w:jc w:val="both"/>
            </w:pPr>
            <w:r w:rsidRPr="009110E9">
              <w:t>-</w:t>
            </w:r>
            <w:r w:rsidRPr="009110E9">
              <w:tab/>
              <w:t>Реконструкция и облагородяване на околното пространство.</w:t>
            </w:r>
          </w:p>
          <w:p w14:paraId="2FD94B8C" w14:textId="77777777" w:rsidR="002A11EE" w:rsidRPr="009110E9" w:rsidRDefault="002A11EE" w:rsidP="00662D5E">
            <w:pPr>
              <w:tabs>
                <w:tab w:val="left" w:pos="250"/>
              </w:tabs>
              <w:spacing w:line="240" w:lineRule="auto"/>
              <w:jc w:val="both"/>
            </w:pPr>
            <w:r w:rsidRPr="009110E9">
              <w:t>Описание на строителните работи:</w:t>
            </w:r>
          </w:p>
          <w:p w14:paraId="3E3412CD" w14:textId="098F358F" w:rsidR="002A11EE" w:rsidRPr="009110E9" w:rsidRDefault="002A11EE" w:rsidP="00662D5E">
            <w:pPr>
              <w:tabs>
                <w:tab w:val="left" w:pos="250"/>
              </w:tabs>
              <w:spacing w:line="240" w:lineRule="auto"/>
              <w:jc w:val="both"/>
            </w:pPr>
            <w:r w:rsidRPr="009110E9">
              <w:t xml:space="preserve">Строително-монтажните работи предвиждат изграждане на </w:t>
            </w:r>
            <w:proofErr w:type="spellStart"/>
            <w:r w:rsidRPr="009110E9">
              <w:t>безнаставов</w:t>
            </w:r>
            <w:proofErr w:type="spellEnd"/>
            <w:r w:rsidRPr="009110E9">
              <w:t xml:space="preserve"> релсов път, подновяване на долното строене, изграждане на нови приемно-отправни коловози и нови перони. Предвидено е </w:t>
            </w:r>
            <w:r>
              <w:t>рехабилитация на съществуващ</w:t>
            </w:r>
            <w:r w:rsidRPr="009110E9">
              <w:t xml:space="preserve"> пешеходен </w:t>
            </w:r>
            <w:r>
              <w:t xml:space="preserve">и транспортен </w:t>
            </w:r>
            <w:r w:rsidRPr="009110E9">
              <w:t>подлез</w:t>
            </w:r>
            <w:r>
              <w:t>, шумозащитни прегради</w:t>
            </w:r>
            <w:r w:rsidRPr="009110E9">
              <w:t xml:space="preserve">. Изграждане на нова дренажна система за ефективно отводняване на гаровите коловози, включително и на входна и изходна </w:t>
            </w:r>
            <w:proofErr w:type="spellStart"/>
            <w:r w:rsidRPr="009110E9">
              <w:t>гърловини</w:t>
            </w:r>
            <w:proofErr w:type="spellEnd"/>
            <w:r w:rsidRPr="009110E9">
              <w:t xml:space="preserve">. Подновяване на стълбовете </w:t>
            </w:r>
            <w:r>
              <w:t xml:space="preserve">и елементите </w:t>
            </w:r>
            <w:r w:rsidRPr="009110E9">
              <w:t>на контактната мрежа, съгласно изискванията за габарит.</w:t>
            </w:r>
          </w:p>
          <w:p w14:paraId="6EC20D40" w14:textId="77777777" w:rsidR="002A11EE" w:rsidRPr="009110E9" w:rsidRDefault="002A11EE" w:rsidP="00662D5E">
            <w:pPr>
              <w:tabs>
                <w:tab w:val="left" w:pos="250"/>
              </w:tabs>
              <w:spacing w:line="240" w:lineRule="auto"/>
              <w:jc w:val="both"/>
            </w:pPr>
            <w:r w:rsidRPr="009110E9">
              <w:t>Приемното здание в гаровия комплекс:</w:t>
            </w:r>
          </w:p>
          <w:p w14:paraId="258334BB" w14:textId="77777777" w:rsidR="002A11EE" w:rsidRPr="009110E9" w:rsidRDefault="002A11EE" w:rsidP="00662D5E">
            <w:pPr>
              <w:tabs>
                <w:tab w:val="left" w:pos="250"/>
              </w:tabs>
              <w:spacing w:line="240" w:lineRule="auto"/>
              <w:jc w:val="both"/>
            </w:pPr>
            <w:r w:rsidRPr="009110E9">
              <w:t>- Зона пътници - чакалня, тоалетни - жени, мъже и за ЛНП</w:t>
            </w:r>
          </w:p>
          <w:p w14:paraId="358AB3BD" w14:textId="77777777" w:rsidR="002A11EE" w:rsidRPr="009110E9" w:rsidRDefault="002A11EE" w:rsidP="00662D5E">
            <w:pPr>
              <w:tabs>
                <w:tab w:val="left" w:pos="250"/>
              </w:tabs>
              <w:spacing w:line="240" w:lineRule="auto"/>
              <w:jc w:val="both"/>
            </w:pPr>
            <w:r w:rsidRPr="009110E9">
              <w:t>- Административна зона - каса, канцелария, началник гара, ръководител движение, битово помещение</w:t>
            </w:r>
          </w:p>
          <w:p w14:paraId="251E3047" w14:textId="77777777" w:rsidR="002A11EE" w:rsidRPr="009110E9" w:rsidRDefault="002A11EE" w:rsidP="00662D5E">
            <w:pPr>
              <w:tabs>
                <w:tab w:val="left" w:pos="250"/>
              </w:tabs>
              <w:spacing w:line="240" w:lineRule="auto"/>
              <w:jc w:val="both"/>
            </w:pPr>
            <w:r w:rsidRPr="009110E9">
              <w:t>- Техническа зона - помещение телекомуникации, релейно и др.</w:t>
            </w:r>
          </w:p>
          <w:p w14:paraId="122EECBC" w14:textId="77777777" w:rsidR="002A11EE" w:rsidRPr="009110E9" w:rsidRDefault="002A11EE" w:rsidP="00662D5E">
            <w:pPr>
              <w:tabs>
                <w:tab w:val="left" w:pos="250"/>
              </w:tabs>
              <w:spacing w:line="240" w:lineRule="auto"/>
              <w:jc w:val="both"/>
            </w:pPr>
            <w:r w:rsidRPr="009110E9">
              <w:t>С обекта се предвижда оформяне на озеленени кътове и зона за отдих, необходими за комфортен престой. Предвидени са достъпни маршрути и паркоместа за хора с увреждания, означени с международен символ за достъпност.</w:t>
            </w:r>
          </w:p>
          <w:p w14:paraId="4ED1E2E4" w14:textId="77777777" w:rsidR="002A11EE" w:rsidRPr="009110E9" w:rsidRDefault="002A11EE" w:rsidP="00A279CA">
            <w:pPr>
              <w:tabs>
                <w:tab w:val="left" w:pos="250"/>
              </w:tabs>
              <w:spacing w:line="240" w:lineRule="auto"/>
              <w:jc w:val="both"/>
            </w:pPr>
          </w:p>
          <w:p w14:paraId="4402A0F9" w14:textId="0C0DBC51" w:rsidR="002A11EE" w:rsidRPr="009110E9" w:rsidRDefault="002A11EE" w:rsidP="004B33A8">
            <w:pPr>
              <w:pStyle w:val="ListParagraph"/>
              <w:numPr>
                <w:ilvl w:val="0"/>
                <w:numId w:val="4"/>
              </w:numPr>
              <w:spacing w:before="120" w:after="120"/>
              <w:jc w:val="both"/>
              <w:rPr>
                <w:b/>
                <w:bCs/>
                <w:u w:val="single"/>
              </w:rPr>
            </w:pPr>
            <w:r w:rsidRPr="009110E9">
              <w:rPr>
                <w:b/>
                <w:bCs/>
                <w:u w:val="single"/>
              </w:rPr>
              <w:t>Подготовка и изпълнение на обект - Изграждане на интермодален терминал в Горна Оряховица</w:t>
            </w:r>
          </w:p>
          <w:p w14:paraId="0BAADF75" w14:textId="77777777" w:rsidR="002A11EE" w:rsidRPr="009110E9" w:rsidRDefault="002A11EE" w:rsidP="004D2C6A">
            <w:pPr>
              <w:pStyle w:val="ListParagraph"/>
              <w:spacing w:before="120" w:after="120"/>
              <w:ind w:left="0"/>
              <w:jc w:val="both"/>
              <w:rPr>
                <w:b/>
                <w:bCs/>
                <w:u w:val="single"/>
              </w:rPr>
            </w:pPr>
          </w:p>
          <w:p w14:paraId="187CC67F" w14:textId="67AE27E2" w:rsidR="002A11EE" w:rsidRPr="009110E9" w:rsidRDefault="002A11EE" w:rsidP="004D2C6A">
            <w:pPr>
              <w:pStyle w:val="ListParagraph"/>
              <w:spacing w:before="120" w:after="120"/>
              <w:ind w:left="0"/>
              <w:jc w:val="both"/>
              <w:rPr>
                <w:bCs/>
              </w:rPr>
            </w:pPr>
            <w:r w:rsidRPr="009110E9">
              <w:rPr>
                <w:bCs/>
              </w:rPr>
              <w:t>Най-големият железопътен възел в северна България и стратегическото местоположение в основните транспортни коридори за развитие на един нов терминал, отговарящ на съвременните изисквания за подобен тип съоръжения. Въпреки многото идеи през последните двадесет години, подети инициативи от страна на МТИТС и частни субекти, към момента няма ясна визия за местоположение и капацитет за изграждане на модерен и ефективен интермодален железопътен терминал в района на Северна България.</w:t>
            </w:r>
          </w:p>
          <w:p w14:paraId="354B4A85" w14:textId="5FB36666" w:rsidR="002A11EE" w:rsidRPr="009110E9" w:rsidRDefault="002A11EE" w:rsidP="004D2C6A">
            <w:pPr>
              <w:pStyle w:val="ListParagraph"/>
              <w:spacing w:before="120" w:after="120"/>
              <w:ind w:left="0"/>
              <w:jc w:val="both"/>
              <w:rPr>
                <w:bCs/>
              </w:rPr>
            </w:pPr>
            <w:r w:rsidRPr="009110E9">
              <w:rPr>
                <w:bCs/>
              </w:rPr>
              <w:t>В обхвата на предложения обект се включват всички необходими дейности за  подготовката  и за изграждането на железопътен интермодален терминал в района на Горна Оряховица.</w:t>
            </w:r>
          </w:p>
          <w:p w14:paraId="7CA738AA" w14:textId="4E078E04" w:rsidR="002A11EE" w:rsidRPr="001E7562" w:rsidRDefault="002A11EE" w:rsidP="001E7562">
            <w:pPr>
              <w:pStyle w:val="ListParagraph"/>
              <w:ind w:left="0" w:firstLine="567"/>
              <w:jc w:val="both"/>
            </w:pPr>
            <w:r w:rsidRPr="001E7562">
              <w:t xml:space="preserve">ИМТ Горна Оряховица е предвидено да бъде железопътен/пътен интермодален терминал, отговарящ на съвременните изисквания за качество и ефективност на услугите в подобен род обекти. Предвидено е железопътната инфраструктура да бъде оперативно съвместима съгласно Директива </w:t>
            </w:r>
            <w:hyperlink r:id="rId7" w:tgtFrame="_blank" w:history="1">
              <w:r w:rsidRPr="001E7562">
                <w:rPr>
                  <w:rStyle w:val="Hyperlink"/>
                </w:rPr>
                <w:t>2016/797</w:t>
              </w:r>
            </w:hyperlink>
            <w:r w:rsidRPr="001E7562">
              <w:t xml:space="preserve">. </w:t>
            </w:r>
          </w:p>
          <w:p w14:paraId="3635D841" w14:textId="77777777" w:rsidR="002A11EE" w:rsidRDefault="002A11EE" w:rsidP="001E7562">
            <w:pPr>
              <w:pStyle w:val="ListParagraph"/>
              <w:ind w:left="0" w:firstLine="567"/>
              <w:jc w:val="both"/>
            </w:pPr>
            <w:r w:rsidRPr="001E7562">
              <w:t>Терминалът ще се изгради в непосредствена близост до летище Горна Оряховица, което се предвижда да се приспособи за карго превози. Това ще позволи терминалът в една перспектива да обедини в себе си и въздушен товарен трафик. На летище Горна Оряховица има организирано митническо бюро, което ще позволи по-бързото въвеждане в терминала на услугата по митническо освобождаване на товарите.</w:t>
            </w:r>
          </w:p>
          <w:p w14:paraId="4AB61140" w14:textId="77777777" w:rsidR="002A11EE" w:rsidRDefault="002A11EE" w:rsidP="001E7562">
            <w:pPr>
              <w:pStyle w:val="ListParagraph"/>
              <w:ind w:left="0" w:firstLine="567"/>
              <w:jc w:val="both"/>
            </w:pPr>
          </w:p>
          <w:p w14:paraId="45C0A3B5" w14:textId="77777777" w:rsidR="002A11EE" w:rsidRDefault="002A11EE" w:rsidP="001E7562">
            <w:pPr>
              <w:pStyle w:val="ListParagraph"/>
              <w:ind w:left="0" w:firstLine="567"/>
              <w:jc w:val="both"/>
            </w:pPr>
            <w:r>
              <w:rPr>
                <w:noProof/>
              </w:rPr>
              <w:lastRenderedPageBreak/>
              <w:drawing>
                <wp:inline distT="0" distB="0" distL="0" distR="0" wp14:anchorId="06C2C943" wp14:editId="79AFB926">
                  <wp:extent cx="4770120" cy="5105400"/>
                  <wp:effectExtent l="19050" t="19050" r="11430" b="19050"/>
                  <wp:docPr id="8" name="Picture 8" descr="CORE AND COMPR road net v BG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RE AND COMPR road net v BGsmal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0120" cy="5105400"/>
                          </a:xfrm>
                          <a:prstGeom prst="rect">
                            <a:avLst/>
                          </a:prstGeom>
                          <a:noFill/>
                          <a:ln w="12700" cmpd="sng">
                            <a:solidFill>
                              <a:srgbClr val="000000"/>
                            </a:solidFill>
                            <a:miter lim="800000"/>
                            <a:headEnd/>
                            <a:tailEnd/>
                          </a:ln>
                          <a:effectLst/>
                        </pic:spPr>
                      </pic:pic>
                    </a:graphicData>
                  </a:graphic>
                </wp:inline>
              </w:drawing>
            </w:r>
          </w:p>
          <w:p w14:paraId="0A554055" w14:textId="77777777" w:rsidR="002A11EE" w:rsidRDefault="002A11EE" w:rsidP="001E7562">
            <w:pPr>
              <w:pStyle w:val="ListParagraph"/>
              <w:ind w:left="0" w:firstLine="567"/>
              <w:jc w:val="both"/>
            </w:pPr>
          </w:p>
          <w:p w14:paraId="0391ADBC" w14:textId="77777777" w:rsidR="002A11EE" w:rsidRDefault="002A11EE" w:rsidP="001E7562">
            <w:pPr>
              <w:pStyle w:val="ListParagraph"/>
              <w:ind w:left="0" w:firstLine="567"/>
              <w:jc w:val="both"/>
            </w:pPr>
            <w:r w:rsidRPr="00C87B7E">
              <w:t>Към днешна дата във възловата гара Горна Оряховица е регистриран годишен трафик на товарно движение в размер на 10 334 бр. товарни влака (</w:t>
            </w:r>
            <w:proofErr w:type="spellStart"/>
            <w:r w:rsidRPr="00C87B7E">
              <w:t>стат</w:t>
            </w:r>
            <w:proofErr w:type="spellEnd"/>
            <w:r w:rsidRPr="00C87B7E">
              <w:t>. 2020год.).</w:t>
            </w:r>
            <w:r w:rsidRPr="001E7562">
              <w:t xml:space="preserve"> </w:t>
            </w:r>
            <w:r w:rsidRPr="00C87B7E">
              <w:t>Целите в изграждането и последващата експлоатация са типичните при изграждането на един изпълняващ съвременните регулации и изисквания интермодален терминал.</w:t>
            </w:r>
          </w:p>
          <w:p w14:paraId="5DD2582E" w14:textId="77777777" w:rsidR="002A11EE" w:rsidRPr="009110E9" w:rsidRDefault="002A11EE" w:rsidP="004D2C6A">
            <w:pPr>
              <w:pStyle w:val="ListParagraph"/>
              <w:spacing w:before="120" w:after="120"/>
              <w:ind w:left="0"/>
              <w:jc w:val="both"/>
              <w:rPr>
                <w:bCs/>
              </w:rPr>
            </w:pPr>
          </w:p>
          <w:p w14:paraId="698DCB01" w14:textId="672DA244" w:rsidR="002A11EE" w:rsidRPr="009110E9" w:rsidRDefault="002A11EE" w:rsidP="004D2C6A">
            <w:pPr>
              <w:pStyle w:val="ListParagraph"/>
              <w:spacing w:before="120" w:after="120"/>
              <w:ind w:left="0"/>
              <w:jc w:val="both"/>
              <w:rPr>
                <w:bCs/>
              </w:rPr>
            </w:pPr>
            <w:r w:rsidRPr="009110E9">
              <w:rPr>
                <w:b/>
                <w:bCs/>
              </w:rPr>
              <w:t xml:space="preserve">Основните цели и ползи от изграждането на ИМТ </w:t>
            </w:r>
            <w:r w:rsidRPr="009110E9">
              <w:rPr>
                <w:bCs/>
              </w:rPr>
              <w:t xml:space="preserve">Горна Оряховица </w:t>
            </w:r>
            <w:r w:rsidRPr="009110E9">
              <w:rPr>
                <w:b/>
                <w:bCs/>
              </w:rPr>
              <w:t>са следните:</w:t>
            </w:r>
          </w:p>
          <w:p w14:paraId="754CC977" w14:textId="77777777" w:rsidR="002A11EE" w:rsidRPr="009110E9" w:rsidRDefault="002A11EE" w:rsidP="004B33A8">
            <w:pPr>
              <w:pStyle w:val="ListParagraph"/>
              <w:numPr>
                <w:ilvl w:val="0"/>
                <w:numId w:val="6"/>
              </w:numPr>
              <w:tabs>
                <w:tab w:val="left" w:pos="709"/>
              </w:tabs>
              <w:spacing w:after="120"/>
              <w:ind w:left="709" w:hanging="300"/>
              <w:contextualSpacing w:val="0"/>
              <w:jc w:val="both"/>
            </w:pPr>
            <w:r w:rsidRPr="009110E9">
              <w:t>Изпълнение на насоките на ЕС за развитие на екологичен транспорт и балансиране на различните видове транспорт, в полза на железопътния, чрез привличане на товари от автомобилния към железопътния транспорт;</w:t>
            </w:r>
          </w:p>
          <w:p w14:paraId="1DD9C887" w14:textId="0AF813C0" w:rsidR="002A11EE" w:rsidRPr="009110E9" w:rsidRDefault="002A11EE" w:rsidP="004B33A8">
            <w:pPr>
              <w:pStyle w:val="ListParagraph"/>
              <w:numPr>
                <w:ilvl w:val="0"/>
                <w:numId w:val="6"/>
              </w:numPr>
              <w:tabs>
                <w:tab w:val="left" w:pos="709"/>
              </w:tabs>
              <w:spacing w:after="120"/>
              <w:ind w:left="709" w:hanging="300"/>
              <w:contextualSpacing w:val="0"/>
              <w:jc w:val="both"/>
            </w:pPr>
            <w:r w:rsidRPr="009110E9">
              <w:t>Подобряване на интермодалността в северен централен район и привличането на повече потребители и оператори, което ще доведе до увеличаване на интермодални превози;</w:t>
            </w:r>
          </w:p>
          <w:p w14:paraId="46EEA4E8" w14:textId="77777777" w:rsidR="002A11EE" w:rsidRPr="009110E9" w:rsidRDefault="002A11EE" w:rsidP="004B33A8">
            <w:pPr>
              <w:pStyle w:val="ListParagraph"/>
              <w:numPr>
                <w:ilvl w:val="0"/>
                <w:numId w:val="6"/>
              </w:numPr>
              <w:tabs>
                <w:tab w:val="left" w:pos="709"/>
              </w:tabs>
              <w:spacing w:after="120"/>
              <w:ind w:left="709" w:hanging="300"/>
              <w:contextualSpacing w:val="0"/>
              <w:jc w:val="both"/>
            </w:pPr>
            <w:r w:rsidRPr="009110E9">
              <w:t>Увеличаване на конкуренцията на транспортния пазар посредством подобряване качеството на железопътните услуги;</w:t>
            </w:r>
          </w:p>
          <w:p w14:paraId="4C392528" w14:textId="77777777" w:rsidR="002A11EE" w:rsidRPr="009110E9" w:rsidRDefault="002A11EE" w:rsidP="004B33A8">
            <w:pPr>
              <w:pStyle w:val="ListParagraph"/>
              <w:numPr>
                <w:ilvl w:val="0"/>
                <w:numId w:val="6"/>
              </w:numPr>
              <w:tabs>
                <w:tab w:val="left" w:pos="709"/>
              </w:tabs>
              <w:spacing w:after="120"/>
              <w:ind w:left="709" w:hanging="300"/>
              <w:contextualSpacing w:val="0"/>
              <w:jc w:val="both"/>
            </w:pPr>
            <w:r w:rsidRPr="009110E9">
              <w:t>Увеличаване на националния и международния трафик на комбинирани превози;</w:t>
            </w:r>
          </w:p>
          <w:p w14:paraId="66FC0AEF" w14:textId="6A1A6F82" w:rsidR="002A11EE" w:rsidRPr="009110E9" w:rsidRDefault="002A11EE" w:rsidP="009110E9">
            <w:pPr>
              <w:spacing w:line="240" w:lineRule="auto"/>
              <w:jc w:val="both"/>
            </w:pPr>
            <w:r w:rsidRPr="009110E9">
              <w:t>Подобряване на социално-икономическите условия в региона.</w:t>
            </w:r>
          </w:p>
          <w:p w14:paraId="4201D2C4" w14:textId="6AF74E1B" w:rsidR="002A11EE" w:rsidRPr="009110E9" w:rsidRDefault="002A11EE" w:rsidP="008642F2">
            <w:pPr>
              <w:spacing w:before="120" w:after="120"/>
              <w:jc w:val="both"/>
              <w:rPr>
                <w:bCs/>
                <w:u w:val="single"/>
              </w:rPr>
            </w:pPr>
            <w:r w:rsidRPr="009110E9">
              <w:rPr>
                <w:b/>
                <w:bCs/>
                <w:u w:val="single"/>
              </w:rPr>
              <w:t xml:space="preserve">Специфичните цели от </w:t>
            </w:r>
            <w:r w:rsidRPr="009110E9">
              <w:rPr>
                <w:b/>
                <w:bCs/>
              </w:rPr>
              <w:t xml:space="preserve">изграждането на ИМТ </w:t>
            </w:r>
            <w:r w:rsidRPr="009110E9">
              <w:rPr>
                <w:bCs/>
              </w:rPr>
              <w:t>Горна Оряховица</w:t>
            </w:r>
            <w:r w:rsidRPr="009110E9">
              <w:rPr>
                <w:b/>
                <w:bCs/>
                <w:u w:val="single"/>
              </w:rPr>
              <w:t xml:space="preserve"> са</w:t>
            </w:r>
            <w:r w:rsidRPr="009110E9">
              <w:rPr>
                <w:bCs/>
                <w:u w:val="single"/>
              </w:rPr>
              <w:t>:</w:t>
            </w:r>
          </w:p>
          <w:p w14:paraId="5AFF6F09" w14:textId="77777777" w:rsidR="002A11EE" w:rsidRPr="009110E9" w:rsidRDefault="002A11EE" w:rsidP="004B33A8">
            <w:pPr>
              <w:numPr>
                <w:ilvl w:val="0"/>
                <w:numId w:val="6"/>
              </w:numPr>
              <w:spacing w:before="120" w:after="120"/>
              <w:jc w:val="both"/>
              <w:rPr>
                <w:bCs/>
                <w:u w:val="single"/>
              </w:rPr>
            </w:pPr>
            <w:r w:rsidRPr="009110E9">
              <w:rPr>
                <w:bCs/>
                <w:u w:val="single"/>
              </w:rPr>
              <w:lastRenderedPageBreak/>
              <w:t>Разширяване на националната мрежата от интермодални терминали, отговарящи на европейските стандарти;</w:t>
            </w:r>
          </w:p>
          <w:p w14:paraId="14539133" w14:textId="77777777" w:rsidR="002A11EE" w:rsidRPr="009110E9" w:rsidRDefault="002A11EE" w:rsidP="004B33A8">
            <w:pPr>
              <w:numPr>
                <w:ilvl w:val="0"/>
                <w:numId w:val="6"/>
              </w:numPr>
              <w:spacing w:before="120" w:after="120"/>
              <w:jc w:val="both"/>
              <w:rPr>
                <w:bCs/>
                <w:u w:val="single"/>
              </w:rPr>
            </w:pPr>
            <w:r w:rsidRPr="009110E9">
              <w:rPr>
                <w:bCs/>
                <w:u w:val="single"/>
              </w:rPr>
              <w:t>Повишаване качеството на товарните транспортни услуги и на ефективността при превоз/обработка на големи обеми товари;</w:t>
            </w:r>
          </w:p>
          <w:p w14:paraId="64F61EB4" w14:textId="77777777" w:rsidR="002A11EE" w:rsidRPr="009110E9" w:rsidRDefault="002A11EE" w:rsidP="004B33A8">
            <w:pPr>
              <w:numPr>
                <w:ilvl w:val="0"/>
                <w:numId w:val="6"/>
              </w:numPr>
              <w:spacing w:before="120" w:after="120"/>
              <w:jc w:val="both"/>
              <w:rPr>
                <w:bCs/>
                <w:u w:val="single"/>
              </w:rPr>
            </w:pPr>
            <w:r w:rsidRPr="009110E9">
              <w:rPr>
                <w:bCs/>
                <w:u w:val="single"/>
              </w:rPr>
              <w:t>Подобряване на условията за развитие на интермодално сътрудничество и повишаване ръста на интермодалните превози, чрез подобряване на капацитета за обработка на товарите.</w:t>
            </w:r>
          </w:p>
          <w:p w14:paraId="5780642B" w14:textId="77777777" w:rsidR="002A11EE" w:rsidRPr="009110E9" w:rsidRDefault="002A11EE" w:rsidP="008642F2">
            <w:pPr>
              <w:rPr>
                <w:b/>
                <w:u w:val="single"/>
              </w:rPr>
            </w:pPr>
            <w:r w:rsidRPr="009110E9">
              <w:rPr>
                <w:b/>
                <w:u w:val="single"/>
              </w:rPr>
              <w:t>Основните икономически и социални ползи от реализацията на проекта са следните:</w:t>
            </w:r>
          </w:p>
          <w:p w14:paraId="738FA3BA" w14:textId="77777777" w:rsidR="002A11EE" w:rsidRPr="009110E9" w:rsidRDefault="002A11EE" w:rsidP="004B33A8">
            <w:pPr>
              <w:pStyle w:val="ListParagraph1"/>
              <w:numPr>
                <w:ilvl w:val="0"/>
                <w:numId w:val="7"/>
              </w:numPr>
              <w:spacing w:line="276" w:lineRule="auto"/>
              <w:ind w:left="567" w:hanging="283"/>
              <w:rPr>
                <w:rFonts w:ascii="Arial" w:hAnsi="Arial" w:cs="Arial"/>
                <w:sz w:val="22"/>
                <w:szCs w:val="22"/>
                <w:lang w:val="bg-BG"/>
              </w:rPr>
            </w:pPr>
            <w:r w:rsidRPr="009110E9">
              <w:rPr>
                <w:rFonts w:ascii="Arial" w:hAnsi="Arial" w:cs="Arial"/>
                <w:sz w:val="22"/>
                <w:szCs w:val="22"/>
                <w:lang w:val="bg-BG"/>
              </w:rPr>
              <w:t xml:space="preserve">Ползи от икономии от експлоатационни разходи на превозните средства; </w:t>
            </w:r>
          </w:p>
          <w:p w14:paraId="68891C2A" w14:textId="77777777" w:rsidR="002A11EE" w:rsidRPr="009110E9" w:rsidRDefault="002A11EE" w:rsidP="004B33A8">
            <w:pPr>
              <w:pStyle w:val="ListParagraph1"/>
              <w:numPr>
                <w:ilvl w:val="0"/>
                <w:numId w:val="7"/>
              </w:numPr>
              <w:spacing w:line="276" w:lineRule="auto"/>
              <w:ind w:left="567" w:hanging="283"/>
              <w:rPr>
                <w:rFonts w:ascii="Arial" w:hAnsi="Arial" w:cs="Arial"/>
                <w:sz w:val="22"/>
                <w:szCs w:val="22"/>
                <w:lang w:val="bg-BG"/>
              </w:rPr>
            </w:pPr>
            <w:r w:rsidRPr="009110E9">
              <w:rPr>
                <w:rFonts w:ascii="Arial" w:hAnsi="Arial" w:cs="Arial"/>
                <w:sz w:val="22"/>
                <w:szCs w:val="22"/>
                <w:lang w:val="bg-BG"/>
              </w:rPr>
              <w:t>Ползи от намален брой инциденти;</w:t>
            </w:r>
            <w:r w:rsidRPr="009110E9">
              <w:rPr>
                <w:rFonts w:ascii="Arial" w:hAnsi="Arial" w:cs="Arial"/>
                <w:sz w:val="22"/>
                <w:szCs w:val="22"/>
                <w:lang w:val="bg-BG"/>
              </w:rPr>
              <w:tab/>
            </w:r>
          </w:p>
          <w:p w14:paraId="6F0A725D" w14:textId="77777777" w:rsidR="002A11EE" w:rsidRPr="009110E9" w:rsidRDefault="002A11EE" w:rsidP="004B33A8">
            <w:pPr>
              <w:pStyle w:val="ListParagraph1"/>
              <w:numPr>
                <w:ilvl w:val="0"/>
                <w:numId w:val="7"/>
              </w:numPr>
              <w:spacing w:line="276" w:lineRule="auto"/>
              <w:ind w:left="567" w:hanging="283"/>
              <w:rPr>
                <w:rFonts w:ascii="Arial" w:hAnsi="Arial" w:cs="Arial"/>
                <w:sz w:val="22"/>
                <w:szCs w:val="22"/>
                <w:lang w:val="bg-BG"/>
              </w:rPr>
            </w:pPr>
            <w:r w:rsidRPr="009110E9">
              <w:rPr>
                <w:rFonts w:ascii="Arial" w:hAnsi="Arial" w:cs="Arial"/>
                <w:sz w:val="22"/>
                <w:szCs w:val="22"/>
                <w:lang w:val="bg-BG"/>
              </w:rPr>
              <w:t>Ползи от намаляване замърсяванията на въздуха;</w:t>
            </w:r>
            <w:r w:rsidRPr="009110E9">
              <w:rPr>
                <w:rFonts w:ascii="Arial" w:hAnsi="Arial" w:cs="Arial"/>
                <w:sz w:val="22"/>
                <w:szCs w:val="22"/>
                <w:lang w:val="bg-BG"/>
              </w:rPr>
              <w:tab/>
            </w:r>
          </w:p>
          <w:p w14:paraId="7ED24454" w14:textId="77777777" w:rsidR="002A11EE" w:rsidRPr="009110E9" w:rsidRDefault="002A11EE" w:rsidP="004B33A8">
            <w:pPr>
              <w:pStyle w:val="ListParagraph1"/>
              <w:numPr>
                <w:ilvl w:val="0"/>
                <w:numId w:val="7"/>
              </w:numPr>
              <w:spacing w:line="276" w:lineRule="auto"/>
              <w:ind w:left="567" w:hanging="283"/>
              <w:rPr>
                <w:rFonts w:ascii="Arial" w:hAnsi="Arial" w:cs="Arial"/>
                <w:sz w:val="22"/>
                <w:szCs w:val="22"/>
                <w:lang w:val="bg-BG"/>
              </w:rPr>
            </w:pPr>
            <w:r w:rsidRPr="009110E9">
              <w:rPr>
                <w:rFonts w:ascii="Arial" w:hAnsi="Arial" w:cs="Arial"/>
                <w:sz w:val="22"/>
                <w:szCs w:val="22"/>
                <w:lang w:val="bg-BG"/>
              </w:rPr>
              <w:t>Ползи от намаляване на въздействията върху промените на климата;</w:t>
            </w:r>
          </w:p>
          <w:p w14:paraId="6394561B" w14:textId="77777777" w:rsidR="002A11EE" w:rsidRPr="009110E9" w:rsidRDefault="002A11EE" w:rsidP="004B33A8">
            <w:pPr>
              <w:pStyle w:val="ListParagraph1"/>
              <w:numPr>
                <w:ilvl w:val="0"/>
                <w:numId w:val="7"/>
              </w:numPr>
              <w:spacing w:line="276" w:lineRule="auto"/>
              <w:ind w:left="567" w:hanging="283"/>
              <w:rPr>
                <w:rFonts w:ascii="Arial" w:hAnsi="Arial" w:cs="Arial"/>
                <w:sz w:val="22"/>
                <w:szCs w:val="22"/>
                <w:lang w:val="bg-BG"/>
              </w:rPr>
            </w:pPr>
            <w:r w:rsidRPr="009110E9">
              <w:rPr>
                <w:rFonts w:ascii="Arial" w:hAnsi="Arial" w:cs="Arial"/>
                <w:sz w:val="22"/>
                <w:szCs w:val="22"/>
                <w:lang w:val="bg-BG"/>
              </w:rPr>
              <w:t>Ползи от намаляване на шумовите въздействия.</w:t>
            </w:r>
            <w:r w:rsidRPr="009110E9">
              <w:rPr>
                <w:rFonts w:ascii="Arial" w:hAnsi="Arial" w:cs="Arial"/>
                <w:sz w:val="22"/>
                <w:szCs w:val="22"/>
                <w:lang w:val="bg-BG"/>
              </w:rPr>
              <w:tab/>
            </w:r>
          </w:p>
          <w:p w14:paraId="4CB832EF" w14:textId="77777777" w:rsidR="002A11EE" w:rsidRPr="009110E9" w:rsidRDefault="002A11EE" w:rsidP="008642F2">
            <w:pPr>
              <w:jc w:val="both"/>
            </w:pPr>
            <w:r w:rsidRPr="009110E9">
              <w:t>Ползите от намалени разходи за потребителите, свързани с експлоатационните разходи за транспортните средства, се акумулират от разликата в експлоатационните разходи за превоз на контейнери с тежкотоварни автомобили и с железопътния транспорт.</w:t>
            </w:r>
          </w:p>
          <w:p w14:paraId="5186CE98" w14:textId="77777777" w:rsidR="002A11EE" w:rsidRPr="009110E9" w:rsidRDefault="002A11EE" w:rsidP="008642F2">
            <w:pPr>
              <w:jc w:val="both"/>
            </w:pPr>
            <w:r w:rsidRPr="009110E9">
              <w:t>Ползите от намаляване замърсяванията на въздуха се акумулират от прехвърлянето на превоза на контейнери от автомобилен към железопътен транспорт, като се отчита и влиянието на евростандартите при тежкотоварните автомобили.</w:t>
            </w:r>
          </w:p>
          <w:p w14:paraId="3BB079E8" w14:textId="495AF39D" w:rsidR="002A11EE" w:rsidRPr="009110E9" w:rsidRDefault="002A11EE" w:rsidP="008642F2">
            <w:pPr>
              <w:jc w:val="both"/>
            </w:pPr>
            <w:r w:rsidRPr="009110E9">
              <w:t xml:space="preserve">Ползите от намаляване на шума са в резултат на пренасочване на превоза на контейнери от автомобилен към железопътен транспорт. </w:t>
            </w:r>
          </w:p>
          <w:p w14:paraId="7C418734" w14:textId="51D822E1" w:rsidR="002A11EE" w:rsidRDefault="002A11EE" w:rsidP="008642F2">
            <w:pPr>
              <w:jc w:val="both"/>
            </w:pPr>
            <w:r w:rsidRPr="009110E9">
              <w:t>Ползите от намаляване на разходите за промени в климата са резултат от намалените емисии на парникови газове в резултат на пренасочване на трафика за превоз на контейнери от автомобилен към железопътен транспорт.</w:t>
            </w:r>
          </w:p>
          <w:p w14:paraId="16D07966" w14:textId="4A473D9D" w:rsidR="002A11EE" w:rsidRPr="001E7562" w:rsidRDefault="002A11EE" w:rsidP="00C87B7E">
            <w:pPr>
              <w:pStyle w:val="ListParagraph"/>
              <w:ind w:left="0"/>
              <w:jc w:val="both"/>
              <w:rPr>
                <w:b/>
              </w:rPr>
            </w:pPr>
            <w:r w:rsidRPr="001E7562">
              <w:t xml:space="preserve">Предвижда се първоначалният капацитет на терминала да е 57 000 ТЕУ на година, с възможност за увеличаване до 114 000 ТЕУ/год. </w:t>
            </w:r>
            <w:r w:rsidRPr="001E7562">
              <w:rPr>
                <w:b/>
              </w:rPr>
              <w:t xml:space="preserve">Той ще е предназначен за контейнерни превози (контейнери, полуремаркета, други стандартизирани товари). </w:t>
            </w:r>
            <w:r w:rsidRPr="001E7562">
              <w:t xml:space="preserve">Жп възел Горна Оряховица е стратегически център, в който се пресичат потоците изток-запад и север-юг на железопътната мрежа в Република България. Като такъв стратегически железопътен център – </w:t>
            </w:r>
            <w:r w:rsidRPr="001E7562">
              <w:rPr>
                <w:b/>
              </w:rPr>
              <w:t>интермодален терминал в района на Горна Оряхови е включ</w:t>
            </w:r>
            <w:r>
              <w:rPr>
                <w:b/>
              </w:rPr>
              <w:t xml:space="preserve">ен </w:t>
            </w:r>
            <w:r w:rsidRPr="001E7562">
              <w:rPr>
                <w:b/>
              </w:rPr>
              <w:t xml:space="preserve">в основната ТЕН-Т мрежа като железопътен-пътен товарен терминал по Регламент (ЕС) № 1315/2013 на ЕС. </w:t>
            </w:r>
          </w:p>
          <w:p w14:paraId="34928D45" w14:textId="0890555E" w:rsidR="002A11EE" w:rsidRDefault="002A11EE" w:rsidP="00C87B7E">
            <w:pPr>
              <w:pStyle w:val="ListParagraph"/>
              <w:ind w:left="0"/>
              <w:jc w:val="both"/>
            </w:pPr>
            <w:r w:rsidRPr="00C87B7E">
              <w:t>Относно сроковете за изпълнение на проекта – с оглед предишно изпълнени проекти за подготовка и строителство на ИМТ, считаме че те са напълно изпълними и реалистични</w:t>
            </w:r>
            <w:r w:rsidRPr="001E7562">
              <w:t xml:space="preserve">. </w:t>
            </w:r>
            <w:r>
              <w:t>П</w:t>
            </w:r>
            <w:r w:rsidRPr="001E7562">
              <w:t>одготовката вече е стартирана, като са разпратени писма за инвестиционно намерение до държавни и местни институции за прехвърляне собственост върху подходящи имоти.</w:t>
            </w:r>
          </w:p>
          <w:p w14:paraId="78ECD27E" w14:textId="730E5F10" w:rsidR="002A11EE" w:rsidRPr="009110E9" w:rsidRDefault="002A11EE" w:rsidP="008642F2">
            <w:pPr>
              <w:pStyle w:val="Style3"/>
              <w:tabs>
                <w:tab w:val="left" w:pos="941"/>
                <w:tab w:val="left" w:pos="1276"/>
              </w:tabs>
              <w:spacing w:line="266" w:lineRule="auto"/>
              <w:ind w:right="34"/>
              <w:jc w:val="both"/>
              <w:rPr>
                <w:rFonts w:ascii="Arial" w:hAnsi="Arial" w:cs="Arial"/>
                <w:iCs/>
                <w:sz w:val="22"/>
                <w:szCs w:val="22"/>
                <w:lang w:val="ru-RU"/>
              </w:rPr>
            </w:pPr>
            <w:proofErr w:type="spellStart"/>
            <w:r w:rsidRPr="009110E9">
              <w:rPr>
                <w:rFonts w:ascii="Arial" w:hAnsi="Arial" w:cs="Arial"/>
                <w:iCs/>
                <w:sz w:val="22"/>
                <w:szCs w:val="22"/>
                <w:lang w:val="ru-RU"/>
              </w:rPr>
              <w:t>Проектът</w:t>
            </w:r>
            <w:proofErr w:type="spellEnd"/>
            <w:r w:rsidRPr="009110E9">
              <w:rPr>
                <w:rFonts w:ascii="Arial" w:hAnsi="Arial" w:cs="Arial"/>
                <w:iCs/>
                <w:sz w:val="22"/>
                <w:szCs w:val="22"/>
                <w:lang w:val="ru-RU"/>
              </w:rPr>
              <w:t xml:space="preserve"> </w:t>
            </w:r>
            <w:proofErr w:type="spellStart"/>
            <w:r w:rsidRPr="009110E9">
              <w:rPr>
                <w:rFonts w:ascii="Arial" w:hAnsi="Arial" w:cs="Arial"/>
                <w:iCs/>
                <w:sz w:val="22"/>
                <w:szCs w:val="22"/>
                <w:lang w:val="ru-RU"/>
              </w:rPr>
              <w:t>ще</w:t>
            </w:r>
            <w:proofErr w:type="spellEnd"/>
            <w:r w:rsidRPr="009110E9">
              <w:rPr>
                <w:rFonts w:ascii="Arial" w:hAnsi="Arial" w:cs="Arial"/>
                <w:iCs/>
                <w:sz w:val="22"/>
                <w:szCs w:val="22"/>
                <w:lang w:val="ru-RU"/>
              </w:rPr>
              <w:t xml:space="preserve"> </w:t>
            </w:r>
            <w:proofErr w:type="spellStart"/>
            <w:r w:rsidRPr="009110E9">
              <w:rPr>
                <w:rFonts w:ascii="Arial" w:hAnsi="Arial" w:cs="Arial"/>
                <w:iCs/>
                <w:sz w:val="22"/>
                <w:szCs w:val="22"/>
                <w:lang w:val="ru-RU"/>
              </w:rPr>
              <w:t>допринесе</w:t>
            </w:r>
            <w:proofErr w:type="spellEnd"/>
            <w:r w:rsidRPr="009110E9">
              <w:rPr>
                <w:rFonts w:ascii="Arial" w:hAnsi="Arial" w:cs="Arial"/>
                <w:iCs/>
                <w:sz w:val="22"/>
                <w:szCs w:val="22"/>
                <w:lang w:val="ru-RU"/>
              </w:rPr>
              <w:t xml:space="preserve"> за </w:t>
            </w:r>
            <w:proofErr w:type="spellStart"/>
            <w:r w:rsidRPr="009110E9">
              <w:rPr>
                <w:rFonts w:ascii="Arial" w:hAnsi="Arial" w:cs="Arial"/>
                <w:iCs/>
                <w:sz w:val="22"/>
                <w:szCs w:val="22"/>
                <w:lang w:val="ru-RU"/>
              </w:rPr>
              <w:t>социално-икономическото</w:t>
            </w:r>
            <w:proofErr w:type="spellEnd"/>
            <w:r w:rsidRPr="009110E9">
              <w:rPr>
                <w:rFonts w:ascii="Arial" w:hAnsi="Arial" w:cs="Arial"/>
                <w:iCs/>
                <w:sz w:val="22"/>
                <w:szCs w:val="22"/>
                <w:lang w:val="ru-RU"/>
              </w:rPr>
              <w:t xml:space="preserve"> развитие, чрез:</w:t>
            </w:r>
          </w:p>
          <w:p w14:paraId="30542EAD"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proofErr w:type="spellStart"/>
            <w:r w:rsidRPr="009110E9">
              <w:rPr>
                <w:rFonts w:ascii="Arial" w:hAnsi="Arial" w:cs="Arial"/>
                <w:iCs/>
                <w:sz w:val="22"/>
                <w:szCs w:val="22"/>
                <w:lang w:val="ru-RU"/>
              </w:rPr>
              <w:t>Създаване</w:t>
            </w:r>
            <w:proofErr w:type="spellEnd"/>
            <w:r w:rsidRPr="009110E9">
              <w:rPr>
                <w:rFonts w:ascii="Arial" w:hAnsi="Arial" w:cs="Arial"/>
                <w:iCs/>
                <w:sz w:val="22"/>
                <w:szCs w:val="22"/>
                <w:lang w:val="ru-RU"/>
              </w:rPr>
              <w:t xml:space="preserve"> на условия за </w:t>
            </w:r>
            <w:proofErr w:type="spellStart"/>
            <w:r w:rsidRPr="009110E9">
              <w:rPr>
                <w:rFonts w:ascii="Arial" w:hAnsi="Arial" w:cs="Arial"/>
                <w:iCs/>
                <w:sz w:val="22"/>
                <w:szCs w:val="22"/>
                <w:lang w:val="ru-RU"/>
              </w:rPr>
              <w:t>създаване</w:t>
            </w:r>
            <w:proofErr w:type="spellEnd"/>
            <w:r w:rsidRPr="009110E9">
              <w:rPr>
                <w:rFonts w:ascii="Arial" w:hAnsi="Arial" w:cs="Arial"/>
                <w:iCs/>
                <w:sz w:val="22"/>
                <w:szCs w:val="22"/>
                <w:lang w:val="ru-RU"/>
              </w:rPr>
              <w:t xml:space="preserve"> на </w:t>
            </w:r>
            <w:proofErr w:type="spellStart"/>
            <w:r w:rsidRPr="009110E9">
              <w:rPr>
                <w:rFonts w:ascii="Arial" w:hAnsi="Arial" w:cs="Arial"/>
                <w:iCs/>
                <w:sz w:val="22"/>
                <w:szCs w:val="22"/>
                <w:lang w:val="ru-RU"/>
              </w:rPr>
              <w:t>търговско-логистичен</w:t>
            </w:r>
            <w:proofErr w:type="spellEnd"/>
            <w:r w:rsidRPr="009110E9">
              <w:rPr>
                <w:rFonts w:ascii="Arial" w:hAnsi="Arial" w:cs="Arial"/>
                <w:iCs/>
                <w:sz w:val="22"/>
                <w:szCs w:val="22"/>
                <w:lang w:val="ru-RU"/>
              </w:rPr>
              <w:t xml:space="preserve"> комплекс и развитие на </w:t>
            </w:r>
            <w:proofErr w:type="spellStart"/>
            <w:r w:rsidRPr="009110E9">
              <w:rPr>
                <w:rFonts w:ascii="Arial" w:hAnsi="Arial" w:cs="Arial"/>
                <w:iCs/>
                <w:sz w:val="22"/>
                <w:szCs w:val="22"/>
                <w:lang w:val="ru-RU"/>
              </w:rPr>
              <w:t>услугите</w:t>
            </w:r>
            <w:proofErr w:type="spellEnd"/>
            <w:r w:rsidRPr="009110E9">
              <w:rPr>
                <w:rFonts w:ascii="Arial" w:hAnsi="Arial" w:cs="Arial"/>
                <w:iCs/>
                <w:sz w:val="22"/>
                <w:szCs w:val="22"/>
                <w:lang w:val="ru-RU"/>
              </w:rPr>
              <w:t xml:space="preserve">, </w:t>
            </w:r>
            <w:proofErr w:type="spellStart"/>
            <w:r w:rsidRPr="009110E9">
              <w:rPr>
                <w:rFonts w:ascii="Arial" w:hAnsi="Arial" w:cs="Arial"/>
                <w:iCs/>
                <w:sz w:val="22"/>
                <w:szCs w:val="22"/>
                <w:lang w:val="ru-RU"/>
              </w:rPr>
              <w:t>свързани</w:t>
            </w:r>
            <w:proofErr w:type="spellEnd"/>
            <w:r w:rsidRPr="009110E9">
              <w:rPr>
                <w:rFonts w:ascii="Arial" w:hAnsi="Arial" w:cs="Arial"/>
                <w:iCs/>
                <w:sz w:val="22"/>
                <w:szCs w:val="22"/>
                <w:lang w:val="ru-RU"/>
              </w:rPr>
              <w:t xml:space="preserve"> с него;</w:t>
            </w:r>
          </w:p>
          <w:p w14:paraId="288F62EA"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r w:rsidRPr="009110E9">
              <w:rPr>
                <w:rFonts w:ascii="Arial" w:hAnsi="Arial" w:cs="Arial"/>
                <w:iCs/>
                <w:sz w:val="22"/>
                <w:szCs w:val="22"/>
                <w:lang w:val="ru-RU"/>
              </w:rPr>
              <w:t xml:space="preserve">Увеличение на приходите в </w:t>
            </w:r>
            <w:proofErr w:type="spellStart"/>
            <w:r w:rsidRPr="009110E9">
              <w:rPr>
                <w:rFonts w:ascii="Arial" w:hAnsi="Arial" w:cs="Arial"/>
                <w:iCs/>
                <w:sz w:val="22"/>
                <w:szCs w:val="22"/>
                <w:lang w:val="ru-RU"/>
              </w:rPr>
              <w:t>местния</w:t>
            </w:r>
            <w:proofErr w:type="spellEnd"/>
            <w:r w:rsidRPr="009110E9">
              <w:rPr>
                <w:rFonts w:ascii="Arial" w:hAnsi="Arial" w:cs="Arial"/>
                <w:iCs/>
                <w:sz w:val="22"/>
                <w:szCs w:val="22"/>
                <w:lang w:val="ru-RU"/>
              </w:rPr>
              <w:t xml:space="preserve"> бюджет;</w:t>
            </w:r>
          </w:p>
          <w:p w14:paraId="1FD26A1A"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r w:rsidRPr="009110E9">
              <w:rPr>
                <w:rFonts w:ascii="Arial" w:hAnsi="Arial" w:cs="Arial"/>
                <w:iCs/>
                <w:sz w:val="22"/>
                <w:szCs w:val="22"/>
              </w:rPr>
              <w:t>Подобряване на екологичната обстановка - намаляване на шум и замърсяване, чрез пренасочване на товари от автомобилния към железопътния транспорт;</w:t>
            </w:r>
          </w:p>
          <w:p w14:paraId="663D18AC"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proofErr w:type="spellStart"/>
            <w:r w:rsidRPr="009110E9">
              <w:rPr>
                <w:rFonts w:ascii="Arial" w:hAnsi="Arial" w:cs="Arial"/>
                <w:iCs/>
                <w:sz w:val="22"/>
                <w:szCs w:val="22"/>
                <w:lang w:val="ru-RU"/>
              </w:rPr>
              <w:t>Повишаване</w:t>
            </w:r>
            <w:proofErr w:type="spellEnd"/>
            <w:r w:rsidRPr="009110E9">
              <w:rPr>
                <w:rFonts w:ascii="Arial" w:hAnsi="Arial" w:cs="Arial"/>
                <w:iCs/>
                <w:sz w:val="22"/>
                <w:szCs w:val="22"/>
                <w:lang w:val="ru-RU"/>
              </w:rPr>
              <w:t xml:space="preserve"> стандарта на живот;</w:t>
            </w:r>
          </w:p>
          <w:p w14:paraId="50E86549"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proofErr w:type="spellStart"/>
            <w:r w:rsidRPr="009110E9">
              <w:rPr>
                <w:rFonts w:ascii="Arial" w:hAnsi="Arial" w:cs="Arial"/>
                <w:iCs/>
                <w:sz w:val="22"/>
                <w:szCs w:val="22"/>
                <w:lang w:val="ru-RU"/>
              </w:rPr>
              <w:t>Намаляване</w:t>
            </w:r>
            <w:proofErr w:type="spellEnd"/>
            <w:r w:rsidRPr="009110E9">
              <w:rPr>
                <w:rFonts w:ascii="Arial" w:hAnsi="Arial" w:cs="Arial"/>
                <w:iCs/>
                <w:sz w:val="22"/>
                <w:szCs w:val="22"/>
                <w:lang w:val="ru-RU"/>
              </w:rPr>
              <w:t xml:space="preserve"> </w:t>
            </w:r>
            <w:proofErr w:type="gramStart"/>
            <w:r w:rsidRPr="009110E9">
              <w:rPr>
                <w:rFonts w:ascii="Arial" w:hAnsi="Arial" w:cs="Arial"/>
                <w:iCs/>
                <w:sz w:val="22"/>
                <w:szCs w:val="22"/>
                <w:lang w:val="ru-RU"/>
              </w:rPr>
              <w:t>на трафика</w:t>
            </w:r>
            <w:proofErr w:type="gramEnd"/>
            <w:r w:rsidRPr="009110E9">
              <w:rPr>
                <w:rFonts w:ascii="Arial" w:hAnsi="Arial" w:cs="Arial"/>
                <w:iCs/>
                <w:sz w:val="22"/>
                <w:szCs w:val="22"/>
                <w:lang w:val="ru-RU"/>
              </w:rPr>
              <w:t xml:space="preserve"> по </w:t>
            </w:r>
            <w:proofErr w:type="spellStart"/>
            <w:r w:rsidRPr="009110E9">
              <w:rPr>
                <w:rFonts w:ascii="Arial" w:hAnsi="Arial" w:cs="Arial"/>
                <w:iCs/>
                <w:sz w:val="22"/>
                <w:szCs w:val="22"/>
                <w:lang w:val="ru-RU"/>
              </w:rPr>
              <w:t>пътищата</w:t>
            </w:r>
            <w:proofErr w:type="spellEnd"/>
            <w:r w:rsidRPr="009110E9">
              <w:rPr>
                <w:rFonts w:ascii="Arial" w:hAnsi="Arial" w:cs="Arial"/>
                <w:iCs/>
                <w:sz w:val="22"/>
                <w:szCs w:val="22"/>
                <w:lang w:val="ru-RU"/>
              </w:rPr>
              <w:t xml:space="preserve"> и ПТП от </w:t>
            </w:r>
            <w:proofErr w:type="spellStart"/>
            <w:r w:rsidRPr="009110E9">
              <w:rPr>
                <w:rFonts w:ascii="Arial" w:hAnsi="Arial" w:cs="Arial"/>
                <w:iCs/>
                <w:sz w:val="22"/>
                <w:szCs w:val="22"/>
                <w:lang w:val="ru-RU"/>
              </w:rPr>
              <w:t>пренасочване</w:t>
            </w:r>
            <w:proofErr w:type="spellEnd"/>
            <w:r w:rsidRPr="009110E9">
              <w:rPr>
                <w:rFonts w:ascii="Arial" w:hAnsi="Arial" w:cs="Arial"/>
                <w:iCs/>
                <w:sz w:val="22"/>
                <w:szCs w:val="22"/>
                <w:lang w:val="ru-RU"/>
              </w:rPr>
              <w:t xml:space="preserve"> на </w:t>
            </w:r>
            <w:proofErr w:type="spellStart"/>
            <w:r w:rsidRPr="009110E9">
              <w:rPr>
                <w:rFonts w:ascii="Arial" w:hAnsi="Arial" w:cs="Arial"/>
                <w:iCs/>
                <w:sz w:val="22"/>
                <w:szCs w:val="22"/>
                <w:lang w:val="ru-RU"/>
              </w:rPr>
              <w:t>движението</w:t>
            </w:r>
            <w:proofErr w:type="spellEnd"/>
            <w:r w:rsidRPr="009110E9">
              <w:rPr>
                <w:rFonts w:ascii="Arial" w:hAnsi="Arial" w:cs="Arial"/>
                <w:iCs/>
                <w:sz w:val="22"/>
                <w:szCs w:val="22"/>
                <w:lang w:val="ru-RU"/>
              </w:rPr>
              <w:t xml:space="preserve"> на </w:t>
            </w:r>
            <w:proofErr w:type="spellStart"/>
            <w:r w:rsidRPr="009110E9">
              <w:rPr>
                <w:rFonts w:ascii="Arial" w:hAnsi="Arial" w:cs="Arial"/>
                <w:iCs/>
                <w:sz w:val="22"/>
                <w:szCs w:val="22"/>
                <w:lang w:val="ru-RU"/>
              </w:rPr>
              <w:t>товари</w:t>
            </w:r>
            <w:proofErr w:type="spellEnd"/>
            <w:r w:rsidRPr="009110E9">
              <w:rPr>
                <w:rFonts w:ascii="Arial" w:hAnsi="Arial" w:cs="Arial"/>
                <w:iCs/>
                <w:sz w:val="22"/>
                <w:szCs w:val="22"/>
                <w:lang w:val="ru-RU"/>
              </w:rPr>
              <w:t>;</w:t>
            </w:r>
          </w:p>
          <w:p w14:paraId="7E828373" w14:textId="77777777" w:rsidR="002A11EE" w:rsidRPr="009110E9" w:rsidRDefault="002A11EE" w:rsidP="004B33A8">
            <w:pPr>
              <w:pStyle w:val="Style3"/>
              <w:numPr>
                <w:ilvl w:val="0"/>
                <w:numId w:val="8"/>
              </w:numPr>
              <w:tabs>
                <w:tab w:val="left" w:pos="941"/>
                <w:tab w:val="left" w:pos="1276"/>
              </w:tabs>
              <w:spacing w:line="266" w:lineRule="auto"/>
              <w:ind w:right="34"/>
              <w:jc w:val="both"/>
              <w:rPr>
                <w:rFonts w:ascii="Arial" w:hAnsi="Arial" w:cs="Arial"/>
                <w:iCs/>
                <w:sz w:val="22"/>
                <w:szCs w:val="22"/>
              </w:rPr>
            </w:pPr>
            <w:r w:rsidRPr="009110E9">
              <w:rPr>
                <w:rFonts w:ascii="Arial" w:hAnsi="Arial" w:cs="Arial"/>
                <w:iCs/>
                <w:sz w:val="22"/>
                <w:szCs w:val="22"/>
              </w:rPr>
              <w:lastRenderedPageBreak/>
              <w:t>Създаване на нови работни места;</w:t>
            </w:r>
          </w:p>
          <w:p w14:paraId="6FF9BC20" w14:textId="77777777" w:rsidR="002A11EE" w:rsidRPr="009110E9" w:rsidRDefault="002A11EE" w:rsidP="004B33A8">
            <w:pPr>
              <w:pStyle w:val="Style3"/>
              <w:numPr>
                <w:ilvl w:val="0"/>
                <w:numId w:val="8"/>
              </w:numPr>
              <w:tabs>
                <w:tab w:val="left" w:pos="941"/>
                <w:tab w:val="left" w:pos="1276"/>
              </w:tabs>
              <w:spacing w:line="266" w:lineRule="auto"/>
              <w:ind w:right="34"/>
              <w:jc w:val="both"/>
              <w:rPr>
                <w:iCs/>
              </w:rPr>
            </w:pPr>
            <w:r w:rsidRPr="009110E9">
              <w:rPr>
                <w:rFonts w:ascii="Arial" w:hAnsi="Arial" w:cs="Arial"/>
                <w:iCs/>
                <w:sz w:val="22"/>
                <w:szCs w:val="22"/>
              </w:rPr>
              <w:t>Повишаване на атрактивността на терените</w:t>
            </w:r>
            <w:r w:rsidRPr="009110E9">
              <w:rPr>
                <w:iCs/>
              </w:rPr>
              <w:t>.</w:t>
            </w:r>
          </w:p>
          <w:p w14:paraId="4AC9443D" w14:textId="04347B2D" w:rsidR="002A11EE" w:rsidRPr="001E7562" w:rsidRDefault="002A11EE" w:rsidP="001E7562">
            <w:pPr>
              <w:spacing w:line="252" w:lineRule="auto"/>
              <w:contextualSpacing/>
              <w:jc w:val="both"/>
              <w:rPr>
                <w:rFonts w:eastAsia="Times New Roman"/>
              </w:rPr>
            </w:pPr>
            <w:r>
              <w:rPr>
                <w:rFonts w:eastAsia="Times New Roman"/>
              </w:rPr>
              <w:t>Полученото</w:t>
            </w:r>
            <w:r w:rsidRPr="001E7562">
              <w:rPr>
                <w:rFonts w:eastAsia="Times New Roman"/>
              </w:rPr>
              <w:t xml:space="preserve"> намаляване на финансирането в разчета на разходите за </w:t>
            </w:r>
            <w:r>
              <w:rPr>
                <w:rFonts w:eastAsia="Times New Roman"/>
              </w:rPr>
              <w:t>ИМТ</w:t>
            </w:r>
            <w:r w:rsidRPr="001E7562">
              <w:rPr>
                <w:rFonts w:eastAsia="Times New Roman"/>
              </w:rPr>
              <w:t xml:space="preserve"> в Горна Оряховица</w:t>
            </w:r>
            <w:r>
              <w:rPr>
                <w:rFonts w:eastAsia="Times New Roman"/>
              </w:rPr>
              <w:t xml:space="preserve"> е в следствие на прецизиране и детайлизиране</w:t>
            </w:r>
            <w:r w:rsidRPr="001E7562">
              <w:rPr>
                <w:rFonts w:eastAsia="Times New Roman"/>
              </w:rPr>
              <w:t xml:space="preserve"> </w:t>
            </w:r>
          </w:p>
          <w:p w14:paraId="7670C4A1" w14:textId="46CD6692" w:rsidR="002A11EE" w:rsidRPr="001E7562" w:rsidRDefault="002A11EE" w:rsidP="001E7562">
            <w:pPr>
              <w:spacing w:line="252" w:lineRule="auto"/>
              <w:contextualSpacing/>
              <w:jc w:val="both"/>
              <w:rPr>
                <w:rFonts w:eastAsia="Times New Roman"/>
              </w:rPr>
            </w:pPr>
            <w:r>
              <w:rPr>
                <w:rFonts w:eastAsia="Times New Roman"/>
              </w:rPr>
              <w:t>М</w:t>
            </w:r>
            <w:r w:rsidRPr="001E7562">
              <w:rPr>
                <w:rFonts w:eastAsia="Times New Roman"/>
              </w:rPr>
              <w:t>естоположението на бъдещия на ИМТ Горна Оряховица</w:t>
            </w:r>
            <w:r>
              <w:rPr>
                <w:rFonts w:eastAsia="Times New Roman"/>
              </w:rPr>
              <w:t xml:space="preserve"> беше прецизирано</w:t>
            </w:r>
            <w:r w:rsidRPr="001E7562">
              <w:rPr>
                <w:rFonts w:eastAsia="Times New Roman"/>
              </w:rPr>
              <w:t xml:space="preserve">, като бяха набелязани подходящи терени в близост до жп гара Горна Оряховица. Това доведе до нова итерация в разходите по проекта и те бяха редуцирани. Разликата от 40% по-малко разходи за ИМТ Горна Оряховица, отколкото индикативната стойност на ИМТ Русе идва от спецификите на двата проекта. След определяне на потенциално място на ИМТ Горна Оряховица, за него ще отпадне изграждането на чисто нов </w:t>
            </w:r>
            <w:proofErr w:type="spellStart"/>
            <w:r w:rsidRPr="001E7562">
              <w:rPr>
                <w:rFonts w:eastAsia="Times New Roman"/>
              </w:rPr>
              <w:t>приемо</w:t>
            </w:r>
            <w:proofErr w:type="spellEnd"/>
            <w:r w:rsidRPr="001E7562">
              <w:rPr>
                <w:rFonts w:eastAsia="Times New Roman"/>
              </w:rPr>
              <w:t xml:space="preserve">-отправен парк, което го има в ИМТ Русе, а ще се използва капацитета на жп гара Горна Оряховица. Отпада също така и маршрутно-компютърната централизация, за която ще се използва изграждаща се по друг проект за жп възел Горна Оряховица. В проекта за ИМТ Русе има и възстановяване на разрушена електрифицирана жп линия, която води към </w:t>
            </w:r>
            <w:proofErr w:type="spellStart"/>
            <w:r w:rsidRPr="001E7562">
              <w:rPr>
                <w:rFonts w:eastAsia="Times New Roman"/>
              </w:rPr>
              <w:t>приемо</w:t>
            </w:r>
            <w:proofErr w:type="spellEnd"/>
            <w:r w:rsidRPr="001E7562">
              <w:rPr>
                <w:rFonts w:eastAsia="Times New Roman"/>
              </w:rPr>
              <w:t xml:space="preserve">-отправния парк на ИМТ Русе (всички жп линии са електрифицирани), сигнализация и т.н. Много дейности няма да са  необходими при проекта за ИМТ Горна Оряховица. </w:t>
            </w:r>
          </w:p>
          <w:p w14:paraId="277A77BA" w14:textId="292E07E6" w:rsidR="002A11EE" w:rsidRPr="009110E9" w:rsidRDefault="002A11EE" w:rsidP="004D2C6A">
            <w:pPr>
              <w:pStyle w:val="ListParagraph"/>
              <w:spacing w:before="120" w:after="120"/>
              <w:ind w:left="0"/>
              <w:jc w:val="both"/>
              <w:rPr>
                <w:b/>
                <w:bCs/>
                <w:u w:val="single"/>
              </w:rPr>
            </w:pPr>
            <w:r w:rsidRPr="009110E9">
              <w:rPr>
                <w:b/>
                <w:bCs/>
                <w:u w:val="single"/>
              </w:rPr>
              <w:t>Основни дейности:</w:t>
            </w:r>
          </w:p>
          <w:p w14:paraId="4AA216CE" w14:textId="6A9C0F8B" w:rsidR="002A11EE" w:rsidRPr="009110E9" w:rsidRDefault="002A11EE" w:rsidP="0058777C">
            <w:pPr>
              <w:contextualSpacing/>
              <w:jc w:val="both"/>
              <w:rPr>
                <w:color w:val="000000" w:themeColor="text1"/>
              </w:rPr>
            </w:pPr>
            <w:r w:rsidRPr="009110E9">
              <w:rPr>
                <w:b/>
                <w:bCs/>
              </w:rPr>
              <w:t>За изграждане на гаров комплекс Мездра</w:t>
            </w:r>
            <w:r w:rsidRPr="009110E9">
              <w:t>:</w:t>
            </w:r>
            <w:r>
              <w:t xml:space="preserve"> И</w:t>
            </w:r>
            <w:r w:rsidRPr="009110E9">
              <w:t xml:space="preserve">зготвяне на инвестиционни проекти, преустройство и рехабилитация. Дейности за </w:t>
            </w:r>
            <w:r w:rsidRPr="009110E9">
              <w:rPr>
                <w:color w:val="000000" w:themeColor="text1"/>
              </w:rPr>
              <w:t>модернизация и рехабилитация на елементи от железопътната инфраструктура: СМР, оценка на съответствието по ЗУТ и за оперативна съвместимост; мерки за информация</w:t>
            </w:r>
            <w:r>
              <w:rPr>
                <w:color w:val="000000" w:themeColor="text1"/>
              </w:rPr>
              <w:t>,</w:t>
            </w:r>
            <w:r w:rsidRPr="009110E9">
              <w:rPr>
                <w:color w:val="000000" w:themeColor="text1"/>
              </w:rPr>
              <w:t xml:space="preserve"> публичност и техническа помощ и управление.</w:t>
            </w:r>
          </w:p>
          <w:p w14:paraId="1EAB9DED" w14:textId="77777777" w:rsidR="002A11EE" w:rsidRPr="009110E9" w:rsidRDefault="002A11EE" w:rsidP="0058777C">
            <w:pPr>
              <w:contextualSpacing/>
              <w:jc w:val="both"/>
              <w:rPr>
                <w:color w:val="000000" w:themeColor="text1"/>
              </w:rPr>
            </w:pPr>
          </w:p>
          <w:p w14:paraId="003A0923" w14:textId="4E7EFB52" w:rsidR="002A11EE" w:rsidRPr="009110E9" w:rsidRDefault="002A11EE" w:rsidP="004D2C6A">
            <w:pPr>
              <w:contextualSpacing/>
              <w:jc w:val="both"/>
              <w:rPr>
                <w:color w:val="000000" w:themeColor="text1"/>
              </w:rPr>
            </w:pPr>
            <w:r w:rsidRPr="009110E9">
              <w:rPr>
                <w:b/>
                <w:bCs/>
              </w:rPr>
              <w:t>За изграждане на гаров комплекс Червен Бряг</w:t>
            </w:r>
            <w:r w:rsidRPr="009110E9">
              <w:t xml:space="preserve">: Обследване за установяване на технически характеристики, съставяне на технически паспорт, изготвяне на инвестиционни проекти, преустройство и рехабилитация. Дейности за </w:t>
            </w:r>
            <w:r w:rsidRPr="009110E9">
              <w:rPr>
                <w:color w:val="000000" w:themeColor="text1"/>
              </w:rPr>
              <w:t xml:space="preserve">модернизация и рехабилитация на елементи от железопътната инфраструктура и </w:t>
            </w:r>
            <w:r>
              <w:rPr>
                <w:color w:val="000000" w:themeColor="text1"/>
              </w:rPr>
              <w:t>реконструкция на приемно здание</w:t>
            </w:r>
            <w:r w:rsidRPr="009110E9">
              <w:rPr>
                <w:color w:val="000000" w:themeColor="text1"/>
              </w:rPr>
              <w:t>: СМР, оценка на съответствието по ЗУТ и за оперативна съвместимост; мерки за информация и публичност</w:t>
            </w:r>
            <w:r>
              <w:rPr>
                <w:color w:val="000000" w:themeColor="text1"/>
              </w:rPr>
              <w:t>,</w:t>
            </w:r>
            <w:r w:rsidRPr="009110E9">
              <w:rPr>
                <w:color w:val="000000" w:themeColor="text1"/>
              </w:rPr>
              <w:t xml:space="preserve"> техническа помощ и управление.</w:t>
            </w:r>
          </w:p>
          <w:p w14:paraId="04D3C386" w14:textId="77777777" w:rsidR="002A11EE" w:rsidRPr="009110E9" w:rsidRDefault="002A11EE" w:rsidP="004D2C6A">
            <w:pPr>
              <w:contextualSpacing/>
              <w:jc w:val="both"/>
              <w:rPr>
                <w:b/>
                <w:bCs/>
              </w:rPr>
            </w:pPr>
          </w:p>
          <w:p w14:paraId="03F56EC4" w14:textId="0AB6C805" w:rsidR="002A11EE" w:rsidRPr="009110E9" w:rsidRDefault="002A11EE" w:rsidP="004F426B">
            <w:pPr>
              <w:contextualSpacing/>
            </w:pPr>
            <w:r w:rsidRPr="009110E9">
              <w:rPr>
                <w:b/>
              </w:rPr>
              <w:t xml:space="preserve">За подготовка и изпълнение на ИМТ Горна Оряховица: </w:t>
            </w:r>
            <w:r w:rsidRPr="009110E9">
              <w:t xml:space="preserve">Дейностите включват два основни етапа: </w:t>
            </w:r>
          </w:p>
          <w:p w14:paraId="11EE9ABF" w14:textId="46BF65E9" w:rsidR="002A11EE" w:rsidRPr="009110E9" w:rsidRDefault="002A11EE" w:rsidP="004F426B">
            <w:pPr>
              <w:contextualSpacing/>
            </w:pPr>
            <w:r w:rsidRPr="009110E9">
              <w:t>- Подготовка – включва извършването на предпроектни проучвания в пълен мащаб и избор на местоположение на терминала. Изготвянето на Идеен проект и Генерален план за развитие на терминала. Изпълнение на административно-териториалните процедури по отчуждаване (ако е необходимо), екологични процедури и т.н.</w:t>
            </w:r>
          </w:p>
          <w:p w14:paraId="2822C7F4" w14:textId="0F9BDFD7" w:rsidR="002A11EE" w:rsidRDefault="002A11EE" w:rsidP="004D2C6A">
            <w:pPr>
              <w:contextualSpacing/>
              <w:jc w:val="both"/>
            </w:pPr>
            <w:r w:rsidRPr="009110E9">
              <w:t>- Изграждане на терминала съгласно Генералния план за развитие – техническо проектиране, строително-монтажни работи, оценка на съответствието и упражняване на строителен надзор по ЗУТ, оценка на съответствието с техническата спецификация за оперативна съвместимост с железопътния транспорт в рамките на ЕС, техническа помощ за управление на проекта.</w:t>
            </w:r>
          </w:p>
          <w:p w14:paraId="69E6ED9B" w14:textId="77777777" w:rsidR="002A11EE" w:rsidRDefault="002A11EE" w:rsidP="004D2C6A">
            <w:pPr>
              <w:contextualSpacing/>
              <w:jc w:val="both"/>
            </w:pPr>
          </w:p>
          <w:p w14:paraId="05CB761F" w14:textId="77777777" w:rsidR="002A11EE" w:rsidRPr="00CA4614" w:rsidRDefault="002A11EE" w:rsidP="0069621C">
            <w:pPr>
              <w:jc w:val="both"/>
              <w:rPr>
                <w:rFonts w:eastAsia="Times New Roman"/>
                <w:noProof/>
              </w:rPr>
            </w:pPr>
            <w:r>
              <w:rPr>
                <w:rFonts w:eastAsia="Times New Roman"/>
                <w:noProof/>
              </w:rPr>
              <w:t xml:space="preserve">Принос към приоритетите на </w:t>
            </w:r>
            <w:r>
              <w:rPr>
                <w:rFonts w:eastAsia="Times New Roman"/>
                <w:noProof/>
                <w:lang w:val="en-US"/>
              </w:rPr>
              <w:t>TEN</w:t>
            </w:r>
            <w:r w:rsidRPr="00325D1F">
              <w:rPr>
                <w:rFonts w:eastAsia="Times New Roman"/>
                <w:noProof/>
              </w:rPr>
              <w:t>-</w:t>
            </w:r>
            <w:r>
              <w:rPr>
                <w:rFonts w:eastAsia="Times New Roman"/>
                <w:noProof/>
                <w:lang w:val="en-US"/>
              </w:rPr>
              <w:t>T</w:t>
            </w:r>
          </w:p>
          <w:p w14:paraId="697F280D" w14:textId="4EBC5D8D" w:rsidR="002A11EE" w:rsidRPr="00360CF5" w:rsidRDefault="002A11EE" w:rsidP="0069621C">
            <w:pPr>
              <w:ind w:right="72"/>
              <w:jc w:val="both"/>
              <w:rPr>
                <w:szCs w:val="20"/>
                <w:shd w:val="clear" w:color="auto" w:fill="FFFFFF"/>
              </w:rPr>
            </w:pPr>
            <w:r w:rsidRPr="00360CF5">
              <w:rPr>
                <w:szCs w:val="20"/>
                <w:shd w:val="clear" w:color="auto" w:fill="FFFFFF"/>
              </w:rPr>
              <w:t xml:space="preserve">Предложеният проект допринася за развитието на приоритетите на TEN-T </w:t>
            </w:r>
            <w:r>
              <w:rPr>
                <w:szCs w:val="20"/>
                <w:shd w:val="clear" w:color="auto" w:fill="FFFFFF"/>
              </w:rPr>
              <w:t>чре</w:t>
            </w:r>
            <w:r w:rsidRPr="00360CF5">
              <w:rPr>
                <w:szCs w:val="20"/>
                <w:shd w:val="clear" w:color="auto" w:fill="FFFFFF"/>
              </w:rPr>
              <w:t xml:space="preserve">з изграждането на оперативно съвместима железопътна инфраструктура по </w:t>
            </w:r>
            <w:r>
              <w:rPr>
                <w:szCs w:val="20"/>
                <w:shd w:val="clear" w:color="auto" w:fill="FFFFFF"/>
                <w:lang w:val="en-US"/>
              </w:rPr>
              <w:t>TEN</w:t>
            </w:r>
            <w:r w:rsidRPr="00FF2432">
              <w:rPr>
                <w:szCs w:val="20"/>
                <w:shd w:val="clear" w:color="auto" w:fill="FFFFFF"/>
              </w:rPr>
              <w:t>-</w:t>
            </w:r>
            <w:r>
              <w:rPr>
                <w:szCs w:val="20"/>
                <w:shd w:val="clear" w:color="auto" w:fill="FFFFFF"/>
                <w:lang w:val="en-US"/>
              </w:rPr>
              <w:t>T</w:t>
            </w:r>
            <w:r w:rsidRPr="00FF2432">
              <w:rPr>
                <w:szCs w:val="20"/>
                <w:shd w:val="clear" w:color="auto" w:fill="FFFFFF"/>
              </w:rPr>
              <w:t xml:space="preserve"> </w:t>
            </w:r>
            <w:r>
              <w:rPr>
                <w:szCs w:val="20"/>
                <w:shd w:val="clear" w:color="auto" w:fill="FFFFFF"/>
              </w:rPr>
              <w:t xml:space="preserve">мрежата, гарантираща </w:t>
            </w:r>
            <w:r w:rsidRPr="00360CF5">
              <w:rPr>
                <w:szCs w:val="20"/>
                <w:shd w:val="clear" w:color="auto" w:fill="FFFFFF"/>
              </w:rPr>
              <w:t xml:space="preserve">безпроблемно транспортиране на товари и пътници в дългосрочен план. Модернизацията им ще подобри качеството на железопътните услуги по </w:t>
            </w:r>
            <w:r>
              <w:rPr>
                <w:szCs w:val="20"/>
                <w:shd w:val="clear" w:color="auto" w:fill="FFFFFF"/>
                <w:lang w:val="en-US"/>
              </w:rPr>
              <w:t>TEN</w:t>
            </w:r>
            <w:r w:rsidRPr="00275EFE">
              <w:rPr>
                <w:szCs w:val="20"/>
                <w:shd w:val="clear" w:color="auto" w:fill="FFFFFF"/>
              </w:rPr>
              <w:t>-</w:t>
            </w:r>
            <w:r>
              <w:rPr>
                <w:szCs w:val="20"/>
                <w:shd w:val="clear" w:color="auto" w:fill="FFFFFF"/>
                <w:lang w:val="en-US"/>
              </w:rPr>
              <w:t>T</w:t>
            </w:r>
            <w:r w:rsidRPr="00275EFE">
              <w:rPr>
                <w:szCs w:val="20"/>
                <w:shd w:val="clear" w:color="auto" w:fill="FFFFFF"/>
              </w:rPr>
              <w:t xml:space="preserve"> </w:t>
            </w:r>
            <w:r>
              <w:rPr>
                <w:szCs w:val="20"/>
                <w:shd w:val="clear" w:color="auto" w:fill="FFFFFF"/>
              </w:rPr>
              <w:t>мрежата.</w:t>
            </w:r>
            <w:r w:rsidRPr="00360CF5">
              <w:rPr>
                <w:szCs w:val="20"/>
                <w:shd w:val="clear" w:color="auto" w:fill="FFFFFF"/>
              </w:rPr>
              <w:t xml:space="preserve"> Освен това </w:t>
            </w:r>
            <w:r>
              <w:rPr>
                <w:szCs w:val="20"/>
                <w:shd w:val="clear" w:color="auto" w:fill="FFFFFF"/>
              </w:rPr>
              <w:t xml:space="preserve">предвидените интервенции </w:t>
            </w:r>
            <w:r w:rsidRPr="00360CF5">
              <w:rPr>
                <w:szCs w:val="20"/>
                <w:shd w:val="clear" w:color="auto" w:fill="FFFFFF"/>
              </w:rPr>
              <w:t>ще имат пряко положително въздействие върху околната среда.</w:t>
            </w:r>
          </w:p>
          <w:p w14:paraId="4E305BAE" w14:textId="77777777" w:rsidR="002A11EE" w:rsidRDefault="002A11EE" w:rsidP="0069621C">
            <w:pPr>
              <w:ind w:right="72"/>
              <w:jc w:val="both"/>
              <w:rPr>
                <w:szCs w:val="20"/>
                <w:shd w:val="clear" w:color="auto" w:fill="FFFFFF"/>
              </w:rPr>
            </w:pPr>
            <w:r w:rsidRPr="00360CF5">
              <w:rPr>
                <w:szCs w:val="20"/>
                <w:shd w:val="clear" w:color="auto" w:fill="FFFFFF"/>
              </w:rPr>
              <w:lastRenderedPageBreak/>
              <w:t xml:space="preserve">В съответствие с член 10 от Насоките за TEN-T, успешното изпълнение на настоящия проект ще насърчи ефективното и устойчиво използване на инфраструктурата чрез увеличаване на капацитета на железопътната инфраструктура по </w:t>
            </w:r>
            <w:r>
              <w:rPr>
                <w:szCs w:val="20"/>
                <w:shd w:val="clear" w:color="auto" w:fill="FFFFFF"/>
                <w:lang w:val="en-US"/>
              </w:rPr>
              <w:t>TEN</w:t>
            </w:r>
            <w:r w:rsidRPr="00FF2432">
              <w:rPr>
                <w:szCs w:val="20"/>
                <w:shd w:val="clear" w:color="auto" w:fill="FFFFFF"/>
              </w:rPr>
              <w:t>-</w:t>
            </w:r>
            <w:r>
              <w:rPr>
                <w:szCs w:val="20"/>
                <w:shd w:val="clear" w:color="auto" w:fill="FFFFFF"/>
                <w:lang w:val="en-US"/>
              </w:rPr>
              <w:t>T</w:t>
            </w:r>
            <w:r>
              <w:rPr>
                <w:szCs w:val="20"/>
                <w:shd w:val="clear" w:color="auto" w:fill="FFFFFF"/>
              </w:rPr>
              <w:t xml:space="preserve"> мрежата</w:t>
            </w:r>
            <w:r w:rsidRPr="00360CF5">
              <w:rPr>
                <w:szCs w:val="20"/>
                <w:shd w:val="clear" w:color="auto" w:fill="FFFFFF"/>
              </w:rPr>
              <w:t>, както и ще доведе до подобрено качество на железопътната инфраструктура по отношение на безопасност, сигурност, ефективност, устойчивост на климата, екологични показатели и достъпност за всички потребители. Предвидените инвестиции в рамките на настоящия проект също ще допринесат за постигане на координиран и синхронизиран подход по отношение на инвестициите в инфраструктура, така че да се управлява капацитета ѝ по най-ефективния начин.</w:t>
            </w:r>
          </w:p>
          <w:p w14:paraId="217AF9BC" w14:textId="77777777" w:rsidR="002A11EE" w:rsidRDefault="002A11EE" w:rsidP="000E7BFB">
            <w:pPr>
              <w:spacing w:line="240" w:lineRule="auto"/>
              <w:jc w:val="both"/>
              <w:rPr>
                <w:b/>
              </w:rPr>
            </w:pPr>
          </w:p>
          <w:p w14:paraId="5C999FE6" w14:textId="4513BE5E" w:rsidR="002A11EE" w:rsidRPr="000E7BFB" w:rsidRDefault="002A11EE" w:rsidP="000E7BFB">
            <w:pPr>
              <w:spacing w:line="240" w:lineRule="auto"/>
              <w:jc w:val="both"/>
              <w:rPr>
                <w:rStyle w:val="jlqj4b"/>
              </w:rPr>
            </w:pPr>
            <w:r w:rsidRPr="000E7BFB">
              <w:rPr>
                <w:b/>
              </w:rPr>
              <w:t>Принос на проекта към изпълнение на хоризонталните политики</w:t>
            </w:r>
          </w:p>
          <w:p w14:paraId="0C982422" w14:textId="77777777" w:rsidR="002A11EE" w:rsidRPr="000E7BFB" w:rsidRDefault="002A11EE" w:rsidP="000E7BFB">
            <w:pPr>
              <w:spacing w:line="240" w:lineRule="auto"/>
              <w:jc w:val="both"/>
              <w:rPr>
                <w:b/>
              </w:rPr>
            </w:pPr>
            <w:r w:rsidRPr="000E7BFB">
              <w:rPr>
                <w:b/>
              </w:rPr>
              <w:t>Равенство между половете</w:t>
            </w:r>
          </w:p>
          <w:p w14:paraId="43AEDD34" w14:textId="77777777" w:rsidR="002A11EE" w:rsidRPr="000E7BFB" w:rsidRDefault="002A11EE" w:rsidP="000E7BFB">
            <w:pPr>
              <w:spacing w:line="240" w:lineRule="auto"/>
              <w:jc w:val="both"/>
            </w:pPr>
            <w:r w:rsidRPr="000E7BFB">
              <w:t>Поддържането на условия за постигане на равенство между жените и мъжете в тяхното социално и професионално развитие е важен елемент от хоризонталните политики на Общността и има значително социално измерение. Изготвената Национална стратегия за насърчаване на равнопоставеността на жените и мъжете в България очертава стратегическата рамка на националната политика за равнопоставеност за периода 2021-2030 г. Тя е израз на желанието за осигуряване на условия за равни възможности и насърчаване на равенството между половете и следва да има универсално приложение във всички сфери на обществения живот.</w:t>
            </w:r>
          </w:p>
          <w:p w14:paraId="2668FE37" w14:textId="77777777" w:rsidR="002A11EE" w:rsidRPr="000E7BFB" w:rsidRDefault="002A11EE" w:rsidP="000E7BFB">
            <w:pPr>
              <w:spacing w:line="240" w:lineRule="auto"/>
              <w:jc w:val="both"/>
            </w:pPr>
            <w:r w:rsidRPr="000E7BFB">
              <w:t>В конкретния проект спазването на принципа за равнопоставеност между половете ще бъде постигнато чрез прилагане на подходящи мерки при различните етапи на изпълнение, мониторинг и оценка на интервенцията, както следва:</w:t>
            </w:r>
          </w:p>
          <w:p w14:paraId="24ED5428" w14:textId="77777777" w:rsidR="002A11EE" w:rsidRPr="000E7BFB" w:rsidRDefault="002A11EE" w:rsidP="004B33A8">
            <w:pPr>
              <w:pStyle w:val="ListParagraph"/>
              <w:numPr>
                <w:ilvl w:val="0"/>
                <w:numId w:val="10"/>
              </w:numPr>
              <w:spacing w:line="240" w:lineRule="auto"/>
              <w:jc w:val="both"/>
              <w:rPr>
                <w:rFonts w:eastAsia="Times New Roman"/>
              </w:rPr>
            </w:pPr>
            <w:r w:rsidRPr="000E7BFB">
              <w:t xml:space="preserve">Всички изпълнители, които ще обезпечат реализацията на проекта, ще бъдат избирани въз основна на открита, публична и недискриминационна процедура за възлагане на обществени поръчки съгласно Закона за обществените поръчки. Спазвайки изискванията на закона, НКЖИ ще възлага обществени поръчки </w:t>
            </w:r>
            <w:r w:rsidRPr="000E7BFB">
              <w:rPr>
                <w:rFonts w:eastAsia="Times New Roman"/>
              </w:rPr>
              <w:t>в съответствие с принципите на Договора за функционирането на Европейския съюз (ДФЕС) и по-специално тези за свободно движение на стоки, свобода на установяване и свобода на предоставяне на услуги и взаимно признаване, както и с произтичащите от тях принципи на:</w:t>
            </w:r>
          </w:p>
          <w:p w14:paraId="3FC243A5" w14:textId="77777777" w:rsidR="002A11EE" w:rsidRPr="000E7BFB" w:rsidRDefault="002A11EE" w:rsidP="000E7BFB">
            <w:pPr>
              <w:spacing w:line="240" w:lineRule="auto"/>
              <w:ind w:left="708" w:firstLine="708"/>
              <w:rPr>
                <w:rFonts w:eastAsia="Times New Roman"/>
              </w:rPr>
            </w:pPr>
            <w:r w:rsidRPr="000E7BFB">
              <w:rPr>
                <w:rFonts w:eastAsia="Times New Roman"/>
              </w:rPr>
              <w:t>1. равнопоставеност и недопускане на дискриминация;</w:t>
            </w:r>
          </w:p>
          <w:p w14:paraId="1AA9E4DD" w14:textId="77777777" w:rsidR="002A11EE" w:rsidRPr="000E7BFB" w:rsidRDefault="002A11EE" w:rsidP="000E7BFB">
            <w:pPr>
              <w:spacing w:line="240" w:lineRule="auto"/>
              <w:ind w:left="708" w:firstLine="708"/>
              <w:rPr>
                <w:rFonts w:eastAsia="Times New Roman"/>
              </w:rPr>
            </w:pPr>
            <w:r w:rsidRPr="000E7BFB">
              <w:rPr>
                <w:rFonts w:eastAsia="Times New Roman"/>
              </w:rPr>
              <w:t>2. свободна конкуренция;</w:t>
            </w:r>
          </w:p>
          <w:p w14:paraId="02BDB68D" w14:textId="77777777" w:rsidR="002A11EE" w:rsidRPr="000E7BFB" w:rsidRDefault="002A11EE" w:rsidP="000E7BFB">
            <w:pPr>
              <w:spacing w:line="240" w:lineRule="auto"/>
              <w:ind w:left="708" w:firstLine="708"/>
              <w:rPr>
                <w:rFonts w:eastAsia="Times New Roman"/>
              </w:rPr>
            </w:pPr>
            <w:r w:rsidRPr="000E7BFB">
              <w:rPr>
                <w:rFonts w:eastAsia="Times New Roman"/>
              </w:rPr>
              <w:t>3. пропорционалност;</w:t>
            </w:r>
          </w:p>
          <w:p w14:paraId="4310DE8B" w14:textId="77777777" w:rsidR="002A11EE" w:rsidRPr="000E7BFB" w:rsidRDefault="002A11EE" w:rsidP="000E7BFB">
            <w:pPr>
              <w:spacing w:line="240" w:lineRule="auto"/>
              <w:ind w:left="708" w:firstLine="708"/>
              <w:rPr>
                <w:rFonts w:eastAsia="Times New Roman"/>
              </w:rPr>
            </w:pPr>
            <w:r w:rsidRPr="000E7BFB">
              <w:rPr>
                <w:rFonts w:eastAsia="Times New Roman"/>
              </w:rPr>
              <w:t>4. публичност и прозрачност.</w:t>
            </w:r>
          </w:p>
          <w:p w14:paraId="7936517D" w14:textId="77777777" w:rsidR="002A11EE" w:rsidRPr="000E7BFB" w:rsidRDefault="002A11EE" w:rsidP="000E7BFB">
            <w:pPr>
              <w:pStyle w:val="ListParagraph"/>
              <w:spacing w:line="240" w:lineRule="auto"/>
              <w:jc w:val="both"/>
            </w:pPr>
            <w:r w:rsidRPr="000E7BFB">
              <w:t xml:space="preserve">При подготовка на тръжните процедури и изискванията към участниците, по отношение на критерии за подбор,  въз основа на които се установява, че кандидатите или участниците разполагат с необходимите човешки ресурси стриктно се спазват принципа за </w:t>
            </w:r>
            <w:r w:rsidRPr="000E7BFB">
              <w:rPr>
                <w:rFonts w:eastAsia="Times New Roman"/>
              </w:rPr>
              <w:t>равнопоставеност и недопускане на дискриминация</w:t>
            </w:r>
            <w:r w:rsidRPr="000E7BFB">
              <w:t>, вкл. на основата на пол, расов или етнически произход, религия или вероизповедание, увреждане, възраст или сексуална ориентация.</w:t>
            </w:r>
          </w:p>
          <w:p w14:paraId="33E114D5" w14:textId="77777777" w:rsidR="002A11EE" w:rsidRPr="000E7BFB" w:rsidRDefault="002A11EE" w:rsidP="004B33A8">
            <w:pPr>
              <w:pStyle w:val="ListParagraph"/>
              <w:numPr>
                <w:ilvl w:val="0"/>
                <w:numId w:val="10"/>
              </w:numPr>
              <w:spacing w:line="240" w:lineRule="auto"/>
              <w:jc w:val="both"/>
            </w:pPr>
            <w:r w:rsidRPr="000E7BFB">
              <w:t xml:space="preserve">Членовете на звеното в НКЖИ, което ще бъде отговорно за изпълнение на проекта, ще бъдат подбирани и назначавани при стриктно съблюдаване на принципа за </w:t>
            </w:r>
            <w:r w:rsidRPr="000E7BFB">
              <w:rPr>
                <w:rFonts w:eastAsia="Times New Roman"/>
              </w:rPr>
              <w:t>равнопоставеност и недопускане на дискриминация. Ще бъдат спазвани изискванията за равенството между половете, залегнали в Колективния трудов договор на НКЖИ, както и в Етичния кодекс на работниците и служителите в НКЖИ.</w:t>
            </w:r>
          </w:p>
          <w:p w14:paraId="5CE902EC" w14:textId="77777777" w:rsidR="002A11EE" w:rsidRPr="000E7BFB" w:rsidRDefault="002A11EE" w:rsidP="004B33A8">
            <w:pPr>
              <w:pStyle w:val="ListParagraph"/>
              <w:numPr>
                <w:ilvl w:val="0"/>
                <w:numId w:val="10"/>
              </w:numPr>
              <w:spacing w:line="240" w:lineRule="auto"/>
              <w:jc w:val="both"/>
            </w:pPr>
            <w:r w:rsidRPr="000E7BFB">
              <w:t>Залагане на изисквания в техническите спецификации и тръжните документации и в договорите за изпълнение на ангажименти за спазване на принципа на равнопоставен достъп и участие на мъже и жени в проекта</w:t>
            </w:r>
          </w:p>
          <w:p w14:paraId="722205E0" w14:textId="77777777" w:rsidR="002A11EE" w:rsidRPr="000E7BFB" w:rsidRDefault="002A11EE" w:rsidP="004B33A8">
            <w:pPr>
              <w:pStyle w:val="ListParagraph"/>
              <w:numPr>
                <w:ilvl w:val="0"/>
                <w:numId w:val="10"/>
              </w:numPr>
              <w:spacing w:line="240" w:lineRule="auto"/>
              <w:jc w:val="both"/>
            </w:pPr>
            <w:r w:rsidRPr="000E7BFB">
              <w:t xml:space="preserve">Постоянно отчитане броя на създадените работни места, както и разпределението им по полов признак </w:t>
            </w:r>
          </w:p>
          <w:p w14:paraId="1E486307" w14:textId="77777777" w:rsidR="002A11EE" w:rsidRPr="000E7BFB" w:rsidRDefault="002A11EE" w:rsidP="004B33A8">
            <w:pPr>
              <w:pStyle w:val="ListParagraph"/>
              <w:numPr>
                <w:ilvl w:val="0"/>
                <w:numId w:val="10"/>
              </w:numPr>
              <w:spacing w:line="240" w:lineRule="auto"/>
              <w:jc w:val="both"/>
            </w:pPr>
            <w:r w:rsidRPr="000E7BFB">
              <w:t xml:space="preserve">Недопускане на условия за изкуствено създаване на предимства за единия пол и съответно - за дискриминация на другия. </w:t>
            </w:r>
          </w:p>
          <w:p w14:paraId="5A0BD8BC" w14:textId="77777777" w:rsidR="002A11EE" w:rsidRPr="000E7BFB" w:rsidRDefault="002A11EE" w:rsidP="004B33A8">
            <w:pPr>
              <w:pStyle w:val="ListParagraph"/>
              <w:numPr>
                <w:ilvl w:val="0"/>
                <w:numId w:val="10"/>
              </w:numPr>
              <w:spacing w:line="240" w:lineRule="auto"/>
              <w:jc w:val="both"/>
            </w:pPr>
            <w:r w:rsidRPr="000E7BFB">
              <w:t>Редовно предоставяне на информация относно приноса на проекта за прилагане на този хоризонтален принцип на Общността.</w:t>
            </w:r>
          </w:p>
          <w:p w14:paraId="1386924B" w14:textId="77777777" w:rsidR="002A11EE" w:rsidRPr="000E7BFB" w:rsidRDefault="002A11EE" w:rsidP="004B33A8">
            <w:pPr>
              <w:pStyle w:val="ListParagraph"/>
              <w:numPr>
                <w:ilvl w:val="0"/>
                <w:numId w:val="10"/>
              </w:numPr>
              <w:spacing w:line="240" w:lineRule="auto"/>
              <w:jc w:val="both"/>
            </w:pPr>
            <w:r w:rsidRPr="000E7BFB">
              <w:lastRenderedPageBreak/>
              <w:t>Отчитане на мерките за насърчаване на равенството между половете и недопускане на дискриминация при изпълнението на проекта</w:t>
            </w:r>
          </w:p>
          <w:p w14:paraId="2CA71399" w14:textId="77777777" w:rsidR="002A11EE" w:rsidRPr="000E7BFB" w:rsidRDefault="002A11EE" w:rsidP="004B33A8">
            <w:pPr>
              <w:pStyle w:val="ListParagraph"/>
              <w:numPr>
                <w:ilvl w:val="0"/>
                <w:numId w:val="10"/>
              </w:numPr>
              <w:spacing w:line="240" w:lineRule="auto"/>
              <w:jc w:val="both"/>
            </w:pPr>
            <w:r w:rsidRPr="000E7BFB">
              <w:t>Включване в обхвата на наблюдението, контрола и докладването на раздели с информация за проследяване на постигнатото съответствие</w:t>
            </w:r>
          </w:p>
          <w:p w14:paraId="20A7B1F2" w14:textId="77777777" w:rsidR="002A11EE" w:rsidRPr="000E7BFB" w:rsidRDefault="002A11EE" w:rsidP="004B33A8">
            <w:pPr>
              <w:pStyle w:val="ListParagraph"/>
              <w:numPr>
                <w:ilvl w:val="0"/>
                <w:numId w:val="10"/>
              </w:numPr>
              <w:spacing w:line="240" w:lineRule="auto"/>
              <w:jc w:val="both"/>
            </w:pPr>
            <w:r w:rsidRPr="000E7BFB">
              <w:t xml:space="preserve">При извършване на одитни ангажименти - оказване на съдействие на одитните органи при установяване степента на спазване на  принципа за равенство между половете. </w:t>
            </w:r>
          </w:p>
          <w:p w14:paraId="2344D24F" w14:textId="77777777" w:rsidR="002A11EE" w:rsidRPr="000E7BFB" w:rsidRDefault="002A11EE" w:rsidP="000E7BFB">
            <w:pPr>
              <w:spacing w:line="240" w:lineRule="auto"/>
              <w:jc w:val="both"/>
              <w:rPr>
                <w:b/>
              </w:rPr>
            </w:pPr>
            <w:r w:rsidRPr="000E7BFB">
              <w:rPr>
                <w:b/>
              </w:rPr>
              <w:t>Равни възможности</w:t>
            </w:r>
          </w:p>
          <w:p w14:paraId="2244F5F8" w14:textId="77777777" w:rsidR="002A11EE" w:rsidRPr="000E7BFB" w:rsidRDefault="002A11EE" w:rsidP="000E7BFB">
            <w:pPr>
              <w:spacing w:line="240" w:lineRule="auto"/>
              <w:jc w:val="both"/>
            </w:pPr>
            <w:r w:rsidRPr="000E7BFB">
              <w:t>Изпълнението на този хоризонтален принцип ще бъде осъществено посредством прилагане на следните мерки:</w:t>
            </w:r>
          </w:p>
          <w:p w14:paraId="4A9CF9B1" w14:textId="77777777" w:rsidR="002A11EE" w:rsidRPr="000E7BFB" w:rsidRDefault="002A11EE" w:rsidP="004B33A8">
            <w:pPr>
              <w:pStyle w:val="ListParagraph"/>
              <w:numPr>
                <w:ilvl w:val="0"/>
                <w:numId w:val="10"/>
              </w:numPr>
              <w:spacing w:line="240" w:lineRule="auto"/>
              <w:jc w:val="both"/>
            </w:pPr>
            <w:r w:rsidRPr="000E7BFB">
              <w:t xml:space="preserve">Проследяване за спазването на принципа за насърчаване на равните възможности и предотвратяване на дискриминация на основата на пол, расов или етнически произход, религия или вероизповедание, увреждане, възраст или сексуална ориентация при изпълнението на проекта. </w:t>
            </w:r>
          </w:p>
          <w:p w14:paraId="0323E9E6" w14:textId="77777777" w:rsidR="002A11EE" w:rsidRPr="000E7BFB" w:rsidRDefault="002A11EE" w:rsidP="004B33A8">
            <w:pPr>
              <w:pStyle w:val="ListParagraph"/>
              <w:numPr>
                <w:ilvl w:val="0"/>
                <w:numId w:val="10"/>
              </w:numPr>
              <w:spacing w:line="240" w:lineRule="auto"/>
              <w:jc w:val="both"/>
            </w:pPr>
            <w:r w:rsidRPr="000E7BFB">
              <w:t>Осигуряване на условия за еднаква достъпност до инфраструктурата и съоръженията, които ще бъдат изградени и въведени в експлоатация по проекта, със специален акцент върху прилагането на мерки за достъпност на лица с увреждания и лица с намалена подвижност.</w:t>
            </w:r>
          </w:p>
          <w:p w14:paraId="13D0D3EE" w14:textId="77777777" w:rsidR="002A11EE" w:rsidRPr="000E7BFB" w:rsidRDefault="002A11EE" w:rsidP="004B33A8">
            <w:pPr>
              <w:pStyle w:val="ListParagraph"/>
              <w:numPr>
                <w:ilvl w:val="0"/>
                <w:numId w:val="10"/>
              </w:numPr>
              <w:spacing w:line="240" w:lineRule="auto"/>
              <w:jc w:val="both"/>
            </w:pPr>
            <w:r w:rsidRPr="000E7BFB">
              <w:t>НКЖИ ще спази принципите, залегнали в ЗОП по отношение на запазените обществени поръчки, съобразно приетия от МС списък на стоките и услугите, които са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p>
          <w:p w14:paraId="4D5F0DDB" w14:textId="77777777" w:rsidR="002A11EE" w:rsidRPr="000E7BFB" w:rsidRDefault="002A11EE" w:rsidP="004B33A8">
            <w:pPr>
              <w:pStyle w:val="ListParagraph"/>
              <w:numPr>
                <w:ilvl w:val="0"/>
                <w:numId w:val="10"/>
              </w:numPr>
              <w:spacing w:line="240" w:lineRule="auto"/>
              <w:jc w:val="both"/>
            </w:pPr>
            <w:r w:rsidRPr="000E7BFB">
              <w:t>Включване на неправителствени организации от сферата на равните възможности, недискриминацията и равенството за участие в дейностите по публичност и комуникация с цел запознаване на широката общественост с приноса на проекта към спазване на принципа на равните възможности.</w:t>
            </w:r>
          </w:p>
          <w:p w14:paraId="2B7F2758" w14:textId="77777777" w:rsidR="002A11EE" w:rsidRPr="000E7BFB" w:rsidRDefault="002A11EE" w:rsidP="000E7BFB">
            <w:pPr>
              <w:contextualSpacing/>
              <w:jc w:val="both"/>
            </w:pPr>
            <w:r w:rsidRPr="000E7BFB">
              <w:t>Прилагането на този хоризонтален принцип може да бъде успешно постигнато чрез прилагане на техническите спецификации, свързани с достъпността на железопътната система на Съюза за лица с увреждания и лица с намалена подвижност (ТСОС ЛНП)  Основната цел на ТСОС ЛНП е да подобри достъпността на железопътната система за лицата с увреждания и с намалена подвижност, с което да се постигне равнопоставеност на тази категория пътници с другите и да се премахнат бариерите, които им пречат да се възползват изцяло от правата си на граждани и потребители.</w:t>
            </w:r>
          </w:p>
          <w:p w14:paraId="616290B2" w14:textId="77777777" w:rsidR="002A11EE" w:rsidRPr="000E7BFB" w:rsidRDefault="002A11EE" w:rsidP="000E7BFB">
            <w:pPr>
              <w:spacing w:before="120" w:line="240" w:lineRule="auto"/>
              <w:jc w:val="both"/>
              <w:rPr>
                <w:rStyle w:val="jlqj4b"/>
                <w:b/>
                <w:bCs/>
              </w:rPr>
            </w:pPr>
            <w:r w:rsidRPr="000E7BFB">
              <w:rPr>
                <w:rStyle w:val="jlqj4b"/>
                <w:b/>
                <w:bCs/>
              </w:rPr>
              <w:t>Съответствие на проекта с правилата на ЕС за държавна помощ</w:t>
            </w:r>
          </w:p>
          <w:p w14:paraId="3DDCCED7" w14:textId="77777777" w:rsidR="002A11EE" w:rsidRPr="000E7BFB" w:rsidRDefault="002A11EE" w:rsidP="000E7BFB">
            <w:pPr>
              <w:tabs>
                <w:tab w:val="left" w:pos="0"/>
                <w:tab w:val="left" w:pos="1701"/>
                <w:tab w:val="left" w:pos="2268"/>
                <w:tab w:val="left" w:pos="2835"/>
                <w:tab w:val="left" w:pos="3402"/>
                <w:tab w:val="left" w:pos="3969"/>
                <w:tab w:val="left" w:pos="4536"/>
                <w:tab w:val="left" w:pos="5103"/>
                <w:tab w:val="left" w:pos="5670"/>
                <w:tab w:val="left" w:pos="6237"/>
              </w:tabs>
              <w:spacing w:line="240" w:lineRule="auto"/>
              <w:jc w:val="both"/>
              <w:rPr>
                <w:bCs/>
              </w:rPr>
            </w:pPr>
            <w:r w:rsidRPr="000E7BFB">
              <w:rPr>
                <w:bCs/>
              </w:rPr>
              <w:t>НКЖИ упражнява своята дейност в условията на законов монопол, предвид</w:t>
            </w:r>
            <w:r w:rsidRPr="000E7BFB">
              <w:rPr>
                <w:b/>
                <w:bCs/>
              </w:rPr>
              <w:t xml:space="preserve"> </w:t>
            </w:r>
            <w:r w:rsidRPr="000E7BFB">
              <w:rPr>
                <w:bCs/>
              </w:rPr>
              <w:t>следното:</w:t>
            </w:r>
          </w:p>
          <w:p w14:paraId="5AF7F4FB" w14:textId="77777777" w:rsidR="002A11EE" w:rsidRPr="000E7BFB" w:rsidRDefault="002A11EE" w:rsidP="000E7BFB">
            <w:pPr>
              <w:pStyle w:val="ListParagraph"/>
              <w:tabs>
                <w:tab w:val="left" w:pos="0"/>
                <w:tab w:val="left" w:pos="567"/>
                <w:tab w:val="left" w:pos="2268"/>
                <w:tab w:val="left" w:pos="2835"/>
                <w:tab w:val="left" w:pos="3402"/>
                <w:tab w:val="left" w:pos="3969"/>
                <w:tab w:val="left" w:pos="4536"/>
                <w:tab w:val="left" w:pos="5103"/>
                <w:tab w:val="left" w:pos="5670"/>
                <w:tab w:val="left" w:pos="6237"/>
              </w:tabs>
              <w:spacing w:line="240" w:lineRule="auto"/>
              <w:ind w:left="0"/>
              <w:jc w:val="both"/>
              <w:rPr>
                <w:bCs/>
              </w:rPr>
            </w:pPr>
            <w:r w:rsidRPr="000E7BFB">
              <w:rPr>
                <w:bCs/>
              </w:rPr>
              <w:t xml:space="preserve">НКЖИ е Компания, образувана на основание чл. 9, ал. 1 от ЗЖТ със статут на държавно предприятие по </w:t>
            </w:r>
            <w:r w:rsidRPr="000E7BFB">
              <w:t>чл. 62, ал. 3 от Търговския закон.</w:t>
            </w:r>
          </w:p>
          <w:p w14:paraId="757E2A15" w14:textId="77777777" w:rsidR="002A11EE" w:rsidRPr="000E7BFB" w:rsidRDefault="002A11EE" w:rsidP="000E7BFB">
            <w:pPr>
              <w:tabs>
                <w:tab w:val="left" w:pos="0"/>
                <w:tab w:val="left" w:pos="567"/>
                <w:tab w:val="left" w:pos="2268"/>
                <w:tab w:val="left" w:pos="2835"/>
                <w:tab w:val="left" w:pos="3402"/>
                <w:tab w:val="left" w:pos="3969"/>
                <w:tab w:val="left" w:pos="4536"/>
                <w:tab w:val="left" w:pos="5103"/>
                <w:tab w:val="left" w:pos="5670"/>
                <w:tab w:val="left" w:pos="6237"/>
              </w:tabs>
              <w:spacing w:line="240" w:lineRule="auto"/>
              <w:jc w:val="both"/>
              <w:rPr>
                <w:bCs/>
              </w:rPr>
            </w:pPr>
            <w:r w:rsidRPr="000E7BFB">
              <w:rPr>
                <w:bCs/>
              </w:rPr>
              <w:t>Тя е 100 % собственост на българската държава чрез Министерството на транспорта, информационните технологии и съобщенията</w:t>
            </w:r>
          </w:p>
          <w:p w14:paraId="04214CDC" w14:textId="77777777" w:rsidR="002A11EE" w:rsidRPr="000E7BFB" w:rsidRDefault="002A11EE" w:rsidP="000E7BFB">
            <w:pPr>
              <w:tabs>
                <w:tab w:val="left" w:pos="0"/>
                <w:tab w:val="left" w:pos="567"/>
                <w:tab w:val="left" w:pos="2268"/>
                <w:tab w:val="left" w:pos="2835"/>
                <w:tab w:val="left" w:pos="3402"/>
                <w:tab w:val="left" w:pos="3969"/>
                <w:tab w:val="left" w:pos="4536"/>
                <w:tab w:val="left" w:pos="5103"/>
                <w:tab w:val="left" w:pos="5670"/>
                <w:tab w:val="left" w:pos="6237"/>
              </w:tabs>
              <w:spacing w:line="240" w:lineRule="auto"/>
              <w:jc w:val="both"/>
              <w:rPr>
                <w:bCs/>
              </w:rPr>
            </w:pPr>
            <w:r w:rsidRPr="000E7BFB">
              <w:rPr>
                <w:bCs/>
              </w:rPr>
              <w:t>Съгласно чл. 10, т. 2 от ЗЖТ предметът на дейност на НКЖИ включва извършване на дейности по развитието, ремонта, поддържането и експлоатацията на железопътната инфраструктура.</w:t>
            </w:r>
          </w:p>
          <w:p w14:paraId="0C8E56B0" w14:textId="77777777" w:rsidR="002A11EE" w:rsidRPr="000E7BFB" w:rsidRDefault="002A11EE" w:rsidP="000E7BFB">
            <w:pPr>
              <w:pStyle w:val="ListParagraph"/>
              <w:tabs>
                <w:tab w:val="left" w:pos="0"/>
                <w:tab w:val="left" w:pos="567"/>
                <w:tab w:val="left" w:pos="2268"/>
                <w:tab w:val="left" w:pos="2835"/>
                <w:tab w:val="left" w:pos="3402"/>
                <w:tab w:val="left" w:pos="3969"/>
                <w:tab w:val="left" w:pos="4536"/>
                <w:tab w:val="left" w:pos="5103"/>
                <w:tab w:val="left" w:pos="5670"/>
                <w:tab w:val="left" w:pos="6237"/>
              </w:tabs>
              <w:spacing w:line="240" w:lineRule="auto"/>
              <w:ind w:left="0"/>
              <w:jc w:val="both"/>
            </w:pPr>
            <w:r w:rsidRPr="000E7BFB">
              <w:rPr>
                <w:bCs/>
              </w:rPr>
              <w:t>Съгласно чл. 3 от ЗЖТ обектите на железопътната инфраструктура и земята, върху която са изградени или която е предназначена за изграждането им, са публична държавна</w:t>
            </w:r>
            <w:r w:rsidRPr="000E7BFB">
              <w:rPr>
                <w:b/>
                <w:bCs/>
              </w:rPr>
              <w:t xml:space="preserve"> </w:t>
            </w:r>
            <w:r w:rsidRPr="000E7BFB">
              <w:rPr>
                <w:bCs/>
              </w:rPr>
              <w:t>собственост.</w:t>
            </w:r>
          </w:p>
          <w:p w14:paraId="4BA04B58" w14:textId="77777777" w:rsidR="002A11EE" w:rsidRPr="000E7BFB" w:rsidRDefault="002A11EE" w:rsidP="000E7BFB">
            <w:pPr>
              <w:pStyle w:val="ListParagraph"/>
              <w:tabs>
                <w:tab w:val="left" w:pos="0"/>
                <w:tab w:val="left" w:pos="567"/>
                <w:tab w:val="left" w:pos="2268"/>
                <w:tab w:val="left" w:pos="2835"/>
                <w:tab w:val="left" w:pos="3402"/>
                <w:tab w:val="left" w:pos="3969"/>
                <w:tab w:val="left" w:pos="4536"/>
                <w:tab w:val="left" w:pos="5103"/>
                <w:tab w:val="left" w:pos="5670"/>
                <w:tab w:val="left" w:pos="6237"/>
              </w:tabs>
              <w:spacing w:line="240" w:lineRule="auto"/>
              <w:ind w:left="0"/>
              <w:jc w:val="both"/>
            </w:pPr>
            <w:r w:rsidRPr="000E7BFB">
              <w:t xml:space="preserve">Всички изпълнители, които ще обезпечат реализацията в обхвата на проекта, ще бъдат избирани въз основна на открита, публична и недискриминационна процедура за възлагане на обществени поръчки съгласно Закона за обществените поръчки. </w:t>
            </w:r>
          </w:p>
          <w:p w14:paraId="5F774BA7" w14:textId="77777777" w:rsidR="002A11EE" w:rsidRPr="000E7BFB" w:rsidRDefault="002A11EE" w:rsidP="000E7BFB">
            <w:pPr>
              <w:tabs>
                <w:tab w:val="left" w:pos="0"/>
                <w:tab w:val="left" w:pos="1701"/>
                <w:tab w:val="left" w:pos="2268"/>
                <w:tab w:val="left" w:pos="2835"/>
                <w:tab w:val="left" w:pos="3402"/>
                <w:tab w:val="left" w:pos="3969"/>
                <w:tab w:val="left" w:pos="4536"/>
                <w:tab w:val="left" w:pos="5103"/>
                <w:tab w:val="left" w:pos="5670"/>
                <w:tab w:val="left" w:pos="6237"/>
              </w:tabs>
              <w:spacing w:line="240" w:lineRule="auto"/>
              <w:jc w:val="both"/>
              <w:rPr>
                <w:bCs/>
              </w:rPr>
            </w:pPr>
            <w:r w:rsidRPr="000E7BFB">
              <w:rPr>
                <w:bCs/>
              </w:rPr>
              <w:t>Предвид горепосоченото НКЖИ е единствен и изключителен управител на железопътната инфраструктура в Република България. В това си качество Компанията участва като бенефициент на ЕСИФ и МВУ.</w:t>
            </w:r>
          </w:p>
          <w:p w14:paraId="7E9E39F4" w14:textId="77777777" w:rsidR="002A11EE" w:rsidRPr="000E7BFB" w:rsidRDefault="002A11EE" w:rsidP="000E7BFB">
            <w:pPr>
              <w:pStyle w:val="ListParagraph"/>
              <w:shd w:val="clear" w:color="auto" w:fill="FFFFFF"/>
              <w:spacing w:line="240" w:lineRule="auto"/>
              <w:ind w:left="0"/>
              <w:jc w:val="both"/>
              <w:rPr>
                <w:rFonts w:eastAsia="Times New Roman"/>
              </w:rPr>
            </w:pPr>
            <w:r w:rsidRPr="000E7BFB">
              <w:rPr>
                <w:bCs/>
              </w:rPr>
              <w:t xml:space="preserve">Средствата, които ще бъдат отпуснати от източници на публично финансиране, ще се предоставят на НКЖИ със задача да организира процедури за възлагане на </w:t>
            </w:r>
            <w:r w:rsidRPr="000E7BFB">
              <w:rPr>
                <w:bCs/>
              </w:rPr>
              <w:lastRenderedPageBreak/>
              <w:t>обществени поръчки - за строителните работи и доставката на необходимите машини и съоръжения за изграждане на железопътната инфраструктура.</w:t>
            </w:r>
          </w:p>
          <w:p w14:paraId="17224240" w14:textId="77777777" w:rsidR="002A11EE" w:rsidRPr="000E7BFB" w:rsidRDefault="002A11EE" w:rsidP="000E7BFB">
            <w:pPr>
              <w:pStyle w:val="ListParagraph"/>
              <w:shd w:val="clear" w:color="auto" w:fill="FFFFFF"/>
              <w:spacing w:line="240" w:lineRule="auto"/>
              <w:ind w:left="0"/>
              <w:jc w:val="both"/>
              <w:rPr>
                <w:bCs/>
              </w:rPr>
            </w:pPr>
            <w:r w:rsidRPr="000E7BFB">
              <w:rPr>
                <w:bCs/>
              </w:rPr>
              <w:t>В този контекст, по отношение на изграждането на железопътната инфраструктура, Компанията няма да получи никакви икономически предимства от тази своя дейност. Първо, не НКЖИ, а държавата ще притежава новоизградената железопътна инфраструктура. Второ, НКЖИ няма да получи плащания по проекта извън тези за плащанията на изпълнителите. НКЖИ има законов монопол, което изключва възможности за въздействие върху конкуренцията.</w:t>
            </w:r>
          </w:p>
          <w:p w14:paraId="1168B8FB" w14:textId="77777777" w:rsidR="002A11EE" w:rsidRPr="000E7BFB" w:rsidRDefault="002A11EE" w:rsidP="000E7BFB">
            <w:pPr>
              <w:shd w:val="clear" w:color="auto" w:fill="FFFFFF"/>
              <w:spacing w:line="240" w:lineRule="auto"/>
              <w:jc w:val="both"/>
              <w:rPr>
                <w:bCs/>
                <w:iCs/>
              </w:rPr>
            </w:pPr>
            <w:r w:rsidRPr="000E7BFB">
              <w:rPr>
                <w:bCs/>
                <w:iCs/>
              </w:rPr>
              <w:t>Новоизграденият интермодален терминал ще бъде собственост на МТИТС. Средствата, предоставени на НКЖИ за изграждането му не представляват държавна помощ по смисъла на чл.107 от ДФЕС. Мярката не включва и държавна помощ по отношение на бъдещия концесионер, тъй като държавата се ангажира при избора му да бъдат спазени основните принципи, залегнали в Закона за концесиите - за публичност, прозрачност, свободна и лоялна конкуренция, равнопоставеност и пропорционалност, която няма да навреди на Общия пазар, както и че той ще оперира на пазарен принцип. Концесионерът на ИМТ ще бъде избран посредством открита недискриминационна процедура. Той ще осигурява равен достъп до обекта на концесията и услугите извършвани в него, съгласно концесионния договор на всички лицензирани превозвачи и ползватели и ще спазва условията за предоставянето им. Тези субекти  ще имат възможност да ползват  резултатите от реализацията на проекта без да се нарушава конкуренцията и равнопоставеността на вътрешния и международния пазар.</w:t>
            </w:r>
          </w:p>
          <w:p w14:paraId="75278107" w14:textId="77777777" w:rsidR="002A11EE" w:rsidRPr="000E7BFB" w:rsidRDefault="002A11EE" w:rsidP="000E7BFB">
            <w:pPr>
              <w:shd w:val="clear" w:color="auto" w:fill="FFFFFF"/>
              <w:spacing w:line="240" w:lineRule="auto"/>
              <w:jc w:val="both"/>
              <w:rPr>
                <w:bCs/>
              </w:rPr>
            </w:pPr>
            <w:r w:rsidRPr="000E7BFB">
              <w:rPr>
                <w:bCs/>
              </w:rPr>
              <w:t xml:space="preserve">Следователно се налага изводът, че проектът </w:t>
            </w:r>
            <w:r w:rsidRPr="000E7BFB">
              <w:rPr>
                <w:b/>
                <w:bCs/>
              </w:rPr>
              <w:t>не съдържа държавна помощ, която да е несъвместима с правилата на Съюза</w:t>
            </w:r>
            <w:r w:rsidRPr="000E7BFB">
              <w:rPr>
                <w:bCs/>
              </w:rPr>
              <w:t>.</w:t>
            </w:r>
          </w:p>
          <w:p w14:paraId="078DD4C5" w14:textId="77777777" w:rsidR="002A11EE" w:rsidRPr="000E7BFB" w:rsidRDefault="002A11EE" w:rsidP="000E7BFB">
            <w:pPr>
              <w:shd w:val="clear" w:color="auto" w:fill="FFFFFF"/>
              <w:spacing w:line="240" w:lineRule="auto"/>
              <w:jc w:val="both"/>
              <w:rPr>
                <w:bCs/>
              </w:rPr>
            </w:pPr>
          </w:p>
          <w:p w14:paraId="4E2F7D65" w14:textId="77777777" w:rsidR="002A11EE" w:rsidRDefault="002A11EE" w:rsidP="000E7BFB">
            <w:pPr>
              <w:shd w:val="clear" w:color="auto" w:fill="FFFFFF"/>
              <w:spacing w:line="240" w:lineRule="auto"/>
              <w:jc w:val="both"/>
              <w:rPr>
                <w:bCs/>
              </w:rPr>
            </w:pPr>
            <w:r w:rsidRPr="000E7BFB">
              <w:rPr>
                <w:bCs/>
              </w:rPr>
              <w:t xml:space="preserve">Проектното предложение няма характер на </w:t>
            </w:r>
            <w:r w:rsidRPr="000E7BFB">
              <w:rPr>
                <w:b/>
              </w:rPr>
              <w:t>трансграничен и/или мултинационален проект</w:t>
            </w:r>
            <w:r w:rsidRPr="000E7BFB">
              <w:rPr>
                <w:bCs/>
              </w:rPr>
              <w:t>.</w:t>
            </w:r>
          </w:p>
          <w:p w14:paraId="517F617E" w14:textId="77777777" w:rsidR="002A11EE" w:rsidRDefault="002A11EE" w:rsidP="000E7BFB">
            <w:pPr>
              <w:shd w:val="clear" w:color="auto" w:fill="FFFFFF"/>
              <w:spacing w:line="240" w:lineRule="auto"/>
              <w:jc w:val="both"/>
              <w:rPr>
                <w:bCs/>
              </w:rPr>
            </w:pPr>
          </w:p>
          <w:p w14:paraId="71FF4502" w14:textId="77777777" w:rsidR="002A11EE" w:rsidRPr="00D26967" w:rsidRDefault="002A11EE" w:rsidP="004C68FC">
            <w:pPr>
              <w:spacing w:line="240" w:lineRule="auto"/>
              <w:jc w:val="both"/>
              <w:rPr>
                <w:b/>
              </w:rPr>
            </w:pPr>
            <w:r w:rsidRPr="00D26967">
              <w:rPr>
                <w:b/>
              </w:rPr>
              <w:t>Отворена стратегическа автономия и въпроси на сигурността</w:t>
            </w:r>
          </w:p>
          <w:p w14:paraId="69076160" w14:textId="77777777" w:rsidR="002A11EE" w:rsidRPr="00D26967" w:rsidRDefault="002A11EE" w:rsidP="004C68FC">
            <w:pPr>
              <w:spacing w:line="240" w:lineRule="auto"/>
              <w:jc w:val="both"/>
            </w:pPr>
            <w:r w:rsidRPr="00D26967">
              <w:t xml:space="preserve">Картината на заплахите за сигурността е бързо променяща се и стратегията за защита трябва да обуславя координирана реакция на равнище ЕС за цялото общество.   </w:t>
            </w:r>
          </w:p>
          <w:p w14:paraId="4831E995" w14:textId="0D520FA6" w:rsidR="002A11EE" w:rsidRPr="00D26967" w:rsidRDefault="002A11EE" w:rsidP="001B4B45">
            <w:pPr>
              <w:spacing w:line="240" w:lineRule="auto"/>
              <w:jc w:val="both"/>
            </w:pPr>
            <w:r w:rsidRPr="00D26967">
              <w:t>В контекста на стратегическите приоритети за сигурност на ЕС, реализацията на проект</w:t>
            </w:r>
            <w:r>
              <w:t>а</w:t>
            </w:r>
            <w:r w:rsidRPr="00D26967">
              <w:t xml:space="preserve"> ще допринесе за правилно прилагане на този хоризонтален принцип в максимална степен чрез осигуряване на</w:t>
            </w:r>
            <w:r>
              <w:t xml:space="preserve"> н</w:t>
            </w:r>
            <w:r w:rsidRPr="00D26967">
              <w:t xml:space="preserve">адеждна, безопасна и ефективна железопътна </w:t>
            </w:r>
            <w:r>
              <w:t>инфраструктура</w:t>
            </w:r>
            <w:r w:rsidRPr="00D26967">
              <w:t xml:space="preserve">, която от своя страна ще спомогне за постигане на специфичните изисквания за оперативна съвместимост. </w:t>
            </w:r>
          </w:p>
          <w:p w14:paraId="4DC5EAE4" w14:textId="77777777" w:rsidR="002A11EE" w:rsidRDefault="002A11EE" w:rsidP="004C68FC">
            <w:pPr>
              <w:shd w:val="clear" w:color="auto" w:fill="FFFFFF"/>
              <w:spacing w:line="240" w:lineRule="auto"/>
              <w:jc w:val="both"/>
            </w:pPr>
            <w:r w:rsidRPr="00D26967">
              <w:t xml:space="preserve">Осигуряване на </w:t>
            </w:r>
            <w:r w:rsidRPr="00D26967">
              <w:rPr>
                <w:b/>
              </w:rPr>
              <w:t>защита на обществените пространства</w:t>
            </w:r>
            <w:r w:rsidRPr="00D26967">
              <w:t>. Има се предвид сигурността на приемните здания на гаровите комплекси, които ще бъдат предмет на рехабилитация в рамките на проекта.</w:t>
            </w:r>
          </w:p>
          <w:p w14:paraId="3CF91D43" w14:textId="77777777" w:rsidR="002A11EE" w:rsidRDefault="002A11EE" w:rsidP="004C68FC">
            <w:pPr>
              <w:shd w:val="clear" w:color="auto" w:fill="FFFFFF"/>
              <w:spacing w:line="240" w:lineRule="auto"/>
              <w:jc w:val="both"/>
            </w:pPr>
          </w:p>
          <w:p w14:paraId="47009B14" w14:textId="77777777" w:rsidR="002A11EE" w:rsidRPr="00325D1F" w:rsidRDefault="002A11EE" w:rsidP="00C87B7E">
            <w:pPr>
              <w:spacing w:after="120"/>
              <w:jc w:val="both"/>
              <w:rPr>
                <w:b/>
                <w:bCs/>
                <w:noProof/>
              </w:rPr>
            </w:pPr>
            <w:r w:rsidRPr="00325D1F">
              <w:rPr>
                <w:b/>
                <w:bCs/>
                <w:noProof/>
              </w:rPr>
              <w:t xml:space="preserve">Процедури </w:t>
            </w:r>
            <w:r>
              <w:rPr>
                <w:b/>
                <w:bCs/>
                <w:noProof/>
              </w:rPr>
              <w:t>-</w:t>
            </w:r>
            <w:r w:rsidRPr="00325D1F">
              <w:rPr>
                <w:b/>
                <w:bCs/>
                <w:noProof/>
              </w:rPr>
              <w:t xml:space="preserve"> околна среда</w:t>
            </w:r>
          </w:p>
          <w:p w14:paraId="1E6F1656" w14:textId="77777777" w:rsidR="002A11EE" w:rsidRPr="00F339C4" w:rsidRDefault="002A11EE" w:rsidP="00F339C4">
            <w:pPr>
              <w:spacing w:line="240" w:lineRule="auto"/>
              <w:jc w:val="both"/>
            </w:pPr>
            <w:r w:rsidRPr="00F339C4">
              <w:t>Тъй като за проекта предстоят процедури по подготовка, все още не са проведени и процедури по реда на Закона за опазване на околната среда. НКЖИ като възложител на други проекти от сходно естество е изпълнила изискванията на законодателството по околна среда и са проведени изискващите се процедури, които са приключили с издаването на становища, съгласно които компетентният орган е постановил, че не се изисква провеждането на регламентираните в глава шеста на ЗООС процедури по ОВОС и преценяване на необходимостта от ОВОС, както и че не е необходимо провеждане на процедури по оценка на съвместимост по реда на глава втора от Наредбата за ОС.</w:t>
            </w:r>
          </w:p>
          <w:p w14:paraId="26B89C4A" w14:textId="77777777" w:rsidR="002A11EE" w:rsidRPr="00F339C4" w:rsidRDefault="002A11EE" w:rsidP="00F339C4">
            <w:pPr>
              <w:spacing w:line="240" w:lineRule="auto"/>
              <w:jc w:val="both"/>
            </w:pPr>
            <w:r w:rsidRPr="00F339C4">
              <w:t xml:space="preserve">В допълнение железопътната инфраструктура е електрифицирана и насърчава използването на екологосъобразен транспорт и като такава може да се счита за необходима инвестиция в прехода към ефективна неутрална по отношение на климата икономика. Независимо от избраните алтернативи за развитие, железопътния транспорт няма дял в изчисляването на обемите въглеродни емисии. Модернизирането на железопътните линии и съпътстващите ги инфраструктурни съоръжения създават по-добри условия за предлагане на транспортни услуги по жп </w:t>
            </w:r>
            <w:r w:rsidRPr="00F339C4">
              <w:lastRenderedPageBreak/>
              <w:t xml:space="preserve">инфраструктура, като така допринасят за пренасочване на товарните и пътническите превози от автомобилния транспорт. Това от своя страна допринася за намаляване на емисиите на парникови газове. </w:t>
            </w:r>
          </w:p>
          <w:p w14:paraId="5A519C38" w14:textId="77777777" w:rsidR="002A11EE" w:rsidRDefault="002A11EE" w:rsidP="00F339C4">
            <w:pPr>
              <w:spacing w:line="240" w:lineRule="auto"/>
              <w:jc w:val="both"/>
            </w:pPr>
            <w:r w:rsidRPr="00F339C4">
              <w:t>При подготовката на проекта ще бъдат взети предвид климатичните характеристики на района, включващи вятър, валежи, снежна покривка, температури и др. и ще бъдат отчетени при определяне на техническите параметри на съоръженията, които се залагат в техническите спецификации за изпълнение. Въз основа на това се очаква проектът да бъде устойчив на въздействията, предизвикани от измененията на климата.</w:t>
            </w:r>
          </w:p>
          <w:p w14:paraId="73F937C0" w14:textId="77777777" w:rsidR="002A11EE" w:rsidRDefault="002A11EE" w:rsidP="00F339C4">
            <w:pPr>
              <w:spacing w:line="240" w:lineRule="auto"/>
              <w:jc w:val="both"/>
            </w:pPr>
            <w:r w:rsidRPr="00F339C4">
              <w:t>Предвидените дейности не са свързани с водовземане и/или ползване на повърхностен воден обект, поради което не се очакват морфологични изменения върху речните брегове и корита. Изпълнението на мярката не включва нови физични модификации и не оказва влияние, което би влошило тяхното екологично състояние и потенциал. Изпълнението на дейностите няма да доведе до негативни промени в нивата на подземните водни тела</w:t>
            </w:r>
          </w:p>
          <w:p w14:paraId="3ADCC73F" w14:textId="77777777" w:rsidR="002A11EE" w:rsidRDefault="002A11EE" w:rsidP="00F339C4">
            <w:pPr>
              <w:spacing w:line="240" w:lineRule="auto"/>
              <w:jc w:val="both"/>
            </w:pPr>
            <w:r w:rsidRPr="00F339C4">
              <w:t>Предвижда се по време на строително-монтажните работи да се ограничи генерирането на отпадъци в съответствие с Протокола на ЕС за управление на отпадъците от строителство и разрушаване и като вземат предвид най-добрите налични техники и улесняват повторното използване и висококачественото рециклиране чрез селективно отстраняване на материалите, като се използват наличните системи за сортиране на отпадъците от строителство. Генерираните отпадъци ще се събират разделно и ще се предават за транспортиране и последващо третиране - оползотворяване или обезвреждане, на лицензирани фирми съгласно изискванията на ЗУО.</w:t>
            </w:r>
          </w:p>
          <w:p w14:paraId="42D49786" w14:textId="77777777" w:rsidR="002A11EE" w:rsidRDefault="002A11EE" w:rsidP="00F339C4">
            <w:pPr>
              <w:spacing w:line="240" w:lineRule="auto"/>
              <w:jc w:val="both"/>
            </w:pPr>
            <w:r w:rsidRPr="00F339C4">
              <w:t>Дейностите по проекта имат за цел подобряване на техническото и експлоатационно състояние на железопътната линия и съпътстващата я инфраструктура и изграждане на нови съоръжения, чрез които се създават условия за пренасочването на пътническите и товарни превози към железопътния транспорт, който е с най-нисък процент на емисии на вредни вещества в атмосферния въздух  и на парникови газове в сравнение с останалите видове транспорт</w:t>
            </w:r>
          </w:p>
          <w:p w14:paraId="70C5CF23" w14:textId="77777777" w:rsidR="002A11EE" w:rsidRPr="00F339C4" w:rsidRDefault="002A11EE" w:rsidP="00F339C4">
            <w:pPr>
              <w:spacing w:line="240" w:lineRule="auto"/>
              <w:jc w:val="both"/>
            </w:pPr>
            <w:r w:rsidRPr="00F339C4">
              <w:t>Дейностите не се реализират във или в близост до уязвими по отношение на биоразнообразието зони, включително защитени зони от европейската екологична мрежа „НАТУРА 2000“. В по-голямата си част дейностите ще се реализират върху терени, собственост на ДП НКЖИ.</w:t>
            </w:r>
          </w:p>
          <w:p w14:paraId="27FF6C5D" w14:textId="77777777" w:rsidR="002A11EE" w:rsidRDefault="002A11EE" w:rsidP="00F339C4">
            <w:pPr>
              <w:spacing w:line="240" w:lineRule="auto"/>
              <w:jc w:val="both"/>
            </w:pPr>
            <w:r w:rsidRPr="00F339C4">
              <w:t>В тази връзка реализирането на проекта не се очаква да доведе до отрицателно въздействие върху природни местообитания и местообитания на видове, предмет на опазване в защитените зони.</w:t>
            </w:r>
          </w:p>
          <w:p w14:paraId="6FA85B49" w14:textId="73995380" w:rsidR="005F3FCF" w:rsidRPr="00F339C4" w:rsidRDefault="005F3FCF" w:rsidP="00F339C4">
            <w:pPr>
              <w:spacing w:line="240" w:lineRule="auto"/>
              <w:jc w:val="both"/>
            </w:pPr>
            <w:r>
              <w:rPr>
                <w:rStyle w:val="jlqj4b"/>
              </w:rPr>
              <w:t>40% от инвестицията допринася за зелените цели. За инвестицията и климатичната цел беше използвана методологията за проследяване на климата, както е изложена в приложение IIА и горната информация обосновава избора им за инвестиция. За инвестицията, свързана с екологичните цели, беше използвана същата методология. Съответното поле за намеса за инвестицията беше избрано най-подходящото, отразяващо естеството, фокуса, целта или очаквания резултат от инвестицията - 069 - Други реконструирани или модернизирани железници.</w:t>
            </w:r>
          </w:p>
        </w:tc>
      </w:tr>
      <w:tr w:rsidR="002A11EE" w:rsidRPr="009110E9" w14:paraId="1924B784" w14:textId="77777777" w:rsidTr="00F045B9">
        <w:tc>
          <w:tcPr>
            <w:tcW w:w="9067" w:type="dxa"/>
            <w:shd w:val="clear" w:color="auto" w:fill="auto"/>
            <w:tcMar>
              <w:top w:w="100" w:type="dxa"/>
              <w:left w:w="100" w:type="dxa"/>
              <w:bottom w:w="100" w:type="dxa"/>
              <w:right w:w="100" w:type="dxa"/>
            </w:tcMar>
          </w:tcPr>
          <w:p w14:paraId="393AA04F" w14:textId="213CD67C" w:rsidR="002A11EE" w:rsidRPr="009110E9" w:rsidRDefault="002A11EE"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lastRenderedPageBreak/>
              <w:t>Бенефициент</w:t>
            </w:r>
          </w:p>
        </w:tc>
      </w:tr>
      <w:tr w:rsidR="002A11EE" w:rsidRPr="009110E9" w14:paraId="2ACA03BF" w14:textId="77777777" w:rsidTr="00F045B9">
        <w:tc>
          <w:tcPr>
            <w:tcW w:w="9067" w:type="dxa"/>
            <w:shd w:val="clear" w:color="auto" w:fill="auto"/>
            <w:tcMar>
              <w:top w:w="100" w:type="dxa"/>
              <w:left w:w="100" w:type="dxa"/>
              <w:bottom w:w="100" w:type="dxa"/>
              <w:right w:w="100" w:type="dxa"/>
            </w:tcMar>
          </w:tcPr>
          <w:p w14:paraId="30A0FB00" w14:textId="1DB9355F" w:rsidR="002A11EE" w:rsidRPr="009110E9" w:rsidRDefault="002A11EE" w:rsidP="000750BB">
            <w:pPr>
              <w:widowControl w:val="0"/>
              <w:pBdr>
                <w:top w:val="nil"/>
                <w:left w:val="nil"/>
                <w:bottom w:val="nil"/>
                <w:right w:val="nil"/>
                <w:between w:val="nil"/>
              </w:pBdr>
              <w:spacing w:line="240" w:lineRule="auto"/>
              <w:jc w:val="both"/>
            </w:pPr>
            <w:r w:rsidRPr="009110E9">
              <w:t xml:space="preserve">Държавно предприятие „Национална Компания „Железопътна инфраструктура“ </w:t>
            </w:r>
          </w:p>
        </w:tc>
      </w:tr>
      <w:tr w:rsidR="002A11EE" w:rsidRPr="009110E9" w14:paraId="17B1181F" w14:textId="77777777" w:rsidTr="00F045B9">
        <w:tc>
          <w:tcPr>
            <w:tcW w:w="9067" w:type="dxa"/>
            <w:shd w:val="clear" w:color="auto" w:fill="auto"/>
            <w:tcMar>
              <w:top w:w="100" w:type="dxa"/>
              <w:left w:w="100" w:type="dxa"/>
              <w:bottom w:w="100" w:type="dxa"/>
              <w:right w:w="100" w:type="dxa"/>
            </w:tcMar>
          </w:tcPr>
          <w:p w14:paraId="22FE7A93" w14:textId="35FD24A5" w:rsidR="002A11EE" w:rsidRPr="009110E9" w:rsidRDefault="002A11EE"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t>Времеви график за изпълнение на проекта, вкл. дейности, етапи</w:t>
            </w:r>
            <w:r w:rsidRPr="009110E9">
              <w:rPr>
                <w:b/>
                <w:vertAlign w:val="superscript"/>
              </w:rPr>
              <w:footnoteReference w:id="1"/>
            </w:r>
          </w:p>
        </w:tc>
      </w:tr>
      <w:tr w:rsidR="002A11EE" w:rsidRPr="009110E9" w14:paraId="5A0A95C3" w14:textId="77777777" w:rsidTr="00F045B9">
        <w:trPr>
          <w:trHeight w:val="277"/>
        </w:trPr>
        <w:tc>
          <w:tcPr>
            <w:tcW w:w="9067" w:type="dxa"/>
            <w:shd w:val="clear" w:color="auto" w:fill="auto"/>
            <w:tcMar>
              <w:top w:w="100" w:type="dxa"/>
              <w:left w:w="100" w:type="dxa"/>
              <w:bottom w:w="100" w:type="dxa"/>
              <w:right w:w="100" w:type="dxa"/>
            </w:tcMar>
          </w:tcPr>
          <w:p w14:paraId="599E3E07" w14:textId="5F9EE8F7" w:rsidR="002A11EE" w:rsidRDefault="002A11EE" w:rsidP="00E07D4E">
            <w:pPr>
              <w:widowControl w:val="0"/>
              <w:pBdr>
                <w:top w:val="nil"/>
                <w:left w:val="nil"/>
                <w:bottom w:val="nil"/>
                <w:right w:val="nil"/>
                <w:between w:val="nil"/>
              </w:pBdr>
              <w:spacing w:line="240" w:lineRule="auto"/>
              <w:jc w:val="both"/>
              <w:rPr>
                <w:b/>
                <w:bCs/>
              </w:rPr>
            </w:pPr>
            <w:r w:rsidRPr="009110E9">
              <w:rPr>
                <w:b/>
                <w:bCs/>
              </w:rPr>
              <w:t>Гарови комплекси: - период на изпълнение 2021 -2025</w:t>
            </w:r>
          </w:p>
          <w:p w14:paraId="534E9007" w14:textId="7A05842F" w:rsidR="002A11EE" w:rsidRDefault="002A11EE" w:rsidP="00431BF7">
            <w:pPr>
              <w:contextualSpacing/>
              <w:jc w:val="both"/>
            </w:pPr>
            <w:r>
              <w:t>Изпълнението на обект №1 „Изграждане на гаров комплекс Мездра“ ще бъде реализирано в периода 2022-2025 г.</w:t>
            </w:r>
          </w:p>
          <w:p w14:paraId="7D07E4A4" w14:textId="7ED1D7BE" w:rsidR="002A11EE" w:rsidRDefault="002A11EE" w:rsidP="00431BF7">
            <w:pPr>
              <w:contextualSpacing/>
              <w:jc w:val="both"/>
            </w:pPr>
            <w:r>
              <w:lastRenderedPageBreak/>
              <w:t>Цялостното изпълнение на обект №2 „Изграждане на гаров комплекс Червен бряг“ включва два етапа:</w:t>
            </w:r>
          </w:p>
          <w:p w14:paraId="1D0A9923" w14:textId="77777777" w:rsidR="002A11EE" w:rsidRDefault="002A11EE" w:rsidP="004B33A8">
            <w:pPr>
              <w:pStyle w:val="ListParagraph"/>
              <w:numPr>
                <w:ilvl w:val="2"/>
                <w:numId w:val="6"/>
              </w:numPr>
              <w:ind w:left="746"/>
              <w:jc w:val="both"/>
            </w:pPr>
            <w:r>
              <w:t xml:space="preserve">подготовка на обекта в периода 2021- 2022 г. </w:t>
            </w:r>
          </w:p>
          <w:p w14:paraId="5E11473E" w14:textId="6583A9AA" w:rsidR="002A11EE" w:rsidRDefault="002A11EE" w:rsidP="004B33A8">
            <w:pPr>
              <w:pStyle w:val="ListParagraph"/>
              <w:numPr>
                <w:ilvl w:val="2"/>
                <w:numId w:val="6"/>
              </w:numPr>
              <w:ind w:left="746"/>
              <w:jc w:val="both"/>
            </w:pPr>
            <w:r>
              <w:t>последващо изпълнение в периода 2022 – 2025 г.</w:t>
            </w:r>
          </w:p>
          <w:p w14:paraId="2DDA0582" w14:textId="33A659AF" w:rsidR="002A11EE" w:rsidRPr="009110E9" w:rsidRDefault="002A11EE" w:rsidP="00E07D4E">
            <w:pPr>
              <w:widowControl w:val="0"/>
              <w:pBdr>
                <w:top w:val="nil"/>
                <w:left w:val="nil"/>
                <w:bottom w:val="nil"/>
                <w:right w:val="nil"/>
                <w:between w:val="nil"/>
              </w:pBdr>
              <w:spacing w:line="240" w:lineRule="auto"/>
              <w:jc w:val="both"/>
            </w:pPr>
            <w:r w:rsidRPr="009110E9">
              <w:t xml:space="preserve">Компонентът за изграждане, преустройство и рехабилитация гарови комплекси включва следните дейности: </w:t>
            </w:r>
          </w:p>
          <w:p w14:paraId="73456C1A" w14:textId="25D44C71" w:rsidR="002A11EE" w:rsidRPr="009110E9" w:rsidRDefault="002A11EE" w:rsidP="00E07D4E">
            <w:pPr>
              <w:widowControl w:val="0"/>
              <w:pBdr>
                <w:top w:val="nil"/>
                <w:left w:val="nil"/>
                <w:bottom w:val="nil"/>
                <w:right w:val="nil"/>
                <w:between w:val="nil"/>
              </w:pBdr>
              <w:spacing w:line="240" w:lineRule="auto"/>
              <w:jc w:val="both"/>
            </w:pPr>
            <w:r w:rsidRPr="009110E9">
              <w:t>Изготвяне на обследване, Технически паспорт, инвестиционен проект, съгласуване на инвестиционния проект и издаване на Разрешение за строеж, Изпълнение на строително-монтажни работи - доставка, строително-монтажни дейности и въвеждане в експлоатация на приемното здание</w:t>
            </w:r>
            <w:r>
              <w:t xml:space="preserve"> (само за Червен бряг)</w:t>
            </w:r>
            <w:r w:rsidRPr="009110E9">
              <w:t xml:space="preserve"> и обекти на железопътната инфраструктура</w:t>
            </w:r>
            <w:r w:rsidRPr="00E56FAB">
              <w:t xml:space="preserve"> (</w:t>
            </w:r>
            <w:r>
              <w:t>за Мездра и Червен бряг</w:t>
            </w:r>
            <w:r w:rsidRPr="00E56FAB">
              <w:t>)</w:t>
            </w:r>
            <w:r w:rsidRPr="009110E9">
              <w:t>;</w:t>
            </w:r>
          </w:p>
          <w:p w14:paraId="71D76AB5" w14:textId="764CF42B" w:rsidR="002A11EE" w:rsidRPr="009110E9" w:rsidRDefault="002A11EE" w:rsidP="00E07D4E">
            <w:pPr>
              <w:widowControl w:val="0"/>
              <w:pBdr>
                <w:top w:val="nil"/>
                <w:left w:val="nil"/>
                <w:bottom w:val="nil"/>
                <w:right w:val="nil"/>
                <w:between w:val="nil"/>
              </w:pBdr>
              <w:spacing w:line="240" w:lineRule="auto"/>
              <w:jc w:val="both"/>
            </w:pPr>
            <w:r w:rsidRPr="009110E9">
              <w:t>Оценка на съответствието: оценка на съответствието и осъществяване на строителен надзор по време на строителство и координация на договори по проекта; оценка на съответствието с изискванията за оперативна съвместимост, оценка на съответствието на приложимите национални технически правила и националните правила за безопасност и независима оценка на пригодността на прилагане на процедурата за управление на риска на проекта</w:t>
            </w:r>
          </w:p>
          <w:p w14:paraId="702592D1" w14:textId="28086255" w:rsidR="002A11EE" w:rsidRPr="009110E9" w:rsidRDefault="002A11EE" w:rsidP="00E07D4E">
            <w:pPr>
              <w:widowControl w:val="0"/>
              <w:pBdr>
                <w:top w:val="nil"/>
                <w:left w:val="nil"/>
                <w:bottom w:val="nil"/>
                <w:right w:val="nil"/>
                <w:between w:val="nil"/>
              </w:pBdr>
              <w:spacing w:line="240" w:lineRule="auto"/>
              <w:jc w:val="both"/>
            </w:pPr>
            <w:r w:rsidRPr="009110E9">
              <w:t>Комуникация - изпълнение на мерки по информация и публичност на проекта;</w:t>
            </w:r>
          </w:p>
          <w:p w14:paraId="20D362E0" w14:textId="64B12D45" w:rsidR="002A11EE" w:rsidRPr="009110E9" w:rsidRDefault="002A11EE" w:rsidP="00E07D4E">
            <w:pPr>
              <w:widowControl w:val="0"/>
              <w:pBdr>
                <w:top w:val="nil"/>
                <w:left w:val="nil"/>
                <w:bottom w:val="nil"/>
                <w:right w:val="nil"/>
                <w:between w:val="nil"/>
              </w:pBdr>
              <w:spacing w:line="240" w:lineRule="auto"/>
              <w:jc w:val="both"/>
            </w:pPr>
            <w:r w:rsidRPr="009110E9">
              <w:t xml:space="preserve">Техническа помощ - управление на проекта.  </w:t>
            </w:r>
          </w:p>
          <w:p w14:paraId="4E04103E" w14:textId="77777777" w:rsidR="002A11EE" w:rsidRPr="009110E9" w:rsidRDefault="002A11EE" w:rsidP="00E07D4E">
            <w:pPr>
              <w:widowControl w:val="0"/>
              <w:pBdr>
                <w:top w:val="nil"/>
                <w:left w:val="nil"/>
                <w:bottom w:val="nil"/>
                <w:right w:val="nil"/>
                <w:between w:val="nil"/>
              </w:pBdr>
              <w:spacing w:line="240" w:lineRule="auto"/>
              <w:jc w:val="both"/>
            </w:pPr>
          </w:p>
          <w:p w14:paraId="7D1EA0D6" w14:textId="10D31BFB" w:rsidR="002A11EE" w:rsidRPr="009110E9" w:rsidRDefault="002A11EE" w:rsidP="002C3303">
            <w:pPr>
              <w:contextualSpacing/>
              <w:rPr>
                <w:b/>
              </w:rPr>
            </w:pPr>
            <w:r w:rsidRPr="009110E9">
              <w:rPr>
                <w:b/>
              </w:rPr>
              <w:t>Подготовка и изпълнение на ИМТ Горна Оряховица – период на изпълнение 2021 – 2025 г.</w:t>
            </w:r>
          </w:p>
          <w:p w14:paraId="1B0D30E6" w14:textId="77777777" w:rsidR="002A11EE" w:rsidRPr="009110E9" w:rsidRDefault="002A11EE" w:rsidP="002C3303">
            <w:pPr>
              <w:contextualSpacing/>
            </w:pPr>
            <w:r w:rsidRPr="009110E9">
              <w:t>Обхваща следните два основни етапа:</w:t>
            </w:r>
          </w:p>
          <w:p w14:paraId="6BC96AF7" w14:textId="69C40AC6" w:rsidR="002A11EE" w:rsidRPr="009110E9" w:rsidRDefault="002A11EE" w:rsidP="002C3303">
            <w:pPr>
              <w:contextualSpacing/>
            </w:pPr>
            <w:r w:rsidRPr="009110E9">
              <w:t>- Подготовка на проекта – 2021-202</w:t>
            </w:r>
            <w:r w:rsidRPr="00DD091A">
              <w:t>2</w:t>
            </w:r>
            <w:r w:rsidRPr="009110E9">
              <w:t xml:space="preserve"> г.</w:t>
            </w:r>
          </w:p>
          <w:p w14:paraId="068C93B1" w14:textId="20DE4DD6" w:rsidR="002A11EE" w:rsidRPr="009110E9" w:rsidRDefault="002A11EE" w:rsidP="004D2C6A">
            <w:pPr>
              <w:contextualSpacing/>
            </w:pPr>
            <w:r w:rsidRPr="009110E9">
              <w:t>- Изпълнение на проекта – 202</w:t>
            </w:r>
            <w:r w:rsidRPr="00DD091A">
              <w:t>2</w:t>
            </w:r>
            <w:r w:rsidRPr="009110E9">
              <w:t>-2025 г.</w:t>
            </w:r>
          </w:p>
        </w:tc>
      </w:tr>
    </w:tbl>
    <w:p w14:paraId="5B73C343" w14:textId="2D799E05" w:rsidR="00E345CF" w:rsidRDefault="00E345CF">
      <w:r>
        <w:lastRenderedPageBreak/>
        <w:br w:type="page"/>
      </w:r>
    </w:p>
    <w:p w14:paraId="62AEF497" w14:textId="77777777" w:rsidR="00E345CF" w:rsidRDefault="00E345CF">
      <w:pPr>
        <w:sectPr w:rsidR="00E345CF" w:rsidSect="00034557">
          <w:footerReference w:type="default" r:id="rId9"/>
          <w:pgSz w:w="11909" w:h="16834"/>
          <w:pgMar w:top="709" w:right="1440" w:bottom="1135" w:left="1440" w:header="720" w:footer="720" w:gutter="0"/>
          <w:pgNumType w:start="1"/>
          <w:cols w:space="708"/>
        </w:sectPr>
      </w:pPr>
    </w:p>
    <w:p w14:paraId="4C38169C" w14:textId="0ADE4C1A" w:rsidR="00E345CF" w:rsidRDefault="007F1CCA">
      <w:r>
        <w:rPr>
          <w:noProof/>
        </w:rPr>
        <w:lastRenderedPageBreak/>
        <w:drawing>
          <wp:anchor distT="0" distB="0" distL="114300" distR="114300" simplePos="0" relativeHeight="251661312" behindDoc="0" locked="0" layoutInCell="1" allowOverlap="1" wp14:anchorId="12FEE23A" wp14:editId="521FE3CC">
            <wp:simplePos x="0" y="0"/>
            <wp:positionH relativeFrom="column">
              <wp:posOffset>-339090</wp:posOffset>
            </wp:positionH>
            <wp:positionV relativeFrom="paragraph">
              <wp:posOffset>0</wp:posOffset>
            </wp:positionV>
            <wp:extent cx="9429750" cy="6667976"/>
            <wp:effectExtent l="0" t="0" r="0" b="0"/>
            <wp:wrapThrough wrapText="bothSides">
              <wp:wrapPolygon edited="0">
                <wp:start x="0" y="0"/>
                <wp:lineTo x="0" y="21538"/>
                <wp:lineTo x="21556" y="21538"/>
                <wp:lineTo x="2155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29750" cy="6667976"/>
                    </a:xfrm>
                    <a:prstGeom prst="rect">
                      <a:avLst/>
                    </a:prstGeom>
                  </pic:spPr>
                </pic:pic>
              </a:graphicData>
            </a:graphic>
            <wp14:sizeRelH relativeFrom="margin">
              <wp14:pctWidth>0</wp14:pctWidth>
            </wp14:sizeRelH>
            <wp14:sizeRelV relativeFrom="margin">
              <wp14:pctHeight>0</wp14:pctHeight>
            </wp14:sizeRelV>
          </wp:anchor>
        </w:drawing>
      </w:r>
    </w:p>
    <w:p w14:paraId="7142EF4F" w14:textId="77777777" w:rsidR="00E345CF" w:rsidRDefault="00E345CF">
      <w:pPr>
        <w:sectPr w:rsidR="00E345CF" w:rsidSect="00213703">
          <w:pgSz w:w="16834" w:h="11909" w:orient="landscape"/>
          <w:pgMar w:top="709" w:right="709" w:bottom="1440" w:left="1134" w:header="720" w:footer="720" w:gutter="0"/>
          <w:pgNumType w:start="11"/>
          <w:cols w:space="708"/>
        </w:sectPr>
      </w:pPr>
    </w:p>
    <w:p w14:paraId="222BFA1D" w14:textId="4BE61654" w:rsidR="00E345CF" w:rsidRDefault="00E345CF"/>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F101A" w:rsidRPr="009110E9" w14:paraId="65E9E631" w14:textId="77777777" w:rsidTr="00810734">
        <w:trPr>
          <w:trHeight w:val="277"/>
        </w:trPr>
        <w:tc>
          <w:tcPr>
            <w:tcW w:w="9029" w:type="dxa"/>
            <w:shd w:val="clear" w:color="auto" w:fill="auto"/>
            <w:tcMar>
              <w:top w:w="100" w:type="dxa"/>
              <w:left w:w="100" w:type="dxa"/>
              <w:bottom w:w="100" w:type="dxa"/>
              <w:right w:w="100" w:type="dxa"/>
            </w:tcMar>
          </w:tcPr>
          <w:p w14:paraId="632036F9" w14:textId="3AB561C0" w:rsidR="005F101A" w:rsidRPr="009110E9"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9110E9">
              <w:rPr>
                <w:b/>
              </w:rPr>
              <w:t>Кога най-рано може да започне изпълнението на проекта след неговото одобрение?</w:t>
            </w:r>
          </w:p>
        </w:tc>
      </w:tr>
      <w:tr w:rsidR="005F101A" w:rsidRPr="009110E9" w14:paraId="3FB5F6EC" w14:textId="77777777" w:rsidTr="00810734">
        <w:trPr>
          <w:trHeight w:val="277"/>
        </w:trPr>
        <w:tc>
          <w:tcPr>
            <w:tcW w:w="9029" w:type="dxa"/>
            <w:shd w:val="clear" w:color="auto" w:fill="auto"/>
            <w:tcMar>
              <w:top w:w="100" w:type="dxa"/>
              <w:left w:w="100" w:type="dxa"/>
              <w:bottom w:w="100" w:type="dxa"/>
              <w:right w:w="100" w:type="dxa"/>
            </w:tcMar>
          </w:tcPr>
          <w:p w14:paraId="5930C9AE" w14:textId="77777777" w:rsidR="00FE37FF" w:rsidRPr="009110E9" w:rsidRDefault="0037041B" w:rsidP="000750BB">
            <w:pPr>
              <w:widowControl w:val="0"/>
              <w:pBdr>
                <w:top w:val="nil"/>
                <w:left w:val="nil"/>
                <w:bottom w:val="nil"/>
                <w:right w:val="nil"/>
                <w:between w:val="nil"/>
              </w:pBdr>
              <w:spacing w:line="240" w:lineRule="auto"/>
              <w:jc w:val="both"/>
            </w:pPr>
            <w:r w:rsidRPr="009110E9">
              <w:t>2021 г.</w:t>
            </w:r>
          </w:p>
        </w:tc>
      </w:tr>
      <w:tr w:rsidR="00FE7C56" w:rsidRPr="009110E9" w14:paraId="07F714FA" w14:textId="77777777">
        <w:tc>
          <w:tcPr>
            <w:tcW w:w="9029" w:type="dxa"/>
            <w:shd w:val="clear" w:color="auto" w:fill="auto"/>
            <w:tcMar>
              <w:top w:w="100" w:type="dxa"/>
              <w:left w:w="100" w:type="dxa"/>
              <w:bottom w:w="100" w:type="dxa"/>
              <w:right w:w="100" w:type="dxa"/>
            </w:tcMar>
          </w:tcPr>
          <w:p w14:paraId="42CE85FD" w14:textId="4B73A05D" w:rsidR="00FE7C56" w:rsidRPr="009110E9"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t>Индикативен финансов ресурс</w:t>
            </w:r>
            <w:r w:rsidR="005F101A" w:rsidRPr="009110E9">
              <w:rPr>
                <w:b/>
              </w:rPr>
              <w:t xml:space="preserve"> по дейности</w:t>
            </w:r>
            <w:r w:rsidR="000F4B69" w:rsidRPr="009110E9">
              <w:rPr>
                <w:b/>
              </w:rPr>
              <w:t>, вкл. източници на финансиране (ДБ, европейско финансиране, частно финансиране, МФИ)</w:t>
            </w:r>
          </w:p>
        </w:tc>
      </w:tr>
      <w:tr w:rsidR="00FE7C56" w:rsidRPr="009110E9" w14:paraId="0738D54D" w14:textId="77777777">
        <w:tc>
          <w:tcPr>
            <w:tcW w:w="9029" w:type="dxa"/>
            <w:shd w:val="clear" w:color="auto" w:fill="auto"/>
            <w:tcMar>
              <w:top w:w="100" w:type="dxa"/>
              <w:left w:w="100" w:type="dxa"/>
              <w:bottom w:w="100" w:type="dxa"/>
              <w:right w:w="100" w:type="dxa"/>
            </w:tcMar>
          </w:tcPr>
          <w:p w14:paraId="0C6EDB2D" w14:textId="4E6A217A" w:rsidR="00A25B63" w:rsidRPr="009110E9" w:rsidRDefault="00A25B63" w:rsidP="0037041B">
            <w:pPr>
              <w:widowControl w:val="0"/>
              <w:pBdr>
                <w:top w:val="nil"/>
                <w:left w:val="nil"/>
                <w:bottom w:val="nil"/>
                <w:right w:val="nil"/>
                <w:between w:val="nil"/>
              </w:pBdr>
              <w:spacing w:line="240" w:lineRule="auto"/>
              <w:jc w:val="both"/>
            </w:pPr>
            <w:r w:rsidRPr="009110E9">
              <w:t>Индикативни стойности:</w:t>
            </w:r>
          </w:p>
          <w:p w14:paraId="734DDCD4" w14:textId="390A97A8" w:rsidR="00A25B63" w:rsidRPr="009110E9" w:rsidRDefault="00A25B63" w:rsidP="0037041B">
            <w:pPr>
              <w:widowControl w:val="0"/>
              <w:pBdr>
                <w:top w:val="nil"/>
                <w:left w:val="nil"/>
                <w:bottom w:val="nil"/>
                <w:right w:val="nil"/>
                <w:between w:val="nil"/>
              </w:pBdr>
              <w:spacing w:line="240" w:lineRule="auto"/>
              <w:jc w:val="both"/>
            </w:pPr>
            <w:r w:rsidRPr="009110E9">
              <w:t xml:space="preserve">Гара Мездра </w:t>
            </w:r>
            <w:r w:rsidR="00EB6896" w:rsidRPr="009110E9">
              <w:t xml:space="preserve">- </w:t>
            </w:r>
            <w:r w:rsidRPr="009110E9">
              <w:t xml:space="preserve"> </w:t>
            </w:r>
            <w:r w:rsidR="00EB6896" w:rsidRPr="009110E9">
              <w:t xml:space="preserve">         </w:t>
            </w:r>
            <w:r w:rsidR="00783FB3">
              <w:t>28</w:t>
            </w:r>
            <w:r w:rsidRPr="009110E9">
              <w:t>,</w:t>
            </w:r>
            <w:r w:rsidR="00783FB3">
              <w:t>664</w:t>
            </w:r>
            <w:r w:rsidR="00AB2E92" w:rsidRPr="009110E9">
              <w:t xml:space="preserve"> </w:t>
            </w:r>
            <w:r w:rsidR="00EB6896" w:rsidRPr="009110E9">
              <w:t>млн. лева, без ДДС</w:t>
            </w:r>
          </w:p>
          <w:p w14:paraId="00CDF41E" w14:textId="6668CA0B" w:rsidR="007E3057" w:rsidRPr="009110E9" w:rsidRDefault="007E3057" w:rsidP="007E3057">
            <w:pPr>
              <w:widowControl w:val="0"/>
              <w:pBdr>
                <w:top w:val="nil"/>
                <w:left w:val="nil"/>
                <w:bottom w:val="nil"/>
                <w:right w:val="nil"/>
                <w:between w:val="nil"/>
              </w:pBdr>
              <w:spacing w:line="240" w:lineRule="auto"/>
              <w:jc w:val="both"/>
            </w:pPr>
            <w:r w:rsidRPr="009110E9">
              <w:t xml:space="preserve">Гара Червен бряг -   </w:t>
            </w:r>
            <w:r w:rsidR="00783FB3">
              <w:t>25</w:t>
            </w:r>
            <w:r w:rsidRPr="009110E9">
              <w:t>,</w:t>
            </w:r>
            <w:r w:rsidR="00841550" w:rsidRPr="009110E9">
              <w:t>0</w:t>
            </w:r>
            <w:r w:rsidRPr="009110E9">
              <w:t>00 млн. лева, без ДДС</w:t>
            </w:r>
          </w:p>
          <w:p w14:paraId="24201E05" w14:textId="0B39E4B6" w:rsidR="002975FF" w:rsidRPr="009110E9" w:rsidRDefault="00480224" w:rsidP="00480224">
            <w:pPr>
              <w:widowControl w:val="0"/>
              <w:pBdr>
                <w:top w:val="nil"/>
                <w:left w:val="nil"/>
                <w:bottom w:val="nil"/>
                <w:right w:val="nil"/>
                <w:between w:val="nil"/>
              </w:pBdr>
              <w:spacing w:line="240" w:lineRule="auto"/>
              <w:jc w:val="both"/>
            </w:pPr>
            <w:r w:rsidRPr="009110E9">
              <w:t xml:space="preserve">Подготовка и изпълнение на ИМТ </w:t>
            </w:r>
            <w:r w:rsidR="000F08DB" w:rsidRPr="009110E9">
              <w:t xml:space="preserve">Горна Оряховица </w:t>
            </w:r>
            <w:r w:rsidRPr="009110E9">
              <w:t xml:space="preserve">- </w:t>
            </w:r>
            <w:r w:rsidR="00783FB3">
              <w:t>2</w:t>
            </w:r>
            <w:r w:rsidRPr="009110E9">
              <w:t xml:space="preserve">5 млн. лева, без ДДС </w:t>
            </w:r>
          </w:p>
          <w:p w14:paraId="43C26ACF" w14:textId="56216674" w:rsidR="00480224" w:rsidRPr="009110E9" w:rsidRDefault="000B2A29" w:rsidP="0037041B">
            <w:pPr>
              <w:widowControl w:val="0"/>
              <w:pBdr>
                <w:top w:val="nil"/>
                <w:left w:val="nil"/>
                <w:bottom w:val="nil"/>
                <w:right w:val="nil"/>
                <w:between w:val="nil"/>
              </w:pBdr>
              <w:spacing w:line="240" w:lineRule="auto"/>
              <w:jc w:val="both"/>
            </w:pPr>
            <w:r>
              <w:t>Индикативните стойности са определени на база натрупан опит и данни от сходни договори за изпълнение на подобен тип обекти</w:t>
            </w:r>
            <w:r w:rsidR="00DF362B">
              <w:t xml:space="preserve"> – посочено в таблица 3б</w:t>
            </w:r>
            <w:r>
              <w:t xml:space="preserve">. </w:t>
            </w:r>
          </w:p>
          <w:p w14:paraId="4E67926D" w14:textId="10F6F6F0" w:rsidR="00A25B63" w:rsidRPr="009110E9" w:rsidRDefault="00A25B63" w:rsidP="0037041B">
            <w:pPr>
              <w:widowControl w:val="0"/>
              <w:pBdr>
                <w:top w:val="nil"/>
                <w:left w:val="nil"/>
                <w:bottom w:val="nil"/>
                <w:right w:val="nil"/>
                <w:between w:val="nil"/>
              </w:pBdr>
              <w:spacing w:line="240" w:lineRule="auto"/>
              <w:jc w:val="both"/>
              <w:rPr>
                <w:b/>
                <w:bCs/>
              </w:rPr>
            </w:pPr>
            <w:r w:rsidRPr="009110E9">
              <w:rPr>
                <w:b/>
                <w:bCs/>
              </w:rPr>
              <w:t xml:space="preserve">Обща индикативна стойност -  </w:t>
            </w:r>
            <w:r w:rsidR="00783FB3">
              <w:rPr>
                <w:b/>
                <w:bCs/>
              </w:rPr>
              <w:t>78,664</w:t>
            </w:r>
            <w:r w:rsidR="009B2BAB" w:rsidRPr="009110E9">
              <w:rPr>
                <w:b/>
                <w:bCs/>
              </w:rPr>
              <w:t xml:space="preserve"> </w:t>
            </w:r>
            <w:r w:rsidR="00EB6896" w:rsidRPr="009110E9">
              <w:rPr>
                <w:b/>
                <w:bCs/>
              </w:rPr>
              <w:t>млн. лева, без ДДС</w:t>
            </w:r>
          </w:p>
          <w:p w14:paraId="5E37EE1C" w14:textId="00535803" w:rsidR="002B34D7" w:rsidRDefault="00A25B63" w:rsidP="0037041B">
            <w:pPr>
              <w:widowControl w:val="0"/>
              <w:pBdr>
                <w:top w:val="nil"/>
                <w:left w:val="nil"/>
                <w:bottom w:val="nil"/>
                <w:right w:val="nil"/>
                <w:between w:val="nil"/>
              </w:pBdr>
              <w:spacing w:line="240" w:lineRule="auto"/>
              <w:jc w:val="both"/>
            </w:pPr>
            <w:r w:rsidRPr="009110E9">
              <w:t xml:space="preserve">Източници на финансиране: ЕС </w:t>
            </w:r>
            <w:r w:rsidR="00DD091A">
              <w:t>– 100 %</w:t>
            </w:r>
            <w:r w:rsidRPr="009110E9">
              <w:t>, съгласно правилата на ИВУ и НПВУ</w:t>
            </w:r>
          </w:p>
          <w:p w14:paraId="22B68071" w14:textId="77777777" w:rsidR="000E627B" w:rsidRDefault="000E627B" w:rsidP="0037041B">
            <w:pPr>
              <w:widowControl w:val="0"/>
              <w:pBdr>
                <w:top w:val="nil"/>
                <w:left w:val="nil"/>
                <w:bottom w:val="nil"/>
                <w:right w:val="nil"/>
                <w:between w:val="nil"/>
              </w:pBdr>
              <w:spacing w:line="240" w:lineRule="auto"/>
              <w:jc w:val="both"/>
            </w:pPr>
            <w:r>
              <w:t>Забележка:</w:t>
            </w:r>
          </w:p>
          <w:p w14:paraId="5F931017" w14:textId="14FED5D5" w:rsidR="000E627B" w:rsidRPr="000E627B" w:rsidRDefault="000E627B" w:rsidP="000E627B">
            <w:pPr>
              <w:widowControl w:val="0"/>
              <w:pBdr>
                <w:top w:val="nil"/>
                <w:left w:val="nil"/>
                <w:bottom w:val="nil"/>
                <w:right w:val="nil"/>
                <w:between w:val="nil"/>
              </w:pBdr>
              <w:spacing w:line="240" w:lineRule="auto"/>
              <w:jc w:val="both"/>
            </w:pPr>
            <w:r>
              <w:t>Посочените в настоящия документ стойности представляват индикативен бюджет за всяка от идентифицираните за изпълнение дейности. Фазата в която се намират проектите към настоящия момент е начална. С развитието на проектите и с разработването и избора на конкретни технически решения, бюджетите им ще бъдат прецизирани.</w:t>
            </w:r>
            <w:r w:rsidRPr="000E627B">
              <w:rPr>
                <w:rFonts w:ascii="Times New Roman" w:eastAsiaTheme="minorHAnsi" w:hAnsi="Times New Roman" w:cs="Times New Roman"/>
                <w:sz w:val="18"/>
                <w:szCs w:val="18"/>
                <w:lang w:eastAsia="en-US"/>
              </w:rPr>
              <w:t xml:space="preserve"> </w:t>
            </w:r>
          </w:p>
          <w:p w14:paraId="2CEC7B09" w14:textId="4EC03A7E" w:rsidR="000E627B" w:rsidRPr="000E627B" w:rsidRDefault="000E627B" w:rsidP="0037041B">
            <w:pPr>
              <w:widowControl w:val="0"/>
              <w:pBdr>
                <w:top w:val="nil"/>
                <w:left w:val="nil"/>
                <w:bottom w:val="nil"/>
                <w:right w:val="nil"/>
                <w:between w:val="nil"/>
              </w:pBdr>
              <w:spacing w:line="240" w:lineRule="auto"/>
              <w:jc w:val="both"/>
            </w:pPr>
          </w:p>
        </w:tc>
      </w:tr>
    </w:tbl>
    <w:p w14:paraId="6505298B" w14:textId="14E99BFA" w:rsidR="007F1CCA" w:rsidRDefault="007F1CCA"/>
    <w:tbl>
      <w:tblPr>
        <w:tblW w:w="10367" w:type="dxa"/>
        <w:tblInd w:w="-431" w:type="dxa"/>
        <w:tblLayout w:type="fixed"/>
        <w:tblCellMar>
          <w:left w:w="0" w:type="dxa"/>
          <w:right w:w="0" w:type="dxa"/>
        </w:tblCellMar>
        <w:tblLook w:val="04A0" w:firstRow="1" w:lastRow="0" w:firstColumn="1" w:lastColumn="0" w:noHBand="0" w:noVBand="1"/>
      </w:tblPr>
      <w:tblGrid>
        <w:gridCol w:w="541"/>
        <w:gridCol w:w="452"/>
        <w:gridCol w:w="147"/>
        <w:gridCol w:w="6"/>
        <w:gridCol w:w="1407"/>
        <w:gridCol w:w="6662"/>
        <w:gridCol w:w="1146"/>
        <w:gridCol w:w="6"/>
      </w:tblGrid>
      <w:tr w:rsidR="00AA54FE" w:rsidRPr="00AA54FE" w14:paraId="3DA9C268" w14:textId="77777777" w:rsidTr="000D243F">
        <w:trPr>
          <w:gridAfter w:val="1"/>
          <w:wAfter w:w="6" w:type="dxa"/>
          <w:trHeight w:val="750"/>
        </w:trPr>
        <w:tc>
          <w:tcPr>
            <w:tcW w:w="541" w:type="dxa"/>
            <w:tcBorders>
              <w:top w:val="single" w:sz="4" w:space="0" w:color="auto"/>
              <w:left w:val="single" w:sz="4" w:space="0" w:color="auto"/>
              <w:bottom w:val="nil"/>
              <w:right w:val="nil"/>
            </w:tcBorders>
            <w:shd w:val="clear" w:color="000000" w:fill="D8E4BC"/>
            <w:noWrap/>
            <w:tcMar>
              <w:top w:w="15" w:type="dxa"/>
              <w:left w:w="15" w:type="dxa"/>
              <w:bottom w:w="0" w:type="dxa"/>
              <w:right w:w="15" w:type="dxa"/>
            </w:tcMar>
            <w:vAlign w:val="bottom"/>
            <w:hideMark/>
          </w:tcPr>
          <w:p w14:paraId="23D4BF30" w14:textId="77777777" w:rsidR="00AA54FE" w:rsidRPr="00AA54FE" w:rsidRDefault="00AA54FE" w:rsidP="00AA54FE">
            <w:pPr>
              <w:spacing w:after="160" w:line="259" w:lineRule="auto"/>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w:t>
            </w:r>
          </w:p>
        </w:tc>
        <w:tc>
          <w:tcPr>
            <w:tcW w:w="452" w:type="dxa"/>
            <w:tcBorders>
              <w:top w:val="single" w:sz="4" w:space="0" w:color="auto"/>
              <w:left w:val="nil"/>
              <w:bottom w:val="nil"/>
              <w:right w:val="nil"/>
            </w:tcBorders>
            <w:shd w:val="clear" w:color="000000" w:fill="D8E4BC"/>
            <w:noWrap/>
            <w:tcMar>
              <w:top w:w="15" w:type="dxa"/>
              <w:left w:w="15" w:type="dxa"/>
              <w:bottom w:w="0" w:type="dxa"/>
              <w:right w:w="15" w:type="dxa"/>
            </w:tcMar>
            <w:vAlign w:val="bottom"/>
            <w:hideMark/>
          </w:tcPr>
          <w:p w14:paraId="33B76822" w14:textId="77777777" w:rsidR="00AA54FE" w:rsidRPr="00AA54FE" w:rsidRDefault="00AA54FE" w:rsidP="00AA54FE">
            <w:pPr>
              <w:spacing w:after="160" w:line="259" w:lineRule="auto"/>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w:t>
            </w:r>
          </w:p>
        </w:tc>
        <w:tc>
          <w:tcPr>
            <w:tcW w:w="153" w:type="dxa"/>
            <w:gridSpan w:val="2"/>
            <w:tcBorders>
              <w:top w:val="single" w:sz="4" w:space="0" w:color="auto"/>
              <w:left w:val="nil"/>
              <w:bottom w:val="nil"/>
              <w:right w:val="nil"/>
            </w:tcBorders>
            <w:shd w:val="clear" w:color="000000" w:fill="D8E4BC"/>
            <w:noWrap/>
            <w:tcMar>
              <w:top w:w="15" w:type="dxa"/>
              <w:left w:w="15" w:type="dxa"/>
              <w:bottom w:w="0" w:type="dxa"/>
              <w:right w:w="15" w:type="dxa"/>
            </w:tcMar>
            <w:vAlign w:val="bottom"/>
            <w:hideMark/>
          </w:tcPr>
          <w:p w14:paraId="1E22B612" w14:textId="77777777" w:rsidR="00AA54FE" w:rsidRPr="00AA54FE" w:rsidRDefault="00AA54FE" w:rsidP="00AA54FE">
            <w:pPr>
              <w:spacing w:after="160" w:line="259" w:lineRule="auto"/>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w:t>
            </w:r>
          </w:p>
        </w:tc>
        <w:tc>
          <w:tcPr>
            <w:tcW w:w="1407" w:type="dxa"/>
            <w:tcBorders>
              <w:top w:val="single" w:sz="4" w:space="0" w:color="auto"/>
              <w:left w:val="single" w:sz="4" w:space="0" w:color="auto"/>
              <w:bottom w:val="nil"/>
              <w:right w:val="single" w:sz="4" w:space="0" w:color="auto"/>
            </w:tcBorders>
            <w:shd w:val="clear" w:color="000000" w:fill="D8E4BC"/>
            <w:tcMar>
              <w:top w:w="15" w:type="dxa"/>
              <w:left w:w="15" w:type="dxa"/>
              <w:bottom w:w="0" w:type="dxa"/>
              <w:right w:w="15" w:type="dxa"/>
            </w:tcMar>
            <w:vAlign w:val="bottom"/>
            <w:hideMark/>
          </w:tcPr>
          <w:p w14:paraId="34AFA296"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t>Индикативна стойност, в лв. без ДДС</w:t>
            </w:r>
          </w:p>
        </w:tc>
        <w:tc>
          <w:tcPr>
            <w:tcW w:w="6662" w:type="dxa"/>
            <w:tcBorders>
              <w:top w:val="single" w:sz="4" w:space="0" w:color="auto"/>
              <w:left w:val="nil"/>
              <w:bottom w:val="nil"/>
              <w:right w:val="single" w:sz="4" w:space="0" w:color="auto"/>
            </w:tcBorders>
            <w:shd w:val="clear" w:color="000000" w:fill="D8E4BC"/>
            <w:tcMar>
              <w:top w:w="15" w:type="dxa"/>
              <w:left w:w="15" w:type="dxa"/>
              <w:bottom w:w="0" w:type="dxa"/>
              <w:right w:w="15" w:type="dxa"/>
            </w:tcMar>
            <w:vAlign w:val="bottom"/>
            <w:hideMark/>
          </w:tcPr>
          <w:p w14:paraId="50FD2A5C"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t>Обосновка за формиране на индикативната стойност по договори/дейности</w:t>
            </w:r>
          </w:p>
        </w:tc>
        <w:tc>
          <w:tcPr>
            <w:tcW w:w="1146" w:type="dxa"/>
            <w:tcBorders>
              <w:top w:val="single" w:sz="4" w:space="0" w:color="auto"/>
              <w:left w:val="nil"/>
              <w:bottom w:val="nil"/>
              <w:right w:val="single" w:sz="4" w:space="0" w:color="auto"/>
            </w:tcBorders>
            <w:shd w:val="clear" w:color="000000" w:fill="D8E4BC"/>
            <w:tcMar>
              <w:top w:w="15" w:type="dxa"/>
              <w:left w:w="15" w:type="dxa"/>
              <w:bottom w:w="0" w:type="dxa"/>
              <w:right w:w="15" w:type="dxa"/>
            </w:tcMar>
            <w:vAlign w:val="bottom"/>
            <w:hideMark/>
          </w:tcPr>
          <w:p w14:paraId="1B4EEB68"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t>Индикативна стойност за Обект, в лева без ДДС</w:t>
            </w:r>
          </w:p>
        </w:tc>
      </w:tr>
      <w:tr w:rsidR="00AA54FE" w:rsidRPr="00AA54FE" w14:paraId="2A7EBE8A" w14:textId="77777777" w:rsidTr="000D243F">
        <w:trPr>
          <w:trHeight w:val="345"/>
        </w:trPr>
        <w:tc>
          <w:tcPr>
            <w:tcW w:w="10367" w:type="dxa"/>
            <w:gridSpan w:val="8"/>
            <w:tcBorders>
              <w:top w:val="single" w:sz="8" w:space="0" w:color="auto"/>
              <w:left w:val="single" w:sz="8" w:space="0" w:color="auto"/>
              <w:bottom w:val="nil"/>
              <w:right w:val="single" w:sz="8" w:space="0" w:color="000000"/>
            </w:tcBorders>
            <w:shd w:val="clear" w:color="auto" w:fill="auto"/>
            <w:tcMar>
              <w:top w:w="15" w:type="dxa"/>
              <w:left w:w="15" w:type="dxa"/>
              <w:bottom w:w="0" w:type="dxa"/>
              <w:right w:w="15" w:type="dxa"/>
            </w:tcMar>
            <w:vAlign w:val="bottom"/>
            <w:hideMark/>
          </w:tcPr>
          <w:p w14:paraId="3493F084"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t>Обект 1 –  Изграждане на гаров комплекс Мездра</w:t>
            </w:r>
          </w:p>
        </w:tc>
      </w:tr>
      <w:tr w:rsidR="00AA54FE" w:rsidRPr="00AA54FE" w14:paraId="773C08C6" w14:textId="77777777" w:rsidTr="000D243F">
        <w:trPr>
          <w:gridAfter w:val="1"/>
          <w:wAfter w:w="6" w:type="dxa"/>
          <w:trHeight w:val="542"/>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606BA7"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строителство (техническо проектиране и строителство)</w:t>
            </w:r>
          </w:p>
        </w:tc>
        <w:tc>
          <w:tcPr>
            <w:tcW w:w="1413"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0ED65D"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25 6</w:t>
            </w:r>
            <w:r w:rsidRPr="00AA54FE">
              <w:rPr>
                <w:rFonts w:ascii="Times New Roman" w:eastAsia="Calibri" w:hAnsi="Times New Roman" w:cs="Times New Roman"/>
                <w:color w:val="000000"/>
                <w:sz w:val="18"/>
                <w:szCs w:val="18"/>
                <w:lang w:val="en-US" w:eastAsia="en-US"/>
              </w:rPr>
              <w:t>2</w:t>
            </w:r>
            <w:r w:rsidRPr="00AA54FE">
              <w:rPr>
                <w:rFonts w:ascii="Times New Roman" w:eastAsia="Calibri" w:hAnsi="Times New Roman" w:cs="Times New Roman"/>
                <w:color w:val="000000"/>
                <w:sz w:val="18"/>
                <w:szCs w:val="18"/>
                <w:lang w:eastAsia="en-US"/>
              </w:rPr>
              <w:t>0 </w:t>
            </w:r>
            <w:r w:rsidRPr="00AA54FE">
              <w:rPr>
                <w:rFonts w:ascii="Times New Roman" w:eastAsia="Calibri" w:hAnsi="Times New Roman" w:cs="Times New Roman"/>
                <w:color w:val="000000"/>
                <w:sz w:val="18"/>
                <w:szCs w:val="18"/>
                <w:lang w:val="en-US" w:eastAsia="en-US"/>
              </w:rPr>
              <w:t>379,12</w:t>
            </w:r>
            <w:r w:rsidRPr="00AA54FE">
              <w:rPr>
                <w:rFonts w:ascii="Times New Roman" w:eastAsia="Calibri" w:hAnsi="Times New Roman" w:cs="Times New Roman"/>
                <w:color w:val="000000"/>
                <w:sz w:val="18"/>
                <w:szCs w:val="18"/>
                <w:lang w:eastAsia="en-US"/>
              </w:rPr>
              <w:t xml:space="preserve"> </w:t>
            </w:r>
          </w:p>
        </w:tc>
        <w:tc>
          <w:tcPr>
            <w:tcW w:w="66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42687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Референтен договор - Договор № 6627/19.11.2019 г. за изпълнение с предмет: „Преустройство на коловозно и стрелково развитие на гара Синдел Разпределителна - част от проект „Удвояване и електрификация на железопътната линия Карнобат-Синдел“ на стойност 21 314 243,35 лв. без ДДС</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национално финансиране).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11" w:tgtFrame="_blank" w:history="1">
              <w:r w:rsidRPr="00AA54FE">
                <w:rPr>
                  <w:rFonts w:ascii="Times New Roman" w:eastAsia="Calibri" w:hAnsi="Times New Roman" w:cs="Times New Roman"/>
                  <w:sz w:val="18"/>
                  <w:szCs w:val="18"/>
                  <w:u w:val="single"/>
                  <w:lang w:eastAsia="en-US"/>
                </w:rPr>
                <w:t>00233-2019-0051</w:t>
              </w:r>
            </w:hyperlink>
          </w:p>
          <w:p w14:paraId="57AE0C98"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12" w:history="1">
              <w:r w:rsidRPr="00AA54FE">
                <w:rPr>
                  <w:rFonts w:ascii="Times New Roman" w:eastAsia="Calibri" w:hAnsi="Times New Roman" w:cs="Times New Roman"/>
                  <w:color w:val="0563C1"/>
                  <w:sz w:val="18"/>
                  <w:szCs w:val="18"/>
                  <w:u w:val="single"/>
                  <w:lang w:eastAsia="en-US"/>
                </w:rPr>
                <w:t>https://zop.rail-infra.bg:3737/DocumentList.aspx?SXHmTXofHwDJo9hHYlO2bTb52OkdHNot</w:t>
              </w:r>
            </w:hyperlink>
          </w:p>
          <w:p w14:paraId="4B2616F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Дейностите, изпълнени по проект „Удвояване и електрификация на железопътната линия Карнобат-Синдел“, са съпоставими като обхват на заложените за изпълнение по проекта за Изграждане на гаров комплекс Мездра. Предвидените дейности по проект „Удвояване и електрификация на железопътната линия Карнобат-Синдел“ включват обновяване и модернизация (по смисъла на Наредба № 57 от 09.06.2004 г.) на 11 коловоза с подмяна на елементите от горното строене на железния път (подмяна с нови релси, траверси и </w:t>
            </w:r>
            <w:proofErr w:type="spellStart"/>
            <w:r w:rsidRPr="00AA54FE">
              <w:rPr>
                <w:rFonts w:ascii="Times New Roman" w:eastAsia="Calibri" w:hAnsi="Times New Roman" w:cs="Times New Roman"/>
                <w:sz w:val="18"/>
                <w:szCs w:val="18"/>
                <w:lang w:eastAsia="en-US"/>
              </w:rPr>
              <w:t>баластово</w:t>
            </w:r>
            <w:proofErr w:type="spellEnd"/>
            <w:r w:rsidRPr="00AA54FE">
              <w:rPr>
                <w:rFonts w:ascii="Times New Roman" w:eastAsia="Calibri" w:hAnsi="Times New Roman" w:cs="Times New Roman"/>
                <w:sz w:val="18"/>
                <w:szCs w:val="18"/>
                <w:lang w:eastAsia="en-US"/>
              </w:rPr>
              <w:t xml:space="preserve"> легло) и изграждане на нова контактната мрежа (стълбове, фундаменти-пилотно </w:t>
            </w:r>
            <w:proofErr w:type="spellStart"/>
            <w:r w:rsidRPr="00AA54FE">
              <w:rPr>
                <w:rFonts w:ascii="Times New Roman" w:eastAsia="Calibri" w:hAnsi="Times New Roman" w:cs="Times New Roman"/>
                <w:sz w:val="18"/>
                <w:szCs w:val="18"/>
                <w:lang w:eastAsia="en-US"/>
              </w:rPr>
              <w:t>фундиране</w:t>
            </w:r>
            <w:proofErr w:type="spellEnd"/>
            <w:r w:rsidRPr="00AA54FE">
              <w:rPr>
                <w:rFonts w:ascii="Times New Roman" w:eastAsia="Calibri" w:hAnsi="Times New Roman" w:cs="Times New Roman"/>
                <w:sz w:val="18"/>
                <w:szCs w:val="18"/>
                <w:lang w:eastAsia="en-US"/>
              </w:rPr>
              <w:t xml:space="preserve">, контактен проводник, носещо въже, струни и струнни клеми, разединители, въздушни стрелки и др.). Като само 4 коловоза от цитираните 11 се модернизират напълно с дейности по долно строене на железния път (изкопи и насипи, дренажни системи, ревизионни шахти, усилващ и предпазен пласт). Цитираният договор № 6627/19.11.2019 г. е за Преустройство на коловозно и стрелково развитие на гара Синдел Разпределителна - част от проект „Удвояване и електрификация на железопътната линия Карнобат-Синдел“. Видно от КСС, Приложение № 1 към образец № 5 от документацията за участие, в обхвата на договора са включени подготвителни работи, работи по горното и долното строене на КОЛОВОЗ 4 (ПЪТ 1)- ОТ КМ 508+592,62 ДО КМ 510+181.44 и КОЛОВОЗ 3 (ПЪТ 2) - ОТ КМ 508+615,56 ДО КМ 510+179.56, вкл. перони и пешеходни прелези, дренажи и отводняване, шумозащитна стена, противопожарен резервоар, навеси на перони и достъпен маршрут, противопожарен водопровод, </w:t>
            </w:r>
            <w:proofErr w:type="spellStart"/>
            <w:r w:rsidRPr="00AA54FE">
              <w:rPr>
                <w:rFonts w:ascii="Times New Roman" w:eastAsia="Calibri" w:hAnsi="Times New Roman" w:cs="Times New Roman"/>
                <w:sz w:val="18"/>
                <w:szCs w:val="18"/>
                <w:lang w:eastAsia="en-US"/>
              </w:rPr>
              <w:t>демонтажни</w:t>
            </w:r>
            <w:proofErr w:type="spellEnd"/>
            <w:r w:rsidRPr="00AA54FE">
              <w:rPr>
                <w:rFonts w:ascii="Times New Roman" w:eastAsia="Calibri" w:hAnsi="Times New Roman" w:cs="Times New Roman"/>
                <w:sz w:val="18"/>
                <w:szCs w:val="18"/>
                <w:lang w:eastAsia="en-US"/>
              </w:rPr>
              <w:t xml:space="preserve"> и монтажни работи по контактна мрежа, част телекомуникации и осветление. Видно е, че в КСС по цитирания договор са включени сходни за изпълнение дейности </w:t>
            </w:r>
          </w:p>
          <w:p w14:paraId="0F4C8D6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 xml:space="preserve">За гаров комплекс Мездра е предвидена пълна рехабилитация на 9 коловоза с обхват идентичен на изпълнените 4 коловоза по проекта за железопътната линия Карнобат-Синдел (респ. изкопи и насипи, дренажни системи, ревизионни шахти, усилващ и предпазен пласт, подмяна с нови релси, траверси и </w:t>
            </w:r>
            <w:proofErr w:type="spellStart"/>
            <w:r w:rsidRPr="00AA54FE">
              <w:rPr>
                <w:rFonts w:ascii="Times New Roman" w:eastAsia="Calibri" w:hAnsi="Times New Roman" w:cs="Times New Roman"/>
                <w:sz w:val="18"/>
                <w:szCs w:val="18"/>
                <w:lang w:eastAsia="en-US"/>
              </w:rPr>
              <w:t>баластово</w:t>
            </w:r>
            <w:proofErr w:type="spellEnd"/>
            <w:r w:rsidRPr="00AA54FE">
              <w:rPr>
                <w:rFonts w:ascii="Times New Roman" w:eastAsia="Calibri" w:hAnsi="Times New Roman" w:cs="Times New Roman"/>
                <w:sz w:val="18"/>
                <w:szCs w:val="18"/>
                <w:lang w:eastAsia="en-US"/>
              </w:rPr>
              <w:t xml:space="preserve"> легло, стълбове, фундаменти, контактен проводник, носещо въже, струни и струнни клеми, разединители, въздушни стрелки и др.). </w:t>
            </w:r>
          </w:p>
          <w:p w14:paraId="06D86ED3"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Прилагаме КСС </w:t>
            </w:r>
            <w:r w:rsidRPr="00AA54FE">
              <w:rPr>
                <w:rFonts w:ascii="Times New Roman" w:eastAsia="Calibri" w:hAnsi="Times New Roman" w:cs="Times New Roman"/>
                <w:sz w:val="18"/>
                <w:szCs w:val="18"/>
                <w:lang w:val="ru-RU" w:eastAsia="en-US"/>
              </w:rPr>
              <w:t>(</w:t>
            </w:r>
            <w:r w:rsidRPr="00AA54FE">
              <w:rPr>
                <w:rFonts w:ascii="Times New Roman" w:eastAsia="Calibri" w:hAnsi="Times New Roman" w:cs="Times New Roman"/>
                <w:sz w:val="18"/>
                <w:szCs w:val="18"/>
                <w:lang w:eastAsia="en-US"/>
              </w:rPr>
              <w:t xml:space="preserve">файл „Гаров комплекс </w:t>
            </w:r>
            <w:proofErr w:type="spellStart"/>
            <w:r w:rsidRPr="00AA54FE">
              <w:rPr>
                <w:rFonts w:ascii="Times New Roman" w:eastAsia="Calibri" w:hAnsi="Times New Roman" w:cs="Times New Roman"/>
                <w:sz w:val="18"/>
                <w:szCs w:val="18"/>
                <w:lang w:eastAsia="en-US"/>
              </w:rPr>
              <w:t>Мездра_КСС</w:t>
            </w:r>
            <w:proofErr w:type="spellEnd"/>
            <w:r w:rsidRPr="00AA54FE">
              <w:rPr>
                <w:rFonts w:ascii="Times New Roman" w:eastAsia="Calibri" w:hAnsi="Times New Roman" w:cs="Times New Roman"/>
                <w:sz w:val="18"/>
                <w:szCs w:val="18"/>
                <w:lang w:eastAsia="en-US"/>
              </w:rPr>
              <w:t>“</w:t>
            </w:r>
            <w:r w:rsidRPr="00AA54FE">
              <w:rPr>
                <w:rFonts w:ascii="Times New Roman" w:eastAsia="Calibri" w:hAnsi="Times New Roman" w:cs="Times New Roman"/>
                <w:sz w:val="18"/>
                <w:szCs w:val="18"/>
                <w:lang w:val="ru-RU" w:eastAsia="en-US"/>
              </w:rPr>
              <w:t xml:space="preserve">) </w:t>
            </w:r>
            <w:r w:rsidRPr="00AA54FE">
              <w:rPr>
                <w:rFonts w:ascii="Times New Roman" w:eastAsia="Calibri" w:hAnsi="Times New Roman" w:cs="Times New Roman"/>
                <w:sz w:val="18"/>
                <w:szCs w:val="18"/>
                <w:lang w:eastAsia="en-US"/>
              </w:rPr>
              <w:t>за формулиране на стойността, което съдържа индикативни количества, които са изчислени на стойности идентични с ценовото предложение за изпълнение на договора даден като референтен (Прилагаме приложения от 1 до 5 от ценовото предложение на изпълнителя на договор № 6627/19.11.2019 г. – папка „06_ЦП Синдел и Карнобат“ - файл „Ценово предложение гара Синдел“)</w:t>
            </w:r>
            <w:r w:rsidRPr="00AA54FE">
              <w:rPr>
                <w:rFonts w:ascii="Times New Roman" w:eastAsia="Calibri" w:hAnsi="Times New Roman" w:cs="Times New Roman"/>
                <w:b/>
                <w:sz w:val="18"/>
                <w:szCs w:val="18"/>
                <w:lang w:eastAsia="en-US"/>
              </w:rPr>
              <w:t>.</w:t>
            </w:r>
          </w:p>
          <w:p w14:paraId="38204B0D" w14:textId="77777777" w:rsidR="00AA54FE" w:rsidRPr="00AA54FE" w:rsidRDefault="00AA54FE" w:rsidP="00AA54FE">
            <w:pPr>
              <w:spacing w:line="259" w:lineRule="auto"/>
              <w:jc w:val="both"/>
              <w:rPr>
                <w:rFonts w:ascii="Times New Roman" w:eastAsia="Calibri" w:hAnsi="Times New Roman" w:cs="Times New Roman"/>
                <w:b/>
                <w:color w:val="000000"/>
                <w:sz w:val="18"/>
                <w:szCs w:val="18"/>
                <w:lang w:eastAsia="en-US"/>
              </w:rPr>
            </w:pPr>
            <w:r w:rsidRPr="00AA54FE">
              <w:rPr>
                <w:rFonts w:ascii="Times New Roman" w:eastAsia="Calibri" w:hAnsi="Times New Roman" w:cs="Times New Roman"/>
                <w:b/>
                <w:color w:val="000000"/>
                <w:sz w:val="18"/>
                <w:szCs w:val="18"/>
                <w:lang w:eastAsia="en-US"/>
              </w:rPr>
              <w:t>Други референтни договори:</w:t>
            </w:r>
          </w:p>
          <w:p w14:paraId="49EC069E"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color w:val="000000"/>
                <w:sz w:val="18"/>
                <w:szCs w:val="18"/>
                <w:lang w:eastAsia="en-US"/>
              </w:rPr>
              <w:t xml:space="preserve">- за позиция 7 Пешеходен надлез от КСС </w:t>
            </w:r>
            <w:r w:rsidRPr="00AA54FE">
              <w:rPr>
                <w:rFonts w:ascii="Times New Roman" w:eastAsia="Calibri" w:hAnsi="Times New Roman" w:cs="Times New Roman"/>
                <w:color w:val="000000"/>
                <w:sz w:val="18"/>
                <w:szCs w:val="18"/>
                <w:lang w:val="ru-RU" w:eastAsia="en-US"/>
              </w:rPr>
              <w:t>(</w:t>
            </w:r>
            <w:r w:rsidRPr="00AA54FE">
              <w:rPr>
                <w:rFonts w:ascii="Times New Roman" w:eastAsia="Calibri" w:hAnsi="Times New Roman" w:cs="Times New Roman"/>
                <w:color w:val="000000"/>
                <w:sz w:val="18"/>
                <w:szCs w:val="18"/>
                <w:lang w:eastAsia="en-US"/>
              </w:rPr>
              <w:t>„Изграждане подлез/надлез за пътници и ЛУ и ЛНП“</w:t>
            </w:r>
            <w:r w:rsidRPr="00AA54FE">
              <w:rPr>
                <w:rFonts w:ascii="Times New Roman" w:eastAsia="Calibri" w:hAnsi="Times New Roman" w:cs="Times New Roman"/>
                <w:color w:val="000000"/>
                <w:sz w:val="18"/>
                <w:szCs w:val="18"/>
                <w:lang w:val="ru-RU" w:eastAsia="en-US"/>
              </w:rPr>
              <w:t>)</w:t>
            </w:r>
            <w:r w:rsidRPr="00AA54FE">
              <w:rPr>
                <w:rFonts w:ascii="Times New Roman" w:eastAsia="Calibri" w:hAnsi="Times New Roman" w:cs="Times New Roman"/>
                <w:color w:val="000000"/>
                <w:sz w:val="18"/>
                <w:szCs w:val="18"/>
                <w:lang w:eastAsia="en-US"/>
              </w:rPr>
              <w:t xml:space="preserve"> – в КСС е посочен линк към обществената поръчка с предмет „Модернизация на железопътен участък Елин Пелин – Костенец, по обособени позиции“, финансиран по Оперативна програма „Транспорт и транспортна инфраструктура“ 2014 – 2020</w:t>
            </w:r>
            <w:r w:rsidRPr="00AA54FE">
              <w:rPr>
                <w:rFonts w:ascii="Times New Roman" w:eastAsia="Calibri" w:hAnsi="Times New Roman" w:cs="Times New Roman"/>
                <w:color w:val="000000"/>
                <w:sz w:val="18"/>
                <w:szCs w:val="18"/>
                <w:lang w:val="en-US" w:eastAsia="en-US"/>
              </w:rPr>
              <w:t xml:space="preserve"> </w:t>
            </w:r>
            <w:r w:rsidRPr="00AA54FE">
              <w:rPr>
                <w:rFonts w:ascii="Times New Roman" w:eastAsia="Calibri" w:hAnsi="Times New Roman" w:cs="Times New Roman"/>
                <w:color w:val="000000"/>
                <w:sz w:val="18"/>
                <w:szCs w:val="18"/>
                <w:lang w:eastAsia="en-US"/>
              </w:rPr>
              <w:t xml:space="preserve">г. В ценовата оферта на  договор № 6645/27.11.2021 г. </w:t>
            </w:r>
            <w:r w:rsidRPr="00AA54FE">
              <w:rPr>
                <w:rFonts w:ascii="Times New Roman" w:eastAsia="Calibri" w:hAnsi="Times New Roman" w:cs="Times New Roman"/>
                <w:color w:val="000000"/>
                <w:sz w:val="18"/>
                <w:szCs w:val="18"/>
                <w:lang w:val="ru-RU" w:eastAsia="en-US"/>
              </w:rPr>
              <w:t>(</w:t>
            </w:r>
            <w:r w:rsidRPr="00AA54FE">
              <w:rPr>
                <w:rFonts w:ascii="Times New Roman" w:eastAsia="Calibri" w:hAnsi="Times New Roman" w:cs="Times New Roman"/>
                <w:color w:val="000000"/>
                <w:sz w:val="18"/>
                <w:szCs w:val="18"/>
                <w:lang w:eastAsia="en-US"/>
              </w:rPr>
              <w:t>Обособена позиция 1</w:t>
            </w:r>
            <w:r w:rsidRPr="00AA54FE">
              <w:rPr>
                <w:rFonts w:ascii="Times New Roman" w:eastAsia="Calibri" w:hAnsi="Times New Roman" w:cs="Times New Roman"/>
                <w:color w:val="000000"/>
                <w:sz w:val="18"/>
                <w:szCs w:val="18"/>
                <w:lang w:val="ru-RU" w:eastAsia="en-US"/>
              </w:rPr>
              <w:t xml:space="preserve">) </w:t>
            </w:r>
            <w:r w:rsidRPr="00AA54FE">
              <w:rPr>
                <w:rFonts w:ascii="Times New Roman" w:eastAsia="Calibri" w:hAnsi="Times New Roman" w:cs="Times New Roman"/>
                <w:color w:val="000000"/>
                <w:sz w:val="18"/>
                <w:szCs w:val="18"/>
                <w:lang w:eastAsia="en-US"/>
              </w:rPr>
              <w:t xml:space="preserve">с предмет „Модернизация на железопътна отсечка от км 22+554 до км 42+200“ - виж ЦР 2, ДКС 49 и ДКС 50. УИН на преписката в АОП:  </w:t>
            </w:r>
            <w:hyperlink r:id="rId13" w:tgtFrame="_blank" w:history="1">
              <w:r w:rsidRPr="00AA54FE">
                <w:rPr>
                  <w:rFonts w:ascii="Times New Roman" w:eastAsia="Calibri" w:hAnsi="Times New Roman" w:cs="Times New Roman"/>
                  <w:color w:val="000000"/>
                  <w:sz w:val="18"/>
                  <w:szCs w:val="18"/>
                  <w:lang w:eastAsia="en-US"/>
                </w:rPr>
                <w:t>00233-2017-0038</w:t>
              </w:r>
            </w:hyperlink>
            <w:r w:rsidRPr="00AA54FE">
              <w:rPr>
                <w:rFonts w:ascii="Times New Roman" w:eastAsia="Calibri" w:hAnsi="Times New Roman" w:cs="Times New Roman"/>
                <w:color w:val="000000"/>
                <w:sz w:val="18"/>
                <w:szCs w:val="18"/>
                <w:lang w:eastAsia="en-US"/>
              </w:rPr>
              <w:t xml:space="preserve"> - </w:t>
            </w:r>
            <w:hyperlink r:id="rId14"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https://www.rail-infra.bg/профил-на-купувача/текущи-процедури/?YlvmS1RacnH797zA9WTVFlpL0dmi%2bqX3Z6OXGBhxGmlHuZcK%2buye8e1T%2bYWSFB1j7W8MPEMCQPrEyrkhCBWCqg%3d%3d</w:t>
              </w:r>
            </w:hyperlink>
          </w:p>
          <w:p w14:paraId="7EC6AD84"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позиция 8</w:t>
            </w:r>
            <w:r w:rsidRPr="00AA54FE">
              <w:rPr>
                <w:rFonts w:ascii="Times New Roman" w:eastAsia="Calibri" w:hAnsi="Times New Roman" w:cs="Times New Roman"/>
                <w:color w:val="000000"/>
                <w:sz w:val="18"/>
                <w:szCs w:val="18"/>
                <w:lang w:val="ru-RU" w:eastAsia="en-US"/>
              </w:rPr>
              <w:t xml:space="preserve"> </w:t>
            </w:r>
            <w:r w:rsidRPr="00AA54FE">
              <w:rPr>
                <w:rFonts w:ascii="Times New Roman" w:eastAsia="Calibri" w:hAnsi="Times New Roman" w:cs="Times New Roman"/>
                <w:color w:val="000000"/>
                <w:sz w:val="18"/>
                <w:szCs w:val="18"/>
                <w:lang w:eastAsia="en-US"/>
              </w:rPr>
              <w:t>Хале за ремонт на РССМ</w:t>
            </w:r>
            <w:r w:rsidRPr="00AA54FE">
              <w:rPr>
                <w:rFonts w:ascii="Calibri" w:eastAsia="Calibri" w:hAnsi="Calibri" w:cs="Times New Roman"/>
                <w:color w:val="000000"/>
                <w:lang w:eastAsia="en-US"/>
              </w:rPr>
              <w:t xml:space="preserve"> </w:t>
            </w:r>
            <w:r w:rsidRPr="00AA54FE">
              <w:rPr>
                <w:rFonts w:ascii="Times New Roman" w:eastAsia="Calibri" w:hAnsi="Times New Roman" w:cs="Times New Roman"/>
                <w:color w:val="000000"/>
                <w:sz w:val="18"/>
                <w:szCs w:val="18"/>
                <w:lang w:eastAsia="en-US"/>
              </w:rPr>
              <w:t>от КСС</w:t>
            </w:r>
            <w:r w:rsidRPr="00AA54FE">
              <w:rPr>
                <w:rFonts w:ascii="Calibri" w:eastAsia="Calibri" w:hAnsi="Calibri" w:cs="Times New Roman"/>
                <w:color w:val="000000"/>
                <w:lang w:eastAsia="en-US"/>
              </w:rPr>
              <w:t xml:space="preserve"> </w:t>
            </w:r>
            <w:r w:rsidRPr="00AA54FE">
              <w:rPr>
                <w:rFonts w:ascii="Times New Roman" w:eastAsia="Calibri" w:hAnsi="Times New Roman" w:cs="Times New Roman"/>
                <w:color w:val="000000"/>
                <w:sz w:val="18"/>
                <w:szCs w:val="18"/>
                <w:lang w:eastAsia="en-US"/>
              </w:rPr>
              <w:t xml:space="preserve">– ДКС е разбито на ПДКС (под ДКС), в които са дадени референции към договорите, информация от които е използвана за определяне на стойностите по позиции 8.2. - 8.7.– папка „Референтни договори“.  </w:t>
            </w:r>
          </w:p>
          <w:p w14:paraId="26FBA42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tc>
        <w:tc>
          <w:tcPr>
            <w:tcW w:w="1146" w:type="dxa"/>
            <w:vMerge w:val="restart"/>
            <w:tcBorders>
              <w:top w:val="single" w:sz="4" w:space="0" w:color="auto"/>
              <w:left w:val="single" w:sz="4" w:space="0" w:color="auto"/>
              <w:bottom w:val="single" w:sz="8" w:space="0" w:color="000000"/>
              <w:right w:val="single" w:sz="8" w:space="0" w:color="auto"/>
            </w:tcBorders>
            <w:shd w:val="clear" w:color="auto" w:fill="auto"/>
            <w:noWrap/>
            <w:tcMar>
              <w:top w:w="15" w:type="dxa"/>
              <w:left w:w="15" w:type="dxa"/>
              <w:bottom w:w="0" w:type="dxa"/>
              <w:right w:w="15" w:type="dxa"/>
            </w:tcMar>
            <w:vAlign w:val="center"/>
            <w:hideMark/>
          </w:tcPr>
          <w:p w14:paraId="1ED5481B"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lastRenderedPageBreak/>
              <w:t>28 664 000</w:t>
            </w:r>
          </w:p>
        </w:tc>
      </w:tr>
      <w:tr w:rsidR="00AA54FE" w:rsidRPr="00AA54FE" w14:paraId="64CFD544" w14:textId="77777777" w:rsidTr="000D243F">
        <w:trPr>
          <w:gridAfter w:val="1"/>
          <w:wAfter w:w="6" w:type="dxa"/>
          <w:trHeight w:val="530"/>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299362"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строителен надзор по ЗУТ</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07EF64"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eastAsia="en-US"/>
              </w:rPr>
              <w:t>1 024 </w:t>
            </w:r>
            <w:r w:rsidRPr="00AA54FE">
              <w:rPr>
                <w:rFonts w:ascii="Times New Roman" w:eastAsia="Calibri" w:hAnsi="Times New Roman" w:cs="Times New Roman"/>
                <w:color w:val="000000"/>
                <w:sz w:val="18"/>
                <w:szCs w:val="18"/>
                <w:lang w:val="en-US" w:eastAsia="en-US"/>
              </w:rPr>
              <w:t>815</w:t>
            </w:r>
            <w:r w:rsidRPr="00AA54FE">
              <w:rPr>
                <w:rFonts w:ascii="Times New Roman" w:eastAsia="Calibri" w:hAnsi="Times New Roman" w:cs="Times New Roman"/>
                <w:color w:val="000000"/>
                <w:sz w:val="18"/>
                <w:szCs w:val="18"/>
                <w:lang w:eastAsia="en-US"/>
              </w:rPr>
              <w:t>,1</w:t>
            </w:r>
            <w:r w:rsidRPr="00AA54FE">
              <w:rPr>
                <w:rFonts w:ascii="Times New Roman" w:eastAsia="Calibri" w:hAnsi="Times New Roman" w:cs="Times New Roman"/>
                <w:color w:val="000000"/>
                <w:sz w:val="18"/>
                <w:szCs w:val="18"/>
                <w:lang w:val="en-US" w:eastAsia="en-US"/>
              </w:rPr>
              <w:t>6</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77B288"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Референтни договори:</w:t>
            </w:r>
          </w:p>
          <w:p w14:paraId="7908F820"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 Договор № 6620/12.11.2019 г. за "Оценка на съответствието и строителен надзор за обект: "Реконструкция на гаров комплекс Стара Загора" на стойност 410 090 лв. без ДДС</w:t>
            </w:r>
            <w:r w:rsidRPr="00AA54FE">
              <w:rPr>
                <w:rFonts w:ascii="Times New Roman" w:eastAsia="Calibri" w:hAnsi="Times New Roman" w:cs="Times New Roman"/>
                <w:sz w:val="18"/>
                <w:szCs w:val="18"/>
                <w:lang w:val="en-US" w:eastAsia="en-US"/>
              </w:rPr>
              <w:t>,</w:t>
            </w:r>
            <w:r w:rsidRPr="00AA54FE">
              <w:rPr>
                <w:rFonts w:ascii="Times New Roman" w:eastAsia="Calibri" w:hAnsi="Times New Roman" w:cs="Times New Roman"/>
                <w:sz w:val="18"/>
                <w:szCs w:val="18"/>
                <w:u w:val="single"/>
                <w:lang w:eastAsia="en-US"/>
              </w:rPr>
              <w:t xml:space="preserve">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15" w:tgtFrame="_blank" w:history="1">
              <w:r w:rsidRPr="00AA54FE">
                <w:rPr>
                  <w:rFonts w:ascii="Times New Roman" w:eastAsia="Calibri" w:hAnsi="Times New Roman" w:cs="Times New Roman"/>
                  <w:sz w:val="18"/>
                  <w:szCs w:val="18"/>
                  <w:u w:val="single"/>
                  <w:lang w:eastAsia="en-US"/>
                </w:rPr>
                <w:t>00233-2019-0002</w:t>
              </w:r>
            </w:hyperlink>
            <w:r w:rsidRPr="00AA54FE">
              <w:rPr>
                <w:rFonts w:ascii="Times New Roman" w:eastAsia="Calibri" w:hAnsi="Times New Roman" w:cs="Times New Roman"/>
                <w:sz w:val="18"/>
                <w:szCs w:val="18"/>
                <w:u w:val="single"/>
                <w:lang w:eastAsia="en-US"/>
              </w:rPr>
              <w:t xml:space="preserve">, </w:t>
            </w:r>
          </w:p>
          <w:p w14:paraId="6823D2F7"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16" w:history="1">
              <w:r w:rsidRPr="00AA54FE">
                <w:rPr>
                  <w:rFonts w:ascii="Times New Roman" w:eastAsia="Calibri" w:hAnsi="Times New Roman" w:cs="Times New Roman"/>
                  <w:color w:val="0563C1"/>
                  <w:sz w:val="18"/>
                  <w:szCs w:val="18"/>
                  <w:u w:val="single"/>
                  <w:lang w:eastAsia="en-US"/>
                </w:rPr>
                <w:t>https://zop.rail-infra.bg:3737/DocumentList.aspx?SXHmTXofHwAfd6iknHV%2b%2bWtJKC9%2bTe8a</w:t>
              </w:r>
            </w:hyperlink>
          </w:p>
          <w:p w14:paraId="41614AF0"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17" w:history="1">
              <w:r w:rsidRPr="00AA54FE">
                <w:rPr>
                  <w:rFonts w:ascii="Times New Roman" w:eastAsia="Calibri" w:hAnsi="Times New Roman" w:cs="Times New Roman"/>
                  <w:color w:val="0563C1"/>
                  <w:sz w:val="18"/>
                  <w:szCs w:val="18"/>
                  <w:u w:val="single"/>
                  <w:lang w:eastAsia="en-US"/>
                </w:rPr>
                <w:t>https://www.aop.bg/ng/form.php?mode=view&amp;class=F02_2014&amp;id=887125</w:t>
              </w:r>
            </w:hyperlink>
            <w:r w:rsidRPr="00AA54FE">
              <w:rPr>
                <w:rFonts w:ascii="Times New Roman" w:eastAsia="Calibri" w:hAnsi="Times New Roman" w:cs="Times New Roman"/>
                <w:color w:val="0563C1"/>
                <w:sz w:val="18"/>
                <w:szCs w:val="18"/>
                <w:u w:val="single"/>
                <w:lang w:eastAsia="en-US"/>
              </w:rPr>
              <w:t>,</w:t>
            </w:r>
          </w:p>
          <w:p w14:paraId="4C84A0AB"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или 4,22 % от договора за изпълнение на строителството на обект: „Реконструкция на гаров комплекс Стара Загора“, договор №6582/25.10.2019 г. на стойност 9 726 944,27 лв. без ДДС. УИН на преписката в АОП: </w:t>
            </w:r>
            <w:hyperlink r:id="rId18"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19"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1714A4E7"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p>
          <w:p w14:paraId="0E06F129"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 Договор № 6653/10.12.2019 г. за "Оценка на съответствието и строителен надзор за обект: "Реконструкция на гаров комплекс Нова Загора" на стойност 109 999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20" w:tgtFrame="_blank" w:history="1">
              <w:r w:rsidRPr="00AA54FE">
                <w:rPr>
                  <w:rFonts w:ascii="Times New Roman" w:eastAsia="Calibri" w:hAnsi="Times New Roman" w:cs="Times New Roman"/>
                  <w:sz w:val="18"/>
                  <w:szCs w:val="18"/>
                  <w:u w:val="single"/>
                  <w:lang w:eastAsia="en-US"/>
                </w:rPr>
                <w:t>00233-2019-0042</w:t>
              </w:r>
            </w:hyperlink>
            <w:r w:rsidRPr="00AA54FE">
              <w:rPr>
                <w:rFonts w:ascii="Times New Roman" w:eastAsia="Calibri" w:hAnsi="Times New Roman" w:cs="Times New Roman"/>
                <w:sz w:val="18"/>
                <w:szCs w:val="18"/>
                <w:u w:val="single"/>
                <w:lang w:eastAsia="en-US"/>
              </w:rPr>
              <w:t xml:space="preserve"> - </w:t>
            </w:r>
            <w:hyperlink r:id="rId21" w:history="1">
              <w:r w:rsidRPr="00AA54FE">
                <w:rPr>
                  <w:rFonts w:ascii="Times New Roman" w:eastAsia="Calibri" w:hAnsi="Times New Roman" w:cs="Times New Roman"/>
                  <w:color w:val="0563C1"/>
                  <w:sz w:val="18"/>
                  <w:szCs w:val="18"/>
                  <w:u w:val="single"/>
                  <w:lang w:eastAsia="en-US"/>
                </w:rPr>
                <w:t>https://zop.rail-infra.bg:3737/DocumentList.aspx?SXHmTXofHwBwkromNcrKf8Y%2f5CsOcY7t</w:t>
              </w:r>
            </w:hyperlink>
            <w:r w:rsidRPr="00AA54FE">
              <w:rPr>
                <w:rFonts w:ascii="Times New Roman" w:eastAsia="Calibri" w:hAnsi="Times New Roman" w:cs="Times New Roman"/>
                <w:sz w:val="18"/>
                <w:szCs w:val="18"/>
                <w:lang w:eastAsia="en-US"/>
              </w:rPr>
              <w:t>,</w:t>
            </w:r>
          </w:p>
          <w:p w14:paraId="3B5E710F"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или 4,04 % от договора за изпълнение на строителството на обект: „Реконструкция на гаров комплекс Нова Загора“, договор №11164/24.07.2020 на стойност 2 721 279,00 лв. без ДДС</w:t>
            </w:r>
            <w:r w:rsidRPr="00AA54FE">
              <w:rPr>
                <w:rFonts w:ascii="Times New Roman" w:eastAsia="Calibri" w:hAnsi="Times New Roman" w:cs="Times New Roman"/>
                <w:sz w:val="18"/>
                <w:szCs w:val="18"/>
                <w:lang w:val="en-US" w:eastAsia="en-US"/>
              </w:rPr>
              <w:t xml:space="preserve">,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22" w:tgtFrame="_blank" w:history="1">
              <w:r w:rsidRPr="00AA54FE">
                <w:rPr>
                  <w:rFonts w:ascii="Times New Roman" w:eastAsia="Calibri" w:hAnsi="Times New Roman" w:cs="Times New Roman"/>
                  <w:sz w:val="18"/>
                  <w:szCs w:val="18"/>
                  <w:lang w:eastAsia="en-US"/>
                </w:rPr>
                <w:t>00233-2019-0084</w:t>
              </w:r>
            </w:hyperlink>
          </w:p>
          <w:p w14:paraId="31242B03" w14:textId="77777777" w:rsidR="00AA54FE" w:rsidRPr="00AA54FE" w:rsidRDefault="00AA54FE" w:rsidP="00AA54FE">
            <w:pPr>
              <w:spacing w:line="259" w:lineRule="auto"/>
              <w:rPr>
                <w:rFonts w:ascii="Calibri" w:eastAsia="Calibri" w:hAnsi="Calibri" w:cs="Times New Roman"/>
                <w:color w:val="0563C1"/>
                <w:u w:val="single"/>
                <w:lang w:eastAsia="en-US"/>
              </w:rPr>
            </w:pPr>
            <w:hyperlink r:id="rId23"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5392CE6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Средноаритметично се получава 4,13% ((4,22+4,04)/2=4,13%), като за нуждите на определяне на индикативната стойност е взет закръглено 4% от договорите за изпълнение на съответното строителството. </w:t>
            </w:r>
          </w:p>
          <w:p w14:paraId="42054E1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Дейностите в договорите, посочени като референтни включват:</w:t>
            </w:r>
          </w:p>
          <w:p w14:paraId="609187D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-Извършване оценка съответствието на Техническия проект, изготвяне на доклад за оценка съответствието, дейности по съгласуване и одобряване на проекта във фаза работно проектиране.</w:t>
            </w:r>
          </w:p>
          <w:p w14:paraId="4A14575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 Упражняване на строителен надзор, изготвяне на окончателен доклад и дейности по въвеждане на обекта в експлоатация.</w:t>
            </w:r>
          </w:p>
          <w:p w14:paraId="0968369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Координиране и контрол по изпълнението на договора за проектиране и строителство.</w:t>
            </w:r>
          </w:p>
          <w:p w14:paraId="7E042F3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Актуализация и изготвяне на технически паспорт.</w:t>
            </w:r>
          </w:p>
          <w:p w14:paraId="0193B5A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Обемът на дейностите и стойността на договорите за строителен надзор/консултант са пряко свързани с обема и обхвата, съответно - стойността на договорите за строителство, като за целите на определяне на индикативна стойност са представени сключени действащи договори от аналогично естество и обхват на дейности.</w:t>
            </w:r>
          </w:p>
          <w:p w14:paraId="1AABD64E"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Предвидените услуги, които ще бъдат възложени на консултанта са с идентичен предмет, обем и срокове, както посочените по-горе два договора. Те са възложени скоро и са достоверен източник/аналог за определяне на индикативната стойност на обществената поръчка/договор.</w:t>
            </w:r>
            <w:r w:rsidRPr="00AA54FE">
              <w:rPr>
                <w:rFonts w:ascii="Times New Roman" w:eastAsia="Calibri" w:hAnsi="Times New Roman" w:cs="Times New Roman"/>
                <w:b/>
                <w:sz w:val="18"/>
                <w:szCs w:val="18"/>
                <w:lang w:eastAsia="en-US"/>
              </w:rPr>
              <w:t xml:space="preserve"> </w:t>
            </w:r>
          </w:p>
          <w:p w14:paraId="4D4928A1"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Дейностите, заложени за изпълнение в обхвата на консултанта в настоящата процедура, както и в посочените по-горе два договора (за гарови комплекси Стара Загора и Нова Загора) обхващат оценка на проектирането и координиране и контрол по изпълнението на договора за проектиране и строителство, които по същество отговарят на общите условия на </w:t>
            </w:r>
            <w:r w:rsidRPr="00AA54FE">
              <w:rPr>
                <w:rFonts w:ascii="Times New Roman" w:eastAsia="Calibri" w:hAnsi="Times New Roman" w:cs="Times New Roman"/>
                <w:sz w:val="18"/>
                <w:szCs w:val="18"/>
                <w:lang w:val="en-US" w:eastAsia="en-US"/>
              </w:rPr>
              <w:t>FIDIC</w:t>
            </w:r>
            <w:r w:rsidRPr="00AA54FE">
              <w:rPr>
                <w:rFonts w:ascii="Times New Roman" w:eastAsia="Calibri" w:hAnsi="Times New Roman" w:cs="Times New Roman"/>
                <w:sz w:val="18"/>
                <w:szCs w:val="18"/>
                <w:lang w:eastAsia="en-US"/>
              </w:rPr>
              <w:t>. Следва да се има предвид, че на фаза подготовка на проектите няма заложени дейности за техническо проектиране.</w:t>
            </w:r>
            <w:r w:rsidRPr="00AA54FE">
              <w:rPr>
                <w:rFonts w:ascii="Times New Roman" w:eastAsia="Calibri" w:hAnsi="Times New Roman" w:cs="Times New Roman"/>
                <w:b/>
                <w:sz w:val="18"/>
                <w:szCs w:val="18"/>
                <w:lang w:eastAsia="en-US"/>
              </w:rPr>
              <w:t xml:space="preserve"> При изчисляването е взет референтната стойност от 4% от стойността на договора за строителство.</w:t>
            </w:r>
          </w:p>
          <w:p w14:paraId="0AA899F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съответствието и упражняване на строителен надзор по ЗУТ.</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0127896D"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4FF2B6A3" w14:textId="77777777" w:rsidTr="000D243F">
        <w:trPr>
          <w:gridAfter w:val="1"/>
          <w:wAfter w:w="6" w:type="dxa"/>
          <w:trHeight w:val="825"/>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435742A"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подготовка на обекта</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1B621C2" w14:textId="77777777" w:rsidR="00AA54FE" w:rsidRPr="00AA54FE" w:rsidDel="00F21A30"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val="en-US" w:eastAsia="en-US"/>
              </w:rPr>
              <w:t>-</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339F9A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Подготовката на обекта ще бъде извършена с финансиране по друг финансов механизъм, и проектът ще бъде предаден за изпълнение и управление от ЗПУИП в последващия етап на изпълнение.</w:t>
            </w:r>
          </w:p>
        </w:tc>
        <w:tc>
          <w:tcPr>
            <w:tcW w:w="1146" w:type="dxa"/>
            <w:vMerge/>
            <w:tcBorders>
              <w:top w:val="single" w:sz="4" w:space="0" w:color="auto"/>
              <w:left w:val="single" w:sz="4" w:space="0" w:color="auto"/>
              <w:bottom w:val="single" w:sz="8" w:space="0" w:color="000000"/>
              <w:right w:val="single" w:sz="8" w:space="0" w:color="auto"/>
            </w:tcBorders>
            <w:vAlign w:val="center"/>
          </w:tcPr>
          <w:p w14:paraId="022B3DE9"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09736B7C" w14:textId="77777777" w:rsidTr="000D243F">
        <w:trPr>
          <w:gridAfter w:val="1"/>
          <w:wAfter w:w="6" w:type="dxa"/>
          <w:trHeight w:val="825"/>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555E64"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Оценка ТСОС</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12DE45"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eastAsia="en-US"/>
              </w:rPr>
              <w:t>53</w:t>
            </w:r>
            <w:r w:rsidRPr="00AA54FE">
              <w:rPr>
                <w:rFonts w:ascii="Times New Roman" w:eastAsia="Calibri" w:hAnsi="Times New Roman" w:cs="Times New Roman"/>
                <w:color w:val="000000"/>
                <w:sz w:val="18"/>
                <w:szCs w:val="18"/>
                <w:lang w:val="en-US" w:eastAsia="en-US"/>
              </w:rPr>
              <w:t>8</w:t>
            </w:r>
            <w:r w:rsidRPr="00AA54FE">
              <w:rPr>
                <w:rFonts w:ascii="Times New Roman" w:eastAsia="Calibri" w:hAnsi="Times New Roman" w:cs="Times New Roman"/>
                <w:color w:val="000000"/>
                <w:sz w:val="18"/>
                <w:szCs w:val="18"/>
                <w:lang w:eastAsia="en-US"/>
              </w:rPr>
              <w:t> </w:t>
            </w:r>
            <w:r w:rsidRPr="00AA54FE">
              <w:rPr>
                <w:rFonts w:ascii="Times New Roman" w:eastAsia="Calibri" w:hAnsi="Times New Roman" w:cs="Times New Roman"/>
                <w:color w:val="000000"/>
                <w:sz w:val="18"/>
                <w:szCs w:val="18"/>
                <w:lang w:val="en-US" w:eastAsia="en-US"/>
              </w:rPr>
              <w:t>027</w:t>
            </w:r>
            <w:r w:rsidRPr="00AA54FE">
              <w:rPr>
                <w:rFonts w:ascii="Times New Roman" w:eastAsia="Calibri" w:hAnsi="Times New Roman" w:cs="Times New Roman"/>
                <w:color w:val="000000"/>
                <w:sz w:val="18"/>
                <w:szCs w:val="18"/>
                <w:lang w:eastAsia="en-US"/>
              </w:rPr>
              <w:t>,</w:t>
            </w:r>
            <w:r w:rsidRPr="00AA54FE">
              <w:rPr>
                <w:rFonts w:ascii="Times New Roman" w:eastAsia="Calibri" w:hAnsi="Times New Roman" w:cs="Times New Roman"/>
                <w:color w:val="000000"/>
                <w:sz w:val="18"/>
                <w:szCs w:val="18"/>
                <w:lang w:val="en-US" w:eastAsia="en-US"/>
              </w:rPr>
              <w:t>96</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E5E2E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Обемът на дейностите и стойността на договора за консултант са пряко свързани с обхвата и стойността на договорите за строителство, като за целите на определяне на индикативната стойност са използвани действащи договори.  </w:t>
            </w:r>
          </w:p>
          <w:p w14:paraId="7B3E3F4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референтни са приети два договора, които се изпълняват в момента.</w:t>
            </w:r>
          </w:p>
          <w:p w14:paraId="1E0DBF8A"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Договор №6369/29.01.2019 г. за "Оценка на съответствието с изискванията за оперативна съвместимост на проект за реконструкция на гаров комплекс Стара Загора" на стойност 249 307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без ДДС,</w:t>
            </w:r>
            <w:r w:rsidRPr="00AA54FE">
              <w:rPr>
                <w:rFonts w:ascii="Times New Roman" w:eastAsia="Calibri" w:hAnsi="Times New Roman" w:cs="Times New Roman"/>
                <w:sz w:val="18"/>
                <w:szCs w:val="18"/>
                <w:u w:val="single"/>
                <w:lang w:eastAsia="en-US"/>
              </w:rPr>
              <w:t xml:space="preserve">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1079CEA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24" w:tgtFrame="_blank" w:history="1">
              <w:r w:rsidRPr="00AA54FE">
                <w:rPr>
                  <w:rFonts w:ascii="Times New Roman" w:eastAsia="Calibri" w:hAnsi="Times New Roman" w:cs="Times New Roman"/>
                  <w:sz w:val="18"/>
                  <w:szCs w:val="18"/>
                  <w:u w:val="single"/>
                  <w:lang w:eastAsia="en-US"/>
                </w:rPr>
                <w:t>00233-2018-0065</w:t>
              </w:r>
            </w:hyperlink>
            <w:r w:rsidRPr="00AA54FE">
              <w:rPr>
                <w:rFonts w:ascii="Times New Roman" w:eastAsia="Calibri" w:hAnsi="Times New Roman" w:cs="Times New Roman"/>
                <w:sz w:val="18"/>
                <w:szCs w:val="18"/>
                <w:u w:val="single"/>
                <w:lang w:eastAsia="en-US"/>
              </w:rPr>
              <w:t xml:space="preserve">, </w:t>
            </w:r>
            <w:r w:rsidRPr="00AA54FE">
              <w:rPr>
                <w:rFonts w:ascii="Times New Roman" w:eastAsia="Calibri" w:hAnsi="Times New Roman" w:cs="Times New Roman"/>
                <w:sz w:val="18"/>
                <w:szCs w:val="18"/>
                <w:lang w:eastAsia="en-US"/>
              </w:rPr>
              <w:t>обособена позиция № 4,</w:t>
            </w:r>
          </w:p>
          <w:p w14:paraId="2BF9950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20D684B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hyperlink r:id="rId25" w:history="1">
              <w:r w:rsidRPr="00AA54FE">
                <w:rPr>
                  <w:rFonts w:ascii="Times New Roman" w:eastAsia="Calibri" w:hAnsi="Times New Roman" w:cs="Times New Roman"/>
                  <w:color w:val="0563C1"/>
                  <w:sz w:val="18"/>
                  <w:szCs w:val="18"/>
                  <w:u w:val="single"/>
                  <w:lang w:eastAsia="en-US"/>
                </w:rPr>
                <w:t>https://zop.rail-infra.bg:3737/BuyerProfile/Contract/id_1046/ОП%204-6369_Redacted.pdf</w:t>
              </w:r>
            </w:hyperlink>
            <w:r w:rsidRPr="00AA54FE">
              <w:rPr>
                <w:rFonts w:ascii="Times New Roman" w:eastAsia="Calibri" w:hAnsi="Times New Roman" w:cs="Times New Roman"/>
                <w:sz w:val="18"/>
                <w:szCs w:val="18"/>
                <w:lang w:eastAsia="en-US"/>
              </w:rPr>
              <w:t xml:space="preserve"> </w:t>
            </w:r>
          </w:p>
          <w:p w14:paraId="60ADEDD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0B895182"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26"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https://www.rail-infra.bg/профил-на-купувача/текущи-процедури/?YlvmS1RacnH797zA9WTVFlpL0dmi%2bqX3Z6OXGBhxGmlHuZcK%2buye8e1T%2bYWSFB1j7W8MPEMCQPqmSmhjzpdAKg%3d%3d</w:t>
              </w:r>
            </w:hyperlink>
          </w:p>
          <w:p w14:paraId="2E088EE4"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или 2,56 % от договора за изпълнение на строителството на обект: „Реконструкция на гаров комплекс Стара Загора“, договор №6582/25.10.2019 г. на стойност 9 726 944,27 лв. без ДДС</w:t>
            </w:r>
            <w:r w:rsidRPr="00AA54FE">
              <w:rPr>
                <w:rFonts w:ascii="Times New Roman" w:eastAsia="Calibri" w:hAnsi="Times New Roman" w:cs="Times New Roman"/>
                <w:sz w:val="18"/>
                <w:szCs w:val="18"/>
                <w:lang w:val="en-US" w:eastAsia="en-US"/>
              </w:rPr>
              <w:t xml:space="preserve">,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27"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28"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195E902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 </w:t>
            </w:r>
          </w:p>
          <w:p w14:paraId="5BCDF5E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Договор №6354/15.01.2019 г. за "Оценка на съответствието с изискванията за оперативна съвместимост на проект за реконструкция на гаров комплекс Нова Загора" на стойност 44 858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без ДДС,</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075F537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29" w:tgtFrame="_blank" w:history="1">
              <w:r w:rsidRPr="00AA54FE">
                <w:rPr>
                  <w:rFonts w:ascii="Times New Roman" w:eastAsia="Calibri" w:hAnsi="Times New Roman" w:cs="Times New Roman"/>
                  <w:sz w:val="18"/>
                  <w:szCs w:val="18"/>
                  <w:u w:val="single"/>
                  <w:lang w:eastAsia="en-US"/>
                </w:rPr>
                <w:t>00233-2018-0065</w:t>
              </w:r>
            </w:hyperlink>
            <w:r w:rsidRPr="00AA54FE">
              <w:rPr>
                <w:rFonts w:ascii="Times New Roman" w:eastAsia="Calibri" w:hAnsi="Times New Roman" w:cs="Times New Roman"/>
                <w:sz w:val="18"/>
                <w:szCs w:val="18"/>
                <w:u w:val="single"/>
                <w:lang w:eastAsia="en-US"/>
              </w:rPr>
              <w:t xml:space="preserve">, </w:t>
            </w:r>
            <w:r w:rsidRPr="00AA54FE">
              <w:rPr>
                <w:rFonts w:ascii="Times New Roman" w:eastAsia="Calibri" w:hAnsi="Times New Roman" w:cs="Times New Roman"/>
                <w:sz w:val="18"/>
                <w:szCs w:val="18"/>
                <w:lang w:eastAsia="en-US"/>
              </w:rPr>
              <w:t>обособена позиция № 5</w:t>
            </w:r>
            <w:r w:rsidRPr="00AA54FE">
              <w:rPr>
                <w:rFonts w:ascii="Times New Roman" w:eastAsia="Calibri" w:hAnsi="Times New Roman" w:cs="Times New Roman"/>
                <w:sz w:val="18"/>
                <w:szCs w:val="18"/>
                <w:u w:val="single"/>
                <w:lang w:eastAsia="en-US"/>
              </w:rPr>
              <w:t>,</w:t>
            </w:r>
          </w:p>
          <w:p w14:paraId="6F10FC8D"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30" w:history="1">
              <w:r w:rsidRPr="00AA54FE">
                <w:rPr>
                  <w:rFonts w:ascii="Times New Roman" w:eastAsia="Calibri" w:hAnsi="Times New Roman" w:cs="Times New Roman"/>
                  <w:color w:val="0563C1"/>
                  <w:sz w:val="18"/>
                  <w:szCs w:val="18"/>
                  <w:u w:val="single"/>
                  <w:lang w:eastAsia="en-US"/>
                </w:rPr>
                <w:t>https://zop.rail-infra.bg:3737/DocumentList.aspx?SXHmTXofHwCkfKl9g%2fXf2%2b2jUA9GZi7O</w:t>
              </w:r>
            </w:hyperlink>
            <w:r w:rsidRPr="00AA54FE">
              <w:rPr>
                <w:rFonts w:ascii="Times New Roman" w:eastAsia="Calibri" w:hAnsi="Times New Roman" w:cs="Times New Roman"/>
                <w:sz w:val="18"/>
                <w:szCs w:val="18"/>
                <w:lang w:eastAsia="en-US"/>
              </w:rPr>
              <w:t xml:space="preserve"> </w:t>
            </w:r>
          </w:p>
          <w:p w14:paraId="79B599A4"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или 1,65 % от договора за изпълнение на строителството на обект: „Реконструкция на гаров комплекс Нова Загора“, договор №11164/24.07.2020 на стойност 2 721 279,00 лв. без ДДС. УИН на преписката в АОП: </w:t>
            </w:r>
            <w:hyperlink r:id="rId31" w:tgtFrame="_blank" w:history="1">
              <w:r w:rsidRPr="00AA54FE">
                <w:rPr>
                  <w:rFonts w:ascii="Times New Roman" w:eastAsia="Calibri" w:hAnsi="Times New Roman" w:cs="Times New Roman"/>
                  <w:sz w:val="18"/>
                  <w:szCs w:val="18"/>
                  <w:lang w:eastAsia="en-US"/>
                </w:rPr>
                <w:t>00233-2019-0084</w:t>
              </w:r>
            </w:hyperlink>
          </w:p>
          <w:p w14:paraId="46D4227D"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32"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533BDD44" w14:textId="77777777" w:rsidR="00AA54FE" w:rsidRPr="00AA54FE" w:rsidRDefault="00AA54FE" w:rsidP="00AA54FE">
            <w:pPr>
              <w:spacing w:line="259" w:lineRule="auto"/>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Получената средноаритметична стойност – (2,56 + 1,65)/2 = </w:t>
            </w:r>
            <w:r w:rsidRPr="00AA54FE">
              <w:rPr>
                <w:rFonts w:ascii="Times New Roman" w:eastAsia="Calibri" w:hAnsi="Times New Roman" w:cs="Times New Roman"/>
                <w:b/>
                <w:sz w:val="18"/>
                <w:szCs w:val="18"/>
                <w:lang w:eastAsia="en-US"/>
              </w:rPr>
              <w:t>2,1 % е използвана за определяне на индикативната стойност на договора за оценка на съвместимостта ТСОС за обекта.</w:t>
            </w:r>
          </w:p>
          <w:p w14:paraId="3AA45AF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Обхватите на строителните договорите за реконструкция на гарови комплекси Стара Загора и Нова Загора могат с необходимата увереност да се използват като референтни за определяне на индикативна стойност на договорите за оценка за оперативна съвместимост. И двата договора включват извършването на дейности по железопътната инфраструктура (Приемното здание на гари Стара Загора и Нова Загора и околното пространство също са част от разглежданата инфраструктура), които подлежат на задължителна оценка за оперативна съвместимост на железопътната инфраструктура в рамките на ЕС - Директива 2008/57/ЕО, която е транспонирана в българското законодателство в Закона за железопътния транспорт и Наредба № 57 от 09.06.2004 г. На такава оценка подлежи и железопътната инфраструктура на проекта за гаров комплекс Мездра, която в идеен план съдържа железния път, сигнализацията и електрификацията на гарата, пероните, околното пространство на гаровия комплекс и преминаването над пероните. Не е предвидена реконструкцията на приемното здание на гарата).</w:t>
            </w:r>
          </w:p>
          <w:p w14:paraId="4E42605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Точна коя подсистема и коя ТСОС (техническа спецификация за оперативна съвместимост) ще се засегне може със сигурност да се каже чак във фазата на техническото проектиране и това е точно задължение на консултанта, който ще бъде избран с тази обществена поръчка. </w:t>
            </w:r>
          </w:p>
          <w:p w14:paraId="6377B72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Дейностите по проект „Изграждане на гаров комплекс Мездра“ също ще имат за цел да осигурят безпрепятствен маршрут и достъп на Лица в неравностойно положение (ЛНП) в зоната на гаровия комплекс . Ще бъде засегната и ТСОС „Инфраструктура“, както е в проекта за реконструкция на гаров комплекс Нова Загора, може и други, но крайната оценка е на </w:t>
            </w:r>
            <w:proofErr w:type="spellStart"/>
            <w:r w:rsidRPr="00AA54FE">
              <w:rPr>
                <w:rFonts w:ascii="Times New Roman" w:eastAsia="Calibri" w:hAnsi="Times New Roman" w:cs="Times New Roman"/>
                <w:sz w:val="18"/>
                <w:szCs w:val="18"/>
                <w:lang w:eastAsia="en-US"/>
              </w:rPr>
              <w:t>Нотифициращия</w:t>
            </w:r>
            <w:proofErr w:type="spellEnd"/>
            <w:r w:rsidRPr="00AA54FE">
              <w:rPr>
                <w:rFonts w:ascii="Times New Roman" w:eastAsia="Calibri" w:hAnsi="Times New Roman" w:cs="Times New Roman"/>
                <w:sz w:val="18"/>
                <w:szCs w:val="18"/>
                <w:lang w:eastAsia="en-US"/>
              </w:rPr>
              <w:t xml:space="preserve"> орган (Консултантът, който ще бъде избран с настоящата обществена поръчка).</w:t>
            </w:r>
          </w:p>
          <w:p w14:paraId="02BB796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Консултантът (</w:t>
            </w:r>
            <w:proofErr w:type="spellStart"/>
            <w:r w:rsidRPr="00AA54FE">
              <w:rPr>
                <w:rFonts w:ascii="Times New Roman" w:eastAsia="Calibri" w:hAnsi="Times New Roman" w:cs="Times New Roman"/>
                <w:sz w:val="18"/>
                <w:szCs w:val="18"/>
                <w:lang w:val="en-US" w:eastAsia="en-US"/>
              </w:rPr>
              <w:t>NoBo</w:t>
            </w:r>
            <w:proofErr w:type="spellEnd"/>
            <w:r w:rsidRPr="00AA54FE">
              <w:rPr>
                <w:rFonts w:ascii="Times New Roman" w:eastAsia="Calibri" w:hAnsi="Times New Roman" w:cs="Times New Roman"/>
                <w:sz w:val="18"/>
                <w:szCs w:val="18"/>
                <w:lang w:eastAsia="en-US"/>
              </w:rPr>
              <w:t>) по настоящия проект ще изпълни идентични видове дейности, както посочените като референтни договори, които включват:</w:t>
            </w:r>
          </w:p>
          <w:p w14:paraId="6D2CB9B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-Доклад за оценка на съответствието на проекта с изискванията на ТСОС</w:t>
            </w:r>
          </w:p>
          <w:p w14:paraId="67DD406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-Доклад за съответствието със съществените изисквания за оперативна съвместимост за етапите на проектиране, строителство и окончателно тестване на подсистемата</w:t>
            </w:r>
          </w:p>
          <w:p w14:paraId="2DFD871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-„ЕО сертификат за проверка“ по отношение на ТСОС</w:t>
            </w:r>
          </w:p>
          <w:p w14:paraId="7235447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-Техническо досие по отношение на ТСОС</w:t>
            </w:r>
          </w:p>
          <w:p w14:paraId="0091714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-Окончателен доклад</w:t>
            </w:r>
          </w:p>
          <w:p w14:paraId="66B2E8E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оперативната съвместимост с железопътната система на ЕС.</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789F119B"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21F2B338" w14:textId="77777777" w:rsidTr="000D243F">
        <w:trPr>
          <w:gridAfter w:val="1"/>
          <w:wAfter w:w="6" w:type="dxa"/>
          <w:trHeight w:val="795"/>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EF3769"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Оценка на Риск</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2D75F0"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eastAsia="en-US"/>
              </w:rPr>
              <w:t>46 </w:t>
            </w:r>
            <w:r w:rsidRPr="00AA54FE">
              <w:rPr>
                <w:rFonts w:ascii="Times New Roman" w:eastAsia="Calibri" w:hAnsi="Times New Roman" w:cs="Times New Roman"/>
                <w:color w:val="000000"/>
                <w:sz w:val="18"/>
                <w:szCs w:val="18"/>
                <w:lang w:val="en-US" w:eastAsia="en-US"/>
              </w:rPr>
              <w:t>116</w:t>
            </w:r>
            <w:r w:rsidRPr="00AA54FE">
              <w:rPr>
                <w:rFonts w:ascii="Times New Roman" w:eastAsia="Calibri" w:hAnsi="Times New Roman" w:cs="Times New Roman"/>
                <w:color w:val="000000"/>
                <w:sz w:val="18"/>
                <w:szCs w:val="18"/>
                <w:lang w:eastAsia="en-US"/>
              </w:rPr>
              <w:t>,</w:t>
            </w:r>
            <w:r w:rsidRPr="00AA54FE">
              <w:rPr>
                <w:rFonts w:ascii="Times New Roman" w:eastAsia="Calibri" w:hAnsi="Times New Roman" w:cs="Times New Roman"/>
                <w:color w:val="000000"/>
                <w:sz w:val="18"/>
                <w:szCs w:val="18"/>
                <w:lang w:val="en-US" w:eastAsia="en-US"/>
              </w:rPr>
              <w:t>68</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1233E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Стойността на договора за консултант за тази услуга са свързани в по-голямата си част с обхвата на договора за строителство и в по-малка степен от стойността на строителството (проектиране и строителство). Това е така, защото независимо от стойността на СМР, процедурата при един обект (гаров комплекс) е идентична. </w:t>
            </w:r>
          </w:p>
          <w:p w14:paraId="1F5E1C3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Процедурата по независима оценка на пригодността на прилагането на процедурата за управление на риска е задължителна процедура за издаване на разрешение за ползване по ЗЖТ. Тя е част от законодателството свързано със съвместимостта на железопътната инфраструктура в рамките на ЕС.</w:t>
            </w:r>
          </w:p>
          <w:p w14:paraId="786CD75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За целите на определяне на индикативната стойност на поръчката може да се използва смесен подход. </w:t>
            </w:r>
          </w:p>
          <w:p w14:paraId="028D5C3B" w14:textId="77777777" w:rsidR="00AA54FE" w:rsidRPr="00AA54FE" w:rsidRDefault="00AA54FE" w:rsidP="00AA54FE">
            <w:pPr>
              <w:numPr>
                <w:ilvl w:val="0"/>
                <w:numId w:val="15"/>
              </w:numPr>
              <w:spacing w:after="160" w:line="259" w:lineRule="auto"/>
              <w:ind w:left="-20" w:firstLine="380"/>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 първата си част се използва относителна стойност към СМР. За определянето и се взимат три референтни действащи договора.</w:t>
            </w:r>
          </w:p>
          <w:p w14:paraId="0417E53B"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Договор №6462/30.05.2019 г. с предмет: „Независима оценка на пригодността на прилагането на процедурата за управление на риска на проект за реконструкция на гаров комплекс Карнобат“ на стойност 31 830 лв. без ДДС (4 142 125 лв. договор за СМР, част от проект </w:t>
            </w:r>
            <w:hyperlink r:id="rId33" w:history="1">
              <w:r w:rsidRPr="00AA54FE">
                <w:rPr>
                  <w:rFonts w:ascii="Times New Roman" w:eastAsia="Calibri" w:hAnsi="Times New Roman" w:cs="Times New Roman"/>
                  <w:sz w:val="18"/>
                  <w:szCs w:val="18"/>
                  <w:lang w:eastAsia="en-US"/>
                </w:rPr>
                <w:t>"Реконструкция на гаров комплекс Карнобат"</w:t>
              </w:r>
            </w:hyperlink>
            <w:r w:rsidRPr="00AA54FE">
              <w:rPr>
                <w:rFonts w:ascii="Times New Roman" w:eastAsia="Calibri" w:hAnsi="Times New Roman" w:cs="Times New Roman"/>
                <w:i/>
                <w:iCs/>
                <w:sz w:val="18"/>
                <w:szCs w:val="18"/>
                <w:lang w:eastAsia="en-US"/>
              </w:rPr>
              <w:t>, финансиран по</w:t>
            </w:r>
            <w:r w:rsidRPr="00AA54FE">
              <w:rPr>
                <w:rFonts w:ascii="Calibri" w:eastAsia="Calibri" w:hAnsi="Calibri" w:cs="Times New Roman"/>
                <w:lang w:eastAsia="en-US"/>
              </w:rPr>
              <w:t xml:space="preserve"> </w:t>
            </w:r>
            <w:r w:rsidRPr="00AA54FE">
              <w:rPr>
                <w:rFonts w:ascii="Times New Roman" w:eastAsia="Calibri" w:hAnsi="Times New Roman" w:cs="Times New Roman"/>
                <w:i/>
                <w:iCs/>
                <w:sz w:val="18"/>
                <w:szCs w:val="18"/>
                <w:lang w:eastAsia="en-US"/>
              </w:rPr>
              <w:t xml:space="preserve">Оперативна програма „Транспорт и транспортна инфраструктура“ 2014 – 2020, </w:t>
            </w:r>
            <w:r w:rsidRPr="00AA54FE">
              <w:rPr>
                <w:rFonts w:ascii="Times New Roman" w:eastAsia="Calibri" w:hAnsi="Times New Roman" w:cs="Times New Roman"/>
                <w:sz w:val="18"/>
                <w:szCs w:val="18"/>
                <w:lang w:eastAsia="en-US"/>
              </w:rPr>
              <w:t xml:space="preserve"> </w:t>
            </w:r>
            <w:r w:rsidRPr="00AA54FE">
              <w:rPr>
                <w:rFonts w:ascii="Calibri" w:eastAsia="Calibri" w:hAnsi="Calibri" w:cs="Times New Roman"/>
                <w:color w:val="0563C1"/>
                <w:u w:val="single"/>
                <w:lang w:eastAsia="en-US"/>
              </w:rPr>
              <w:t xml:space="preserve">- </w:t>
            </w:r>
            <w:r w:rsidRPr="00AA54FE">
              <w:rPr>
                <w:rFonts w:ascii="Times New Roman" w:eastAsia="Calibri" w:hAnsi="Times New Roman" w:cs="Times New Roman"/>
                <w:color w:val="0563C1"/>
                <w:sz w:val="18"/>
                <w:szCs w:val="18"/>
                <w:u w:val="single"/>
                <w:lang w:eastAsia="en-US"/>
              </w:rPr>
              <w:t>УИН на преписката в АОП:  </w:t>
            </w:r>
            <w:hyperlink r:id="rId34" w:tgtFrame="_blank" w:history="1">
              <w:r w:rsidRPr="00AA54FE">
                <w:rPr>
                  <w:rFonts w:ascii="Times New Roman" w:eastAsia="Calibri" w:hAnsi="Times New Roman" w:cs="Times New Roman"/>
                  <w:color w:val="0563C1"/>
                  <w:sz w:val="18"/>
                  <w:szCs w:val="18"/>
                  <w:u w:val="single"/>
                  <w:lang w:eastAsia="en-US"/>
                </w:rPr>
                <w:t>00233-2018-0037</w:t>
              </w:r>
            </w:hyperlink>
            <w:r w:rsidRPr="00AA54FE">
              <w:rPr>
                <w:rFonts w:ascii="Times New Roman" w:eastAsia="Calibri" w:hAnsi="Times New Roman" w:cs="Times New Roman"/>
                <w:color w:val="0563C1"/>
                <w:sz w:val="18"/>
                <w:szCs w:val="18"/>
                <w:u w:val="single"/>
                <w:lang w:eastAsia="en-US"/>
              </w:rPr>
              <w:t xml:space="preserve"> - </w:t>
            </w:r>
            <w:hyperlink r:id="rId35"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https://www.rail-infra.bg/профил-на-купувача/текущи-процедури/?YlvmS1RacnH797zA9WTVFlpL0dmi%2bqX3Z6OXGBhxGmlHuZcK%2buye8e1T%2bYWSFB1j7W8MPEMCQPr1JqUhXYL%2bfQ%3d%3d</w:t>
              </w:r>
            </w:hyperlink>
            <w:r w:rsidRPr="00AA54FE">
              <w:rPr>
                <w:rFonts w:ascii="Calibri" w:eastAsia="Calibri" w:hAnsi="Calibri" w:cs="Times New Roman"/>
                <w:color w:val="0563C1"/>
                <w:u w:val="single"/>
                <w:lang w:eastAsia="en-US"/>
              </w:rPr>
              <w:t>).</w:t>
            </w:r>
            <w:r w:rsidRPr="00AA54FE">
              <w:rPr>
                <w:rFonts w:ascii="Times New Roman" w:eastAsia="Calibri" w:hAnsi="Times New Roman" w:cs="Times New Roman"/>
                <w:sz w:val="18"/>
                <w:szCs w:val="18"/>
                <w:lang w:eastAsia="en-US"/>
              </w:rPr>
              <w:t xml:space="preserve"> </w:t>
            </w:r>
          </w:p>
          <w:p w14:paraId="23C1B8D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№6460/30.05.2019 г. „Независима оценка на пригодността на прилагането на процедурата за управление на риска на проект за реконструкция на гаров комплекс </w:t>
            </w:r>
            <w:r w:rsidRPr="00AA54FE">
              <w:rPr>
                <w:rFonts w:ascii="Times New Roman" w:eastAsia="Calibri" w:hAnsi="Times New Roman" w:cs="Times New Roman"/>
                <w:sz w:val="18"/>
                <w:szCs w:val="18"/>
                <w:lang w:eastAsia="en-US"/>
              </w:rPr>
              <w:lastRenderedPageBreak/>
              <w:t xml:space="preserve">Стара Загора“ на стойност 32 250 лв. без ДДС (9 726 944 лв. договор за СМР,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  </w:t>
            </w:r>
            <w:r w:rsidRPr="00AA54FE">
              <w:rPr>
                <w:rFonts w:ascii="Calibri" w:eastAsia="Calibri" w:hAnsi="Calibri" w:cs="Times New Roman"/>
                <w:color w:val="0563C1"/>
                <w:u w:val="single"/>
                <w:lang w:eastAsia="en-US"/>
              </w:rPr>
              <w:t>–</w:t>
            </w:r>
            <w:r w:rsidRPr="00AA54FE">
              <w:rPr>
                <w:rFonts w:ascii="Times New Roman" w:eastAsia="Calibri" w:hAnsi="Times New Roman" w:cs="Times New Roman"/>
                <w:color w:val="0563C1"/>
                <w:sz w:val="18"/>
                <w:szCs w:val="18"/>
                <w:u w:val="single"/>
                <w:lang w:eastAsia="en-US"/>
              </w:rPr>
              <w:t xml:space="preserve"> </w:t>
            </w:r>
            <w:r w:rsidRPr="00AA54FE">
              <w:rPr>
                <w:rFonts w:ascii="Calibri" w:eastAsia="Calibri" w:hAnsi="Calibri" w:cs="Times New Roman"/>
                <w:color w:val="0563C1"/>
                <w:u w:val="single"/>
                <w:lang w:eastAsia="en-US"/>
              </w:rPr>
              <w:t>УИН</w:t>
            </w:r>
            <w:r w:rsidRPr="00AA54FE">
              <w:rPr>
                <w:rFonts w:ascii="Times New Roman" w:eastAsia="Calibri" w:hAnsi="Times New Roman" w:cs="Times New Roman"/>
                <w:color w:val="0563C1"/>
                <w:sz w:val="18"/>
                <w:szCs w:val="18"/>
                <w:u w:val="single"/>
                <w:lang w:eastAsia="en-US"/>
              </w:rPr>
              <w:t xml:space="preserve"> на преписката в АОП:</w:t>
            </w:r>
            <w:r w:rsidRPr="00AA54FE">
              <w:rPr>
                <w:rFonts w:ascii="Calibri" w:eastAsia="Calibri" w:hAnsi="Calibri" w:cs="Times New Roman"/>
                <w:color w:val="0563C1"/>
                <w:u w:val="single"/>
                <w:lang w:eastAsia="en-US"/>
              </w:rPr>
              <w:t xml:space="preserve">  </w:t>
            </w:r>
            <w:hyperlink r:id="rId36"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37"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r w:rsidRPr="00AA54FE">
              <w:rPr>
                <w:rFonts w:ascii="Times New Roman" w:eastAsia="Calibri" w:hAnsi="Times New Roman" w:cs="Times New Roman"/>
                <w:sz w:val="18"/>
                <w:szCs w:val="18"/>
                <w:lang w:eastAsia="en-US"/>
              </w:rPr>
              <w:t xml:space="preserve">). </w:t>
            </w:r>
          </w:p>
          <w:p w14:paraId="59DCE79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№6461/30.05.2019 г. с предмет: „Независима оценка на пригодността на прилагането на процедурата за управление на риска на проект за реконструкция на гаров комплекс Нова Загора“ на стойност 20 000 лв. без ДДС (2 721 279 лв. договор за СМР,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 </w:t>
            </w:r>
            <w:r w:rsidRPr="00AA54FE">
              <w:rPr>
                <w:rFonts w:ascii="Times New Roman" w:eastAsia="Calibri" w:hAnsi="Times New Roman" w:cs="Times New Roman"/>
                <w:color w:val="0563C1"/>
                <w:sz w:val="18"/>
                <w:szCs w:val="18"/>
                <w:u w:val="single"/>
                <w:lang w:eastAsia="en-US"/>
              </w:rPr>
              <w:t>– УИН на преписката в АОП:</w:t>
            </w:r>
            <w:r w:rsidRPr="00AA54FE">
              <w:rPr>
                <w:rFonts w:ascii="Calibri" w:eastAsia="Calibri" w:hAnsi="Calibri" w:cs="Times New Roman"/>
                <w:color w:val="0563C1"/>
                <w:u w:val="single"/>
                <w:lang w:eastAsia="en-US"/>
              </w:rPr>
              <w:t xml:space="preserve">  </w:t>
            </w:r>
            <w:hyperlink r:id="rId38"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39"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r w:rsidRPr="00AA54FE">
              <w:rPr>
                <w:rFonts w:ascii="Times New Roman" w:eastAsia="Calibri" w:hAnsi="Times New Roman" w:cs="Times New Roman"/>
                <w:sz w:val="18"/>
                <w:szCs w:val="18"/>
                <w:lang w:eastAsia="en-US"/>
              </w:rPr>
              <w:t xml:space="preserve">). </w:t>
            </w:r>
          </w:p>
          <w:p w14:paraId="0AAE42A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Средната аритметична стойност на относителната стойност е 0,6 % (0,61) от договорите за СМР.</w:t>
            </w:r>
          </w:p>
          <w:p w14:paraId="5A3EA1F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в АОП за всички обекти (3 бр. обособени позиция за всеки от обекти, посочени по-горе):</w:t>
            </w:r>
            <w:r w:rsidRPr="00AA54FE">
              <w:rPr>
                <w:rFonts w:ascii="Times New Roman" w:eastAsia="Calibri" w:hAnsi="Times New Roman" w:cs="Times New Roman"/>
                <w:sz w:val="18"/>
                <w:szCs w:val="18"/>
                <w:shd w:val="clear" w:color="auto" w:fill="FFFFFF"/>
                <w:lang w:eastAsia="en-US"/>
              </w:rPr>
              <w:t xml:space="preserve">  </w:t>
            </w:r>
            <w:hyperlink r:id="rId40" w:tgtFrame="_blank" w:history="1">
              <w:r w:rsidRPr="00AA54FE">
                <w:rPr>
                  <w:rFonts w:ascii="Times New Roman" w:eastAsia="Calibri" w:hAnsi="Times New Roman" w:cs="Times New Roman"/>
                  <w:sz w:val="18"/>
                  <w:szCs w:val="18"/>
                  <w:u w:val="single"/>
                  <w:lang w:eastAsia="en-US"/>
                </w:rPr>
                <w:t>00233-2019-0008</w:t>
              </w:r>
            </w:hyperlink>
          </w:p>
          <w:p w14:paraId="2FD8FA51"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41" w:history="1">
              <w:r w:rsidRPr="00AA54FE">
                <w:rPr>
                  <w:rFonts w:ascii="Times New Roman" w:eastAsia="Calibri" w:hAnsi="Times New Roman" w:cs="Times New Roman"/>
                  <w:color w:val="0563C1"/>
                  <w:sz w:val="18"/>
                  <w:szCs w:val="18"/>
                  <w:u w:val="single"/>
                  <w:lang w:eastAsia="en-US"/>
                </w:rPr>
                <w:t>https://zop.rail-infra.bg:3737/DocumentList.aspx?SXHmTXofHwCqF6Xmi28LY5m1gS7nGEkd</w:t>
              </w:r>
            </w:hyperlink>
          </w:p>
          <w:p w14:paraId="3207D0FD"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p>
          <w:p w14:paraId="70E95266" w14:textId="77777777" w:rsidR="00AA54FE" w:rsidRPr="00AA54FE" w:rsidRDefault="00AA54FE" w:rsidP="00AA54FE">
            <w:pPr>
              <w:numPr>
                <w:ilvl w:val="0"/>
                <w:numId w:val="15"/>
              </w:numPr>
              <w:spacing w:after="160" w:line="259" w:lineRule="auto"/>
              <w:ind w:left="0" w:firstLine="360"/>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Полученият относителния дял се коригира с обхвата и обема на договора за строителство. Обемът на работа на консултанта е свързан главно с оценка на риска за пътниците в гаровия комплекс (приемно здание, подлези, перони, </w:t>
            </w:r>
            <w:proofErr w:type="spellStart"/>
            <w:r w:rsidRPr="00AA54FE">
              <w:rPr>
                <w:rFonts w:ascii="Times New Roman" w:eastAsia="Calibri" w:hAnsi="Times New Roman" w:cs="Times New Roman"/>
                <w:sz w:val="18"/>
                <w:szCs w:val="18"/>
                <w:lang w:eastAsia="en-US"/>
              </w:rPr>
              <w:t>пасарелки</w:t>
            </w:r>
            <w:proofErr w:type="spellEnd"/>
            <w:r w:rsidRPr="00AA54FE">
              <w:rPr>
                <w:rFonts w:ascii="Times New Roman" w:eastAsia="Calibri" w:hAnsi="Times New Roman" w:cs="Times New Roman"/>
                <w:sz w:val="18"/>
                <w:szCs w:val="18"/>
                <w:lang w:eastAsia="en-US"/>
              </w:rPr>
              <w:t xml:space="preserve">, подход към тях и </w:t>
            </w:r>
            <w:proofErr w:type="spellStart"/>
            <w:r w:rsidRPr="00AA54FE">
              <w:rPr>
                <w:rFonts w:ascii="Times New Roman" w:eastAsia="Calibri" w:hAnsi="Times New Roman" w:cs="Times New Roman"/>
                <w:sz w:val="18"/>
                <w:szCs w:val="18"/>
                <w:lang w:eastAsia="en-US"/>
              </w:rPr>
              <w:t>т.н</w:t>
            </w:r>
            <w:proofErr w:type="spellEnd"/>
            <w:r w:rsidRPr="00AA54FE">
              <w:rPr>
                <w:rFonts w:ascii="Times New Roman" w:eastAsia="Calibri" w:hAnsi="Times New Roman" w:cs="Times New Roman"/>
                <w:sz w:val="18"/>
                <w:szCs w:val="18"/>
                <w:lang w:eastAsia="en-US"/>
              </w:rPr>
              <w:t>,). За трите посочени референтни договора СМР са изключително за тези дейности, свързани с подхода на пътниците, докато по експертна оценка стойността на СМР за гаровия комплекс Мездра, в която се засяга инфраструктура свързана с подхода на пътниците до превозното средство е около 30 % от общата стойност на работи по обекта (Мездра). За нуждите на изчисляване на индикативната стойност се използва определения коефициент от 0,3 (30 %)</w:t>
            </w:r>
            <w:r w:rsidRPr="00AA54FE">
              <w:rPr>
                <w:rFonts w:ascii="Times New Roman" w:eastAsia="Calibri" w:hAnsi="Times New Roman" w:cs="Times New Roman"/>
                <w:b/>
                <w:sz w:val="18"/>
                <w:szCs w:val="18"/>
                <w:lang w:eastAsia="en-US"/>
              </w:rPr>
              <w:t xml:space="preserve"> за да коригираме получената относителна стойност от 0,6 % или:</w:t>
            </w:r>
          </w:p>
          <w:p w14:paraId="420B00C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0,3 * 0,6% = 0,18 %;</w:t>
            </w:r>
          </w:p>
          <w:p w14:paraId="3B289C9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25 620 379,12 * 0,18% = 46 116,68 лв. без ДДС.</w:t>
            </w:r>
          </w:p>
          <w:p w14:paraId="200C3AB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независима оценка на пригодността на прилагането на процедурата за управление на риска за проекта.</w:t>
            </w:r>
          </w:p>
          <w:p w14:paraId="1034C9C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542EC970"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66901598" w14:textId="77777777" w:rsidTr="000D243F">
        <w:trPr>
          <w:gridAfter w:val="1"/>
          <w:wAfter w:w="6" w:type="dxa"/>
          <w:trHeight w:val="466"/>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D22389"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Техническа помощ </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AA47CF"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val="en-US" w:eastAsia="en-US"/>
              </w:rPr>
              <w:t xml:space="preserve">1 </w:t>
            </w:r>
            <w:r w:rsidRPr="00AA54FE">
              <w:rPr>
                <w:rFonts w:ascii="Times New Roman" w:eastAsia="Calibri" w:hAnsi="Times New Roman" w:cs="Times New Roman"/>
                <w:color w:val="000000"/>
                <w:sz w:val="18"/>
                <w:szCs w:val="18"/>
                <w:lang w:eastAsia="en-US"/>
              </w:rPr>
              <w:t>4</w:t>
            </w:r>
            <w:r w:rsidRPr="00AA54FE">
              <w:rPr>
                <w:rFonts w:ascii="Times New Roman" w:eastAsia="Calibri" w:hAnsi="Times New Roman" w:cs="Times New Roman"/>
                <w:color w:val="000000"/>
                <w:sz w:val="18"/>
                <w:szCs w:val="18"/>
                <w:lang w:val="en-US" w:eastAsia="en-US"/>
              </w:rPr>
              <w:t>3</w:t>
            </w:r>
            <w:r w:rsidRPr="00AA54FE">
              <w:rPr>
                <w:rFonts w:ascii="Times New Roman" w:eastAsia="Calibri" w:hAnsi="Times New Roman" w:cs="Times New Roman"/>
                <w:color w:val="000000"/>
                <w:sz w:val="18"/>
                <w:szCs w:val="18"/>
                <w:lang w:eastAsia="en-US"/>
              </w:rPr>
              <w:t>4 </w:t>
            </w:r>
            <w:r w:rsidRPr="00AA54FE">
              <w:rPr>
                <w:rFonts w:ascii="Times New Roman" w:eastAsia="Calibri" w:hAnsi="Times New Roman" w:cs="Times New Roman"/>
                <w:color w:val="000000"/>
                <w:sz w:val="18"/>
                <w:szCs w:val="18"/>
                <w:lang w:val="en-US" w:eastAsia="en-US"/>
              </w:rPr>
              <w:t>661</w:t>
            </w:r>
            <w:r w:rsidRPr="00AA54FE">
              <w:rPr>
                <w:rFonts w:ascii="Times New Roman" w:eastAsia="Calibri" w:hAnsi="Times New Roman" w:cs="Times New Roman"/>
                <w:color w:val="000000"/>
                <w:sz w:val="18"/>
                <w:szCs w:val="18"/>
                <w:lang w:eastAsia="en-US"/>
              </w:rPr>
              <w:t>,</w:t>
            </w:r>
            <w:r w:rsidRPr="00AA54FE">
              <w:rPr>
                <w:rFonts w:ascii="Times New Roman" w:eastAsia="Calibri" w:hAnsi="Times New Roman" w:cs="Times New Roman"/>
                <w:color w:val="000000"/>
                <w:sz w:val="18"/>
                <w:szCs w:val="18"/>
                <w:lang w:val="en-US" w:eastAsia="en-US"/>
              </w:rPr>
              <w:t>08</w:t>
            </w:r>
          </w:p>
        </w:tc>
        <w:tc>
          <w:tcPr>
            <w:tcW w:w="666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7D91D8F1" w14:textId="77777777" w:rsidR="00AA54FE" w:rsidRPr="00AA54FE" w:rsidRDefault="00AA54FE" w:rsidP="00AA54FE">
            <w:pPr>
              <w:spacing w:line="259" w:lineRule="auto"/>
              <w:jc w:val="both"/>
              <w:rPr>
                <w:rFonts w:ascii="Times New Roman" w:eastAsia="Times New Roman" w:hAnsi="Times New Roman" w:cs="Times New Roman"/>
                <w:sz w:val="18"/>
                <w:szCs w:val="18"/>
                <w:lang w:eastAsia="en-US"/>
              </w:rPr>
            </w:pPr>
            <w:r w:rsidRPr="00AA54FE">
              <w:rPr>
                <w:rFonts w:ascii="Times New Roman" w:eastAsia="Times New Roman" w:hAnsi="Times New Roman" w:cs="Times New Roman"/>
                <w:sz w:val="18"/>
                <w:szCs w:val="18"/>
                <w:lang w:eastAsia="en-US"/>
              </w:rPr>
              <w:t xml:space="preserve">С помощта на разходите по тази дейност ще се управлява, изпълнява и организира  обекта, като ще се следи за ефективното изпълнение на целите, качествената и навременна реализация на обекта, чрез администриране на договорите и управление на рисковете, свързани с изпълнението на обекта. </w:t>
            </w:r>
          </w:p>
          <w:p w14:paraId="5F3C826C" w14:textId="77777777" w:rsidR="00AA54FE" w:rsidRPr="00AA54FE" w:rsidRDefault="00AA54FE" w:rsidP="00AA54FE">
            <w:pPr>
              <w:spacing w:line="259" w:lineRule="auto"/>
              <w:jc w:val="both"/>
              <w:rPr>
                <w:rFonts w:ascii="Times New Roman" w:eastAsia="Times New Roman" w:hAnsi="Times New Roman" w:cs="Times New Roman"/>
                <w:sz w:val="18"/>
                <w:szCs w:val="18"/>
                <w:lang w:eastAsia="en-US"/>
              </w:rPr>
            </w:pPr>
            <w:r w:rsidRPr="00AA54FE">
              <w:rPr>
                <w:rFonts w:ascii="Times New Roman" w:eastAsia="Times New Roman" w:hAnsi="Times New Roman" w:cs="Times New Roman"/>
                <w:sz w:val="18"/>
                <w:szCs w:val="18"/>
                <w:lang w:eastAsia="en-US"/>
              </w:rPr>
              <w:t xml:space="preserve">Предвижда се конкретна структура в НКЖИ, с опит в управлението на сходни проекти, финансирани от Европейските фондови инструменти да управлява и настоящия проект/обект. </w:t>
            </w:r>
          </w:p>
          <w:p w14:paraId="2F64403A" w14:textId="77777777" w:rsidR="00AA54FE" w:rsidRPr="00AA54FE" w:rsidRDefault="00AA54FE" w:rsidP="00AA54FE">
            <w:pPr>
              <w:spacing w:line="259" w:lineRule="auto"/>
              <w:jc w:val="both"/>
              <w:rPr>
                <w:rFonts w:ascii="Times New Roman" w:eastAsia="Times New Roman" w:hAnsi="Times New Roman" w:cs="Times New Roman"/>
                <w:sz w:val="18"/>
                <w:szCs w:val="18"/>
                <w:lang w:eastAsia="en-US"/>
              </w:rPr>
            </w:pPr>
            <w:r w:rsidRPr="00AA54FE">
              <w:rPr>
                <w:rFonts w:ascii="Times New Roman" w:eastAsia="Times New Roman" w:hAnsi="Times New Roman" w:cs="Times New Roman"/>
                <w:sz w:val="18"/>
                <w:szCs w:val="18"/>
                <w:lang w:eastAsia="en-US"/>
              </w:rPr>
              <w:t>Това разходно перо е планирано да подпомогне дейностите на структурното звено в процеса на управление, контрол и изпълнение на проекта/обекта.</w:t>
            </w:r>
          </w:p>
          <w:p w14:paraId="3400C67D" w14:textId="77777777" w:rsidR="00AA54FE" w:rsidRPr="00AA54FE" w:rsidRDefault="00AA54FE" w:rsidP="00AA54FE">
            <w:pPr>
              <w:spacing w:line="259" w:lineRule="auto"/>
              <w:jc w:val="both"/>
              <w:rPr>
                <w:rFonts w:ascii="Times New Roman" w:eastAsia="Times New Roman" w:hAnsi="Times New Roman" w:cs="Times New Roman"/>
                <w:sz w:val="18"/>
                <w:szCs w:val="18"/>
                <w:lang w:eastAsia="en-US"/>
              </w:rPr>
            </w:pPr>
            <w:r w:rsidRPr="00AA54FE">
              <w:rPr>
                <w:rFonts w:ascii="Times New Roman" w:eastAsia="Times New Roman" w:hAnsi="Times New Roman" w:cs="Times New Roman"/>
                <w:sz w:val="18"/>
                <w:szCs w:val="18"/>
                <w:lang w:eastAsia="en-US"/>
              </w:rPr>
              <w:t xml:space="preserve">Разходите са планирани по следните пера: Разходи за възнаграждения на екип от експерти отговорни за управлението; разходи във връзка с управлението, верифицирането и одити при изпълнението на проекта - разходите за транспорт (командировъчни, нощувки, гориво); Разходи за доставка на машини, оборудване и консумативи (компютърно и офис оборудване, автомобил, мобилни апарати, консумативи и т.н.); Разходи за административни такси и разрешителни; Непреки разходи– разходи за обучения на екипа. </w:t>
            </w:r>
          </w:p>
          <w:p w14:paraId="1CCB85F3"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Предвиденото звено, което ще управлява изпълнението на проекта/проектите е съществуващото към момента Звено за подготовка, управление и изпълнение на проекти за гарови комплекси и терминали (ЗПУИП ГКТ). Структурата на ЗПУИП се състои от 15 експерта (14 заети бройки)</w:t>
            </w:r>
          </w:p>
          <w:p w14:paraId="46DE7B44"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noProof/>
                <w:color w:val="000000"/>
                <w:sz w:val="18"/>
                <w:szCs w:val="18"/>
              </w:rPr>
              <w:lastRenderedPageBreak/>
              <w:drawing>
                <wp:inline distT="0" distB="0" distL="0" distR="0" wp14:anchorId="0474C5D4" wp14:editId="0ED615C8">
                  <wp:extent cx="4339087" cy="3254316"/>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4344980" cy="3258736"/>
                          </a:xfrm>
                          <a:prstGeom prst="rect">
                            <a:avLst/>
                          </a:prstGeom>
                        </pic:spPr>
                      </pic:pic>
                    </a:graphicData>
                  </a:graphic>
                </wp:inline>
              </w:drawing>
            </w:r>
          </w:p>
          <w:p w14:paraId="602BBE30"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Към момента звеното управлява едновременно 3 проекта с общо 6 подобекта, а именно „Реконструкция на гарови комплекси Подуяне, Искър и Казичене“, „Реконструкция на гаров комплекс Карнобат“ и „Реконструкция на гарови комплекси Стара Загора и Нова Загора“. За изпълнението на отделен обект в различни моменти са ангажирани различно количество хора, в зависимост от специфичните дейности, които се извършват в определения момент. Проектите са финансирани по Оперативна програма „Транспорт и транспортна инфраструктура“ 2014-2020 (ОПТТИ) на ЕК. Проектите за гарови комплекси Подуяне, Казичене и Карнобат са в процес на завършване.</w:t>
            </w:r>
          </w:p>
          <w:p w14:paraId="092C1327"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p>
          <w:p w14:paraId="7AE77F3A"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Поради наличието на специфични дейности по железен път, контактна мрежа, сигнализация и  телекомуникации и информационни технологии, които ще се изпълняват в предвидените в този програмен фиш 3 обекта, както и обект 12 „Проектиране и изграждане на автоматизиран единен хъб за управление на информацията в ДП НКЖИ“ от програмен фиш „Цифровизация в железопътния транспорт чрез модернизация на системите за безопасност и енергийната ефективност по жп направления от основната и широкообхватната TEN-T мрежа“, който също ще се управлява от ЗПУИП ГКТ, то ще трябва да бъде подсилено с 4 бр. ключови експерта и 4 бр. неключови.</w:t>
            </w:r>
          </w:p>
          <w:p w14:paraId="1E08DFE4"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В приложените файлове </w:t>
            </w:r>
            <w:proofErr w:type="spellStart"/>
            <w:r w:rsidRPr="00AA54FE">
              <w:rPr>
                <w:rFonts w:ascii="Times New Roman" w:eastAsia="Calibri" w:hAnsi="Times New Roman" w:cs="Times New Roman"/>
                <w:i/>
                <w:color w:val="000000"/>
                <w:sz w:val="18"/>
                <w:szCs w:val="18"/>
                <w:lang w:val="en-US" w:eastAsia="en-US"/>
              </w:rPr>
              <w:t>TimeSheets</w:t>
            </w:r>
            <w:proofErr w:type="spellEnd"/>
            <w:r w:rsidRPr="00AA54FE">
              <w:rPr>
                <w:rFonts w:ascii="Times New Roman" w:eastAsia="Calibri" w:hAnsi="Times New Roman" w:cs="Times New Roman"/>
                <w:i/>
                <w:color w:val="000000"/>
                <w:sz w:val="18"/>
                <w:szCs w:val="18"/>
                <w:lang w:eastAsia="en-US"/>
              </w:rPr>
              <w:t>_</w:t>
            </w:r>
            <w:r w:rsidRPr="00AA54FE">
              <w:rPr>
                <w:rFonts w:ascii="Times New Roman" w:eastAsia="Calibri" w:hAnsi="Times New Roman" w:cs="Times New Roman"/>
                <w:i/>
                <w:color w:val="000000"/>
                <w:sz w:val="18"/>
                <w:szCs w:val="18"/>
                <w:lang w:val="en-US" w:eastAsia="en-US"/>
              </w:rPr>
              <w:t>ZPUIP</w:t>
            </w:r>
            <w:r w:rsidRPr="00AA54FE">
              <w:rPr>
                <w:rFonts w:ascii="Times New Roman" w:eastAsia="Calibri" w:hAnsi="Times New Roman" w:cs="Times New Roman"/>
                <w:i/>
                <w:color w:val="000000"/>
                <w:sz w:val="18"/>
                <w:szCs w:val="18"/>
                <w:lang w:eastAsia="en-US"/>
              </w:rPr>
              <w:t>-02.2021.</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color w:val="000000"/>
                <w:sz w:val="18"/>
                <w:szCs w:val="18"/>
                <w:lang w:eastAsia="en-US"/>
              </w:rPr>
              <w:t xml:space="preserve"> и </w:t>
            </w:r>
            <w:proofErr w:type="spellStart"/>
            <w:r w:rsidRPr="00AA54FE">
              <w:rPr>
                <w:rFonts w:ascii="Times New Roman" w:eastAsia="Calibri" w:hAnsi="Times New Roman" w:cs="Times New Roman"/>
                <w:i/>
                <w:color w:val="000000"/>
                <w:sz w:val="18"/>
                <w:szCs w:val="18"/>
                <w:lang w:val="en-US" w:eastAsia="en-US"/>
              </w:rPr>
              <w:t>BudgetProgramCovid</w:t>
            </w:r>
            <w:proofErr w:type="spellEnd"/>
            <w:r w:rsidRPr="00AA54FE">
              <w:rPr>
                <w:rFonts w:ascii="Times New Roman" w:eastAsia="Calibri" w:hAnsi="Times New Roman" w:cs="Times New Roman"/>
                <w:i/>
                <w:color w:val="000000"/>
                <w:sz w:val="18"/>
                <w:szCs w:val="18"/>
                <w:lang w:eastAsia="en-US"/>
              </w:rPr>
              <w:t>.</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color w:val="000000"/>
                <w:sz w:val="18"/>
                <w:szCs w:val="18"/>
                <w:lang w:eastAsia="en-US"/>
              </w:rPr>
              <w:t xml:space="preserve"> е разработен детайлен бюджет на ЗПУИП ГКТ за управление на тези четири обекта за периода 02.2021÷12.2025 г. В него са дадени подробна разбивка на индикативния график на заетост по проектите на всеки от експертите от звеното, часова ставка, човекочасове, транспортни разходи, разходи за оборудване и т.н. Общата стойност на разходите за Техническа помощ на ЗПУИП ГКТ за периода на изпълнение на обекта е посочена в клетка Е13 на  </w:t>
            </w:r>
            <w:proofErr w:type="spellStart"/>
            <w:r w:rsidRPr="00AA54FE">
              <w:rPr>
                <w:rFonts w:ascii="Times New Roman" w:eastAsia="Calibri" w:hAnsi="Times New Roman" w:cs="Times New Roman"/>
                <w:i/>
                <w:color w:val="000000"/>
                <w:sz w:val="18"/>
                <w:szCs w:val="18"/>
                <w:lang w:val="en-US" w:eastAsia="en-US"/>
              </w:rPr>
              <w:t>BudgetProgramCovid</w:t>
            </w:r>
            <w:proofErr w:type="spellEnd"/>
            <w:r w:rsidRPr="00AA54FE">
              <w:rPr>
                <w:rFonts w:ascii="Times New Roman" w:eastAsia="Calibri" w:hAnsi="Times New Roman" w:cs="Times New Roman"/>
                <w:i/>
                <w:color w:val="000000"/>
                <w:sz w:val="18"/>
                <w:szCs w:val="18"/>
                <w:lang w:eastAsia="en-US"/>
              </w:rPr>
              <w:t>.</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w:t>
            </w:r>
          </w:p>
          <w:p w14:paraId="5581DF34"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Източниците на данни за разработването на бюджета са, както следва:</w:t>
            </w:r>
          </w:p>
          <w:p w14:paraId="725CC2A0"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възнагражденията на експертите от ЗПУИП ГКТ – часовите</w:t>
            </w:r>
            <w:r w:rsidRPr="00AA54FE">
              <w:rPr>
                <w:rFonts w:ascii="Times New Roman" w:eastAsia="Calibri" w:hAnsi="Times New Roman" w:cs="Times New Roman"/>
                <w:color w:val="000000"/>
                <w:sz w:val="18"/>
                <w:szCs w:val="18"/>
                <w:vertAlign w:val="superscript"/>
                <w:lang w:eastAsia="en-US"/>
              </w:rPr>
              <w:t>[1]</w:t>
            </w:r>
            <w:r w:rsidRPr="00AA54FE">
              <w:rPr>
                <w:rFonts w:ascii="Times New Roman" w:eastAsia="Calibri" w:hAnsi="Times New Roman" w:cs="Times New Roman"/>
                <w:color w:val="000000"/>
                <w:sz w:val="18"/>
                <w:szCs w:val="18"/>
                <w:lang w:eastAsia="en-US"/>
              </w:rPr>
              <w:t xml:space="preserve">  ставки са изчислени по приложената в таблицата схема. Посочени са актуални основни месечни възнаграждения на членовете на ЗПУИП ГКТ. Като за неключовите експерти и инспекторите на място е предложена усреднена стойност (трябва да се има предвид, че това са индикативни стойности, зависещи от много фактори, като професионален опит (% проф. клас), диференциация на основните месечни заплати и т.н.). Това важи и за новоназначените експерти, за които все още тази информация не е известна. За тяхното определяне, стойността е определена на база съществуващата от ЗПУИП ГКТ. Предвидено е и общо увеличение с 10 % за целия период на изпълнение на проектите. За индикативната часова ставка е използвана закръглена стойност. (Необходимо е да се вземе предвид, че приложената схема на изчисляване до голяма степен има субективен фактор, с динамични, променливи величини, зависещи от разнообразни фактори). Направено е индикативно разпределението по проценти на всеки от експертите по заетост по даден обект (</w:t>
            </w:r>
            <w:proofErr w:type="spellStart"/>
            <w:r w:rsidRPr="00AA54FE">
              <w:rPr>
                <w:rFonts w:ascii="Times New Roman" w:eastAsia="Calibri" w:hAnsi="Times New Roman" w:cs="Times New Roman"/>
                <w:i/>
                <w:color w:val="000000"/>
                <w:sz w:val="18"/>
                <w:szCs w:val="18"/>
                <w:lang w:val="en-US" w:eastAsia="en-US"/>
              </w:rPr>
              <w:t>TimeSheets</w:t>
            </w:r>
            <w:proofErr w:type="spellEnd"/>
            <w:r w:rsidRPr="00AA54FE">
              <w:rPr>
                <w:rFonts w:ascii="Times New Roman" w:eastAsia="Calibri" w:hAnsi="Times New Roman" w:cs="Times New Roman"/>
                <w:i/>
                <w:color w:val="000000"/>
                <w:sz w:val="18"/>
                <w:szCs w:val="18"/>
                <w:lang w:eastAsia="en-US"/>
              </w:rPr>
              <w:t>_</w:t>
            </w:r>
            <w:r w:rsidRPr="00AA54FE">
              <w:rPr>
                <w:rFonts w:ascii="Times New Roman" w:eastAsia="Calibri" w:hAnsi="Times New Roman" w:cs="Times New Roman"/>
                <w:i/>
                <w:color w:val="000000"/>
                <w:sz w:val="18"/>
                <w:szCs w:val="18"/>
                <w:lang w:val="en-US" w:eastAsia="en-US"/>
              </w:rPr>
              <w:t>ZPUIP</w:t>
            </w:r>
            <w:r w:rsidRPr="00AA54FE">
              <w:rPr>
                <w:rFonts w:ascii="Times New Roman" w:eastAsia="Calibri" w:hAnsi="Times New Roman" w:cs="Times New Roman"/>
                <w:i/>
                <w:color w:val="000000"/>
                <w:sz w:val="18"/>
                <w:szCs w:val="18"/>
                <w:lang w:eastAsia="en-US"/>
              </w:rPr>
              <w:t>-02.2021.</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 xml:space="preserve">). </w:t>
            </w:r>
            <w:r w:rsidRPr="00AA54FE">
              <w:rPr>
                <w:rFonts w:ascii="Times New Roman" w:eastAsia="Calibri" w:hAnsi="Times New Roman" w:cs="Times New Roman"/>
                <w:color w:val="000000"/>
                <w:sz w:val="18"/>
                <w:szCs w:val="18"/>
                <w:lang w:eastAsia="en-US"/>
              </w:rPr>
              <w:t xml:space="preserve">На база на това в Лист „Възнаграждение“ от </w:t>
            </w:r>
            <w:proofErr w:type="spellStart"/>
            <w:r w:rsidRPr="00AA54FE">
              <w:rPr>
                <w:rFonts w:ascii="Times New Roman" w:eastAsia="Calibri" w:hAnsi="Times New Roman" w:cs="Times New Roman"/>
                <w:i/>
                <w:color w:val="000000"/>
                <w:sz w:val="18"/>
                <w:szCs w:val="18"/>
                <w:lang w:val="en-US" w:eastAsia="en-US"/>
              </w:rPr>
              <w:t>BudgetProgramCovid</w:t>
            </w:r>
            <w:proofErr w:type="spellEnd"/>
            <w:r w:rsidRPr="00AA54FE">
              <w:rPr>
                <w:rFonts w:ascii="Times New Roman" w:eastAsia="Calibri" w:hAnsi="Times New Roman" w:cs="Times New Roman"/>
                <w:i/>
                <w:color w:val="000000"/>
                <w:sz w:val="18"/>
                <w:szCs w:val="18"/>
                <w:lang w:eastAsia="en-US"/>
              </w:rPr>
              <w:t>.</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 xml:space="preserve"> </w:t>
            </w:r>
            <w:r w:rsidRPr="00AA54FE">
              <w:rPr>
                <w:rFonts w:ascii="Times New Roman" w:eastAsia="Calibri" w:hAnsi="Times New Roman" w:cs="Times New Roman"/>
                <w:color w:val="000000"/>
                <w:sz w:val="18"/>
                <w:szCs w:val="18"/>
                <w:lang w:eastAsia="en-US"/>
              </w:rPr>
              <w:t xml:space="preserve">е направено обобщение за процентна заетост на всеки от експертите по 4-те обекта. Предвижда се пълна заетост </w:t>
            </w:r>
            <w:r w:rsidRPr="00AA54FE">
              <w:rPr>
                <w:rFonts w:ascii="Times New Roman" w:eastAsia="Calibri" w:hAnsi="Times New Roman" w:cs="Times New Roman"/>
                <w:color w:val="000000"/>
                <w:sz w:val="18"/>
                <w:szCs w:val="18"/>
                <w:lang w:eastAsia="en-US"/>
              </w:rPr>
              <w:lastRenderedPageBreak/>
              <w:t xml:space="preserve">на експертите от ЗПУИП ГКТ, 8 часа за нормален работен ден, 40 часа седмично, по някой от 4-те обекта, управлявани от звеното. За някои от експертите, съгласно </w:t>
            </w:r>
            <w:proofErr w:type="spellStart"/>
            <w:r w:rsidRPr="00AA54FE">
              <w:rPr>
                <w:rFonts w:ascii="Times New Roman" w:eastAsia="Calibri" w:hAnsi="Times New Roman" w:cs="Times New Roman"/>
                <w:i/>
                <w:color w:val="000000"/>
                <w:sz w:val="18"/>
                <w:szCs w:val="18"/>
                <w:lang w:val="en-US" w:eastAsia="en-US"/>
              </w:rPr>
              <w:t>TimeSheets</w:t>
            </w:r>
            <w:proofErr w:type="spellEnd"/>
            <w:r w:rsidRPr="00AA54FE">
              <w:rPr>
                <w:rFonts w:ascii="Times New Roman" w:eastAsia="Calibri" w:hAnsi="Times New Roman" w:cs="Times New Roman"/>
                <w:i/>
                <w:color w:val="000000"/>
                <w:sz w:val="18"/>
                <w:szCs w:val="18"/>
                <w:lang w:eastAsia="en-US"/>
              </w:rPr>
              <w:t>_</w:t>
            </w:r>
            <w:r w:rsidRPr="00AA54FE">
              <w:rPr>
                <w:rFonts w:ascii="Times New Roman" w:eastAsia="Calibri" w:hAnsi="Times New Roman" w:cs="Times New Roman"/>
                <w:i/>
                <w:color w:val="000000"/>
                <w:sz w:val="18"/>
                <w:szCs w:val="18"/>
                <w:lang w:val="en-US" w:eastAsia="en-US"/>
              </w:rPr>
              <w:t>ZPUIP</w:t>
            </w:r>
            <w:r w:rsidRPr="00AA54FE">
              <w:rPr>
                <w:rFonts w:ascii="Times New Roman" w:eastAsia="Calibri" w:hAnsi="Times New Roman" w:cs="Times New Roman"/>
                <w:i/>
                <w:color w:val="000000"/>
                <w:sz w:val="18"/>
                <w:szCs w:val="18"/>
                <w:lang w:eastAsia="en-US"/>
              </w:rPr>
              <w:t>-02.2021.</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 xml:space="preserve">, </w:t>
            </w:r>
            <w:r w:rsidRPr="00AA54FE">
              <w:rPr>
                <w:rFonts w:ascii="Times New Roman" w:eastAsia="Calibri" w:hAnsi="Times New Roman" w:cs="Times New Roman"/>
                <w:color w:val="000000"/>
                <w:sz w:val="18"/>
                <w:szCs w:val="18"/>
                <w:lang w:eastAsia="en-US"/>
              </w:rPr>
              <w:t xml:space="preserve">е предвидено да работят само за времето на съответния обект. За тях не важи правилото за 59 месеца (от 02.2021 до 12.2025) непрекъсната работа за някой от обектите. В общия случай експертите ще работя, съответно ще им бъде заплащано за целите 59 месеца от дейността на ЗПУИП ГКТ по управление и изпълнение на 4-те обекта. Съгласно възприетата схема 52 седмици годишно – 59 месеца са 5 години без един месец – 52 х 5 = 260 седмици – 4 седмици (за това, че един месец липсва) = 256 седмици работа на звеното, на пълна работна заетост 40 часа седмично = 256 х 40 = 10 240 часа работа на всеки от експертите. Това е умножено по определената часова ставка за вида на експерта и по процентната заетост за всеки един от обектите, получена от </w:t>
            </w:r>
            <w:proofErr w:type="spellStart"/>
            <w:r w:rsidRPr="00AA54FE">
              <w:rPr>
                <w:rFonts w:ascii="Times New Roman" w:eastAsia="Calibri" w:hAnsi="Times New Roman" w:cs="Times New Roman"/>
                <w:i/>
                <w:color w:val="000000"/>
                <w:sz w:val="18"/>
                <w:szCs w:val="18"/>
                <w:lang w:val="en-US" w:eastAsia="en-US"/>
              </w:rPr>
              <w:t>TimeSheets</w:t>
            </w:r>
            <w:proofErr w:type="spellEnd"/>
            <w:r w:rsidRPr="00AA54FE">
              <w:rPr>
                <w:rFonts w:ascii="Times New Roman" w:eastAsia="Calibri" w:hAnsi="Times New Roman" w:cs="Times New Roman"/>
                <w:i/>
                <w:color w:val="000000"/>
                <w:sz w:val="18"/>
                <w:szCs w:val="18"/>
                <w:lang w:eastAsia="en-US"/>
              </w:rPr>
              <w:t>_</w:t>
            </w:r>
            <w:r w:rsidRPr="00AA54FE">
              <w:rPr>
                <w:rFonts w:ascii="Times New Roman" w:eastAsia="Calibri" w:hAnsi="Times New Roman" w:cs="Times New Roman"/>
                <w:i/>
                <w:color w:val="000000"/>
                <w:sz w:val="18"/>
                <w:szCs w:val="18"/>
                <w:lang w:val="en-US" w:eastAsia="en-US"/>
              </w:rPr>
              <w:t>ZPUIP</w:t>
            </w:r>
            <w:r w:rsidRPr="00AA54FE">
              <w:rPr>
                <w:rFonts w:ascii="Times New Roman" w:eastAsia="Calibri" w:hAnsi="Times New Roman" w:cs="Times New Roman"/>
                <w:i/>
                <w:color w:val="000000"/>
                <w:sz w:val="18"/>
                <w:szCs w:val="18"/>
                <w:lang w:eastAsia="en-US"/>
              </w:rPr>
              <w:t>-02.2021.</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w:t>
            </w:r>
          </w:p>
          <w:p w14:paraId="6BA3742D"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автомобилите (за Обект 1 и Обект 2 е предвиден общо един автомобил. За Обект 3 и Обект 4 по един автомобил. Общо три автомобила за нуждите на ЗПУИП ГКТ). За референтен е използван договор № 6222/04.09.2018 г. с предмет „ДОСТАВКА НА 2 БРОЯ ФАБРИЧНО НОВИ ВИСОКОПРОХОДИМИ МПС ЗА ПОДПОМАГАНЕ НА ДП НКЖИ ПРИ НАБЛЮДЕНИЕТО И КОНТРОЛА НА ПРОЕКТИТЕ, СЪФИНАНСИРАНИ ОТ ОПТТИ“, където за 1 бр. лек автомобил с 5 г. техническо обслужване реализираната стойност е 89 208 лв. без ДДС. Отчетен е и инфлационен индекс от НСИ (</w:t>
            </w:r>
            <w:hyperlink r:id="rId43" w:history="1">
              <w:r w:rsidRPr="00AA54FE">
                <w:rPr>
                  <w:rFonts w:ascii="Times New Roman" w:eastAsia="Calibri" w:hAnsi="Times New Roman" w:cs="Times New Roman"/>
                  <w:color w:val="0563C1"/>
                  <w:sz w:val="18"/>
                  <w:szCs w:val="18"/>
                  <w:u w:val="single"/>
                  <w:lang w:eastAsia="en-US"/>
                </w:rPr>
                <w:t>https://www.nsi.bg/bg/content/2539/%D0%BA%D0%B0%D0%BB%D0%BA%D1%83%D0%BB%D0%B0%D1%82%D0%BE%D1%80-%D0%BD%D0%B0-%D0%B8%D0%BD%D1%84%D0%BB%D0%B0%D1%86%D0%B8%D1%8F%D1%82%D0%B0</w:t>
              </w:r>
            </w:hyperlink>
            <w:r w:rsidRPr="00AA54FE">
              <w:rPr>
                <w:rFonts w:ascii="Times New Roman" w:eastAsia="Calibri" w:hAnsi="Times New Roman" w:cs="Times New Roman"/>
                <w:color w:val="000000"/>
                <w:sz w:val="18"/>
                <w:szCs w:val="18"/>
                <w:lang w:eastAsia="en-US"/>
              </w:rPr>
              <w:t>) за периода 09.2018÷01.2021 г. от 4,8%. УИН в АОП: 00233-2018-0033,</w:t>
            </w:r>
            <w:hyperlink r:id="rId44"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https://www.rail-infra.bg/профил-на-купувача/текущи-процедури/?YlvmS1RacnH797zA9WTVFlpL0dmi%2bqX3Z6OXGBhxGmlHuZcK%2buye8e1T%2bYWSFB1j7W8MPEMCQPqVUS6PXVlu1g%3d%3d</w:t>
              </w:r>
            </w:hyperlink>
          </w:p>
          <w:p w14:paraId="78ACCC85"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т. 7.2.1 и 7.2.2 от „Разходи за техническо оборудване и консумативи“ – от провеждана в момента процедура с предмет:</w:t>
            </w:r>
            <w:r w:rsidRPr="00AA54FE">
              <w:rPr>
                <w:rFonts w:eastAsia="Calibri"/>
                <w:b/>
                <w:bCs/>
                <w:color w:val="000000"/>
                <w:sz w:val="33"/>
                <w:szCs w:val="33"/>
                <w:shd w:val="clear" w:color="auto" w:fill="FFFFFF"/>
                <w:lang w:eastAsia="en-US"/>
              </w:rPr>
              <w:t xml:space="preserve"> </w:t>
            </w:r>
            <w:r w:rsidRPr="00AA54FE">
              <w:rPr>
                <w:rFonts w:ascii="Times New Roman" w:eastAsia="Calibri" w:hAnsi="Times New Roman" w:cs="Times New Roman"/>
                <w:color w:val="000000"/>
                <w:sz w:val="18"/>
                <w:szCs w:val="18"/>
                <w:lang w:eastAsia="en-US"/>
              </w:rPr>
              <w:t>„Доставка и гаранционно обслужване на компютърно оборудване за нуждите на ЗПУИП „Гарови комплекси и терминали“ по проекти, финансирани по ОПТТИ 2014-2020 г., по обособени позиции“, УИН в АОП: 00233-2020-0060, за които е направено пазарно проучване и са определени единичните цени (Приложено е пълното пазарно проучване за нуждите на провеждането на процедурата – папка „01_Пазарно проучване-Хардуер“). Броят е съобразен с бъдещия брой на експертите в ЗПУИП ГКТ – 24 бр. (поръчката е в системата ЦАИС - https://app.eop.bg/today/82799).</w:t>
            </w:r>
          </w:p>
          <w:p w14:paraId="182EF2FE"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 За т. 7.2.3 и 7.2.4 от „Разходи за техническо оборудване и консумативи“ – от изпълнена доставка по договор по обществена поръчка с предмет: „ДОСТАВКА И ГАРАНЦИОННО ОБСЛУЖВАНЕ НА КОМПЮТЪРНО И ПЕРИФЕРНО ОБОРУДВАНЕ И СОФТУЕР ЗА НУЖДИТЕ НА ЗПУИП „ГАРОВИ КОМПЛЕКСИ И ТЕРМИНАЛИ“ ПО ПРОЕКТИ, ФИНАНСИРАНИ ПО ОПТТИ 2014-2020 Г., ПО ОБОСОБЕНИ ПОЗИЦИИ“ за обособена позиция 3, Договор № 11231/28.09.2020 г. За т. 7.2.3 се отнасят позиции 2, 6, 7 и 8 от Ценовото предложение на изпълнителя. За т. 7.2.4 се отнасят позиции 1, 3, 4 и 5 от Ценовото предложение на изпълнителя. УИН в АОП: </w:t>
            </w:r>
            <w:hyperlink r:id="rId45" w:tgtFrame="_blank" w:history="1">
              <w:r w:rsidRPr="00AA54FE">
                <w:rPr>
                  <w:rFonts w:ascii="Times New Roman" w:eastAsia="Calibri" w:hAnsi="Times New Roman" w:cs="Times New Roman"/>
                  <w:color w:val="000000"/>
                  <w:sz w:val="18"/>
                  <w:szCs w:val="18"/>
                  <w:lang w:eastAsia="en-US"/>
                </w:rPr>
                <w:t>00233-2020-0029</w:t>
              </w:r>
            </w:hyperlink>
            <w:r w:rsidRPr="00AA54FE">
              <w:rPr>
                <w:rFonts w:ascii="Times New Roman" w:eastAsia="Calibri" w:hAnsi="Times New Roman" w:cs="Times New Roman"/>
                <w:color w:val="000000"/>
                <w:sz w:val="18"/>
                <w:szCs w:val="18"/>
                <w:lang w:eastAsia="en-US"/>
              </w:rPr>
              <w:t xml:space="preserve"> - </w:t>
            </w:r>
            <w:hyperlink r:id="rId46"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https://www.rail-infra.bg/профил-на-купувача/текущи-процедури/?YlvmS1RacnH797zA9WTVFlpL0dmi%2bqX3Z6OXGBhxGmlHuZcK%2buye8e1T%2bYWSFB1j7W8MPEMCQPpRmZU2PFLSLg%3d%3d</w:t>
              </w:r>
            </w:hyperlink>
            <w:r w:rsidRPr="00AA54FE">
              <w:rPr>
                <w:rFonts w:ascii="Times New Roman" w:eastAsia="Calibri" w:hAnsi="Times New Roman" w:cs="Times New Roman"/>
                <w:color w:val="000000"/>
                <w:sz w:val="18"/>
                <w:szCs w:val="18"/>
                <w:lang w:eastAsia="en-US"/>
              </w:rPr>
              <w:t xml:space="preserve">. Броят е съобразен с бъдещия брой на експертите в ЗПУИП ГКТ. </w:t>
            </w:r>
          </w:p>
          <w:p w14:paraId="5C2CCAAC"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 За т. 7.2.5 от „Разходи за техническо оборудване и консумативи“ – от актуална ценова оферта на „Индекс България“ ООД по Обособена позиция 4 от проведена обществена поръчка с предмет: „ДОСТАВКА И ГАРАНЦИОННО ОБСЛУЖВАНЕ НА КОМПЮТЪРНО И ПЕРИФЕРНО ОБОРУДВАНЕ И СОФТУЕР ЗА НУЖДИТЕ НА ЗПУИП „ГАРОВИ КОМПЛЕКСИ И ТЕРМИНАЛИ“ ПО ПРОЕКТИ, ФИНАНСИРАНИ ПО ОПТТИ 2014-2020 Г., ПО ОБОСОБЕНИ ПОЗИЦИИ“, УИН в АОП: </w:t>
            </w:r>
            <w:hyperlink r:id="rId47" w:tgtFrame="_blank" w:history="1">
              <w:r w:rsidRPr="00AA54FE">
                <w:rPr>
                  <w:rFonts w:ascii="Times New Roman" w:eastAsia="Calibri" w:hAnsi="Times New Roman" w:cs="Times New Roman"/>
                  <w:color w:val="000000"/>
                  <w:sz w:val="18"/>
                  <w:szCs w:val="18"/>
                  <w:lang w:eastAsia="en-US"/>
                </w:rPr>
                <w:t>00233-2020-0029</w:t>
              </w:r>
            </w:hyperlink>
            <w:r w:rsidRPr="00AA54FE">
              <w:rPr>
                <w:rFonts w:ascii="Times New Roman" w:eastAsia="Calibri" w:hAnsi="Times New Roman" w:cs="Times New Roman"/>
                <w:color w:val="000000"/>
                <w:sz w:val="18"/>
                <w:szCs w:val="18"/>
                <w:lang w:eastAsia="en-US"/>
              </w:rPr>
              <w:t xml:space="preserve"> - </w:t>
            </w:r>
            <w:hyperlink r:id="rId48"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https://www.rail-infra.bg/профил-на-купувача/текущи-процедури/?YlvmS1RacnH797zA9WTVFlpL0dmi%2bqX3Z6OXGBhxGmlHuZcK%2buye8e1T%2bYWSFB1j7W8MPEMCQPpRmZU2PFLSLg%3d%3d</w:t>
              </w:r>
            </w:hyperlink>
            <w:r w:rsidRPr="00AA54FE">
              <w:rPr>
                <w:rFonts w:ascii="Times New Roman" w:eastAsia="Calibri" w:hAnsi="Times New Roman" w:cs="Times New Roman"/>
                <w:color w:val="000000"/>
                <w:sz w:val="18"/>
                <w:szCs w:val="18"/>
                <w:lang w:eastAsia="en-US"/>
              </w:rPr>
              <w:t xml:space="preserve">. Общата ценова оферта е за 11 960 лв. без ДДС. Предвид бъдещия брой експерти на ЗПУИП ГКТ релевантно е закупуването на двойно повече от всеки от съответните лицензи, съответно е взета тази стойност, умножена по 2 (Приложена е ценовата оферта на „Индекс България“ ООД – папка „02_Оферта Индекс“ – файл „Index_Price_Offer-OP4“). В процедурата за тази обособена позиция беше подадена само една оферта, тази на „Индекс България“ ООД. Тъй като специализирания софтуер ще се използва от единици, обучени и можещи да работят със съответния софтуер лица, като те ще работят с тях и по 4-те обекта, които ще управлява ЗПУИП ГКТ, се предвижда тези разходи да бъдат </w:t>
            </w:r>
            <w:proofErr w:type="spellStart"/>
            <w:r w:rsidRPr="00AA54FE">
              <w:rPr>
                <w:rFonts w:ascii="Times New Roman" w:eastAsia="Calibri" w:hAnsi="Times New Roman" w:cs="Times New Roman"/>
                <w:color w:val="000000"/>
                <w:sz w:val="18"/>
                <w:szCs w:val="18"/>
                <w:lang w:eastAsia="en-US"/>
              </w:rPr>
              <w:t>равноразпределени</w:t>
            </w:r>
            <w:proofErr w:type="spellEnd"/>
            <w:r w:rsidRPr="00AA54FE">
              <w:rPr>
                <w:rFonts w:ascii="Times New Roman" w:eastAsia="Calibri" w:hAnsi="Times New Roman" w:cs="Times New Roman"/>
                <w:color w:val="000000"/>
                <w:sz w:val="18"/>
                <w:szCs w:val="18"/>
                <w:lang w:eastAsia="en-US"/>
              </w:rPr>
              <w:t xml:space="preserve"> по проектите</w:t>
            </w:r>
            <w:r w:rsidRPr="00AA54FE" w:rsidDel="00330683">
              <w:rPr>
                <w:rFonts w:ascii="Times New Roman" w:eastAsia="Calibri" w:hAnsi="Times New Roman" w:cs="Times New Roman"/>
                <w:color w:val="000000"/>
                <w:sz w:val="18"/>
                <w:szCs w:val="18"/>
                <w:lang w:eastAsia="en-US"/>
              </w:rPr>
              <w:t xml:space="preserve"> </w:t>
            </w:r>
          </w:p>
          <w:p w14:paraId="3D67FE81"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lastRenderedPageBreak/>
              <w:t xml:space="preserve">- За т. 7.2.6 от „Разходи за техническо оборудване и консумативи“ – от актуално пазарно проучване (Приложено – папка „03_Пазарно проучване-Смарт телефони“) за смарт телефони среден клас, приложени към документацията. Броят е съобразен с бъдещия брой на експертите в ЗПУИП ГКТ – 24 бр. </w:t>
            </w:r>
          </w:p>
          <w:p w14:paraId="599B626B" w14:textId="77777777" w:rsidR="00AA54FE" w:rsidRPr="00AA54FE" w:rsidRDefault="00AA54FE" w:rsidP="00AA54FE">
            <w:pPr>
              <w:spacing w:line="259" w:lineRule="auto"/>
              <w:jc w:val="both"/>
              <w:rPr>
                <w:sz w:val="16"/>
                <w:szCs w:val="16"/>
              </w:rPr>
            </w:pPr>
            <w:r w:rsidRPr="00AA54FE">
              <w:rPr>
                <w:rFonts w:ascii="Times New Roman" w:eastAsia="Calibri" w:hAnsi="Times New Roman" w:cs="Times New Roman"/>
                <w:color w:val="000000"/>
                <w:sz w:val="18"/>
                <w:szCs w:val="18"/>
                <w:lang w:eastAsia="en-US"/>
              </w:rPr>
              <w:t xml:space="preserve">- За т. 7.2.7 от „Разходи за техническо оборудване и консумативи“ – от изпълнен договор за сходно по брой звено в структурата на ЗПУИП ГКТ – от изпълнен договор №6182/02.08.2018 г. с предмет: „Доставка на канцеларски материали за нуждите на ЗПУИП „Пловдив – Бургас, фаза 2“, УИН в АОП: 00233-2017-0086 - </w:t>
            </w:r>
            <w:hyperlink r:id="rId49" w:history="1">
              <w:r w:rsidRPr="00AA54FE">
                <w:rPr>
                  <w:rFonts w:ascii="Times New Roman" w:eastAsia="Calibri" w:hAnsi="Times New Roman" w:cs="Times New Roman"/>
                  <w:color w:val="0563C1"/>
                  <w:sz w:val="18"/>
                  <w:szCs w:val="18"/>
                  <w:u w:val="single"/>
                  <w:lang w:eastAsia="en-US"/>
                </w:rPr>
                <w:t>https://zop.rail-infra.bg:3737/DocumentList.aspx?SXHmTXofHwBqGtH41YqUXX2%2btQ5ecRWs</w:t>
              </w:r>
            </w:hyperlink>
            <w:r w:rsidRPr="00AA54FE">
              <w:rPr>
                <w:rFonts w:ascii="Times New Roman" w:eastAsia="Calibri" w:hAnsi="Times New Roman" w:cs="Times New Roman"/>
                <w:color w:val="000000"/>
                <w:sz w:val="18"/>
                <w:szCs w:val="18"/>
                <w:lang w:eastAsia="en-US"/>
              </w:rPr>
              <w:t>. Направена е актуализация с коефициент на инфлация от НСИ за периода 08.2018÷01.2021 г. от 5,0%.</w:t>
            </w:r>
          </w:p>
          <w:p w14:paraId="391B8E9E"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color w:val="000000"/>
                <w:sz w:val="18"/>
                <w:szCs w:val="18"/>
                <w:lang w:eastAsia="en-US"/>
              </w:rPr>
              <w:t xml:space="preserve">- Разходи за „Обучение“ от „Непреки разходи“ – за референтен се взима изпълнен договор № 5931/20.11.2017 г. (на стойност 1 990 650 лв. без ДДС) по обществена поръчка с предмет: „СПЕЦИАЛИЗИРАНИ ОБУЧЕНИЯ ЗА ДП НКЖИ ПРИ УПРАВЛЕНИЕ И ИЗПЪЛНЕНИЕ НА ДЕЙНОСТИ ПО ПРОЕКТИ, СЪФИНАНСИРАНИ ОТ ЕСИФ“, по проект „Техническа помощ за укрепване капацитета на  НКЖИ, като бенефициент по ОПТТИ 2014-2020 год. чрез продължаване на добрите практики, установени през предходния период и включване на нови мерки за достигане на необходимия капацитет за подготовка, изпълнение, мониторинг и контрол на проекти, съфинансирани със средства на ЕСИФ“, финансиран по Оперативна програма "Транспорт и транспортна инфраструктура" 2014-2020 г. УИН на преписката в АОП:  00233-2017-0018, </w:t>
            </w:r>
            <w:hyperlink r:id="rId50"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https://www.rail-infra.bg/профил-на-купувача/текущи-процедури/?YlvmS1RacnH797zA9WTVFlpL0dmi%2bqX3Z6OXGBhxGmlHuZcK%2buye8e1T%2bYWSFB1j7W8MPEMCQPptlHL8UxqJ2A%3d%3d</w:t>
              </w:r>
            </w:hyperlink>
            <w:r w:rsidRPr="00AA54FE">
              <w:rPr>
                <w:rFonts w:ascii="Times New Roman" w:eastAsia="Calibri" w:hAnsi="Times New Roman" w:cs="Times New Roman"/>
                <w:color w:val="0563C1"/>
                <w:sz w:val="18"/>
                <w:szCs w:val="18"/>
                <w:u w:val="single"/>
                <w:lang w:eastAsia="en-US"/>
              </w:rPr>
              <w:t xml:space="preserve">. </w:t>
            </w:r>
          </w:p>
          <w:p w14:paraId="713B24E1"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Индикативната стойност на тези разходи е изчислена след като </w:t>
            </w:r>
            <w:proofErr w:type="spellStart"/>
            <w:r w:rsidRPr="00AA54FE">
              <w:rPr>
                <w:rFonts w:ascii="Times New Roman" w:eastAsia="Calibri" w:hAnsi="Times New Roman" w:cs="Times New Roman"/>
                <w:color w:val="000000"/>
                <w:sz w:val="18"/>
                <w:szCs w:val="18"/>
                <w:lang w:eastAsia="en-US"/>
              </w:rPr>
              <w:t>таргет</w:t>
            </w:r>
            <w:proofErr w:type="spellEnd"/>
            <w:r w:rsidRPr="00AA54FE">
              <w:rPr>
                <w:rFonts w:ascii="Times New Roman" w:eastAsia="Calibri" w:hAnsi="Times New Roman" w:cs="Times New Roman"/>
                <w:color w:val="000000"/>
                <w:sz w:val="18"/>
                <w:szCs w:val="18"/>
                <w:lang w:eastAsia="en-US"/>
              </w:rPr>
              <w:t xml:space="preserve"> групата за референтния договор (състава на ЦУ на НКЖИ – 490 човека) е отнесено към числеността на ЗПУИП ГКТ и получената стойност е актуализирана с коефициент на инфлация на НСИ за периода 11.2017÷01.2021 г. от 7,4%. Получената стойност е </w:t>
            </w:r>
            <w:proofErr w:type="spellStart"/>
            <w:r w:rsidRPr="00AA54FE">
              <w:rPr>
                <w:rFonts w:ascii="Times New Roman" w:eastAsia="Calibri" w:hAnsi="Times New Roman" w:cs="Times New Roman"/>
                <w:color w:val="000000"/>
                <w:sz w:val="18"/>
                <w:szCs w:val="18"/>
                <w:lang w:eastAsia="en-US"/>
              </w:rPr>
              <w:t>равноразпределена</w:t>
            </w:r>
            <w:proofErr w:type="spellEnd"/>
            <w:r w:rsidRPr="00AA54FE">
              <w:rPr>
                <w:rFonts w:ascii="Times New Roman" w:eastAsia="Calibri" w:hAnsi="Times New Roman" w:cs="Times New Roman"/>
                <w:color w:val="000000"/>
                <w:sz w:val="18"/>
                <w:szCs w:val="18"/>
                <w:lang w:eastAsia="en-US"/>
              </w:rPr>
              <w:t xml:space="preserve"> между 4-те обекта, управлявани от ЗПУИП ГКТ.</w:t>
            </w:r>
          </w:p>
          <w:p w14:paraId="0502B1A5"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 Разходи за „Такси“ – тези разходи за такси за съгласуване, одобрение и издаване на документи от държавни институции са индивидуални за този обект. Направена е подробна разбивка на разходите за административни такси, като са посочени само сигурните на този етап, с оглед законовата и подзаконовата рамка. В действителност в процеса на реализация на подобен </w:t>
            </w:r>
            <w:proofErr w:type="spellStart"/>
            <w:r w:rsidRPr="00AA54FE">
              <w:rPr>
                <w:rFonts w:ascii="Times New Roman" w:eastAsia="Calibri" w:hAnsi="Times New Roman" w:cs="Times New Roman"/>
                <w:color w:val="000000"/>
                <w:sz w:val="18"/>
                <w:szCs w:val="18"/>
                <w:lang w:eastAsia="en-US"/>
              </w:rPr>
              <w:t>широкообхветен</w:t>
            </w:r>
            <w:proofErr w:type="spellEnd"/>
            <w:r w:rsidRPr="00AA54FE">
              <w:rPr>
                <w:rFonts w:ascii="Times New Roman" w:eastAsia="Calibri" w:hAnsi="Times New Roman" w:cs="Times New Roman"/>
                <w:color w:val="000000"/>
                <w:sz w:val="18"/>
                <w:szCs w:val="18"/>
                <w:lang w:eastAsia="en-US"/>
              </w:rPr>
              <w:t xml:space="preserve"> проект се появяват различни такси за съгласуване и одобряване с комунални дружества, други държавни и общински институции и т.н. (те не са посочени в разчета за разходите, тъй като стойността и вида им </w:t>
            </w:r>
            <w:r w:rsidRPr="00AA54FE">
              <w:rPr>
                <w:rFonts w:ascii="Times New Roman" w:eastAsia="Calibri" w:hAnsi="Times New Roman" w:cs="Times New Roman"/>
                <w:color w:val="000000"/>
                <w:sz w:val="18"/>
                <w:szCs w:val="18"/>
                <w:lang w:val="en-US" w:eastAsia="en-US"/>
              </w:rPr>
              <w:t>e</w:t>
            </w:r>
            <w:r w:rsidRPr="00AA54FE">
              <w:rPr>
                <w:rFonts w:ascii="Times New Roman" w:eastAsia="Calibri" w:hAnsi="Times New Roman" w:cs="Times New Roman"/>
                <w:color w:val="000000"/>
                <w:sz w:val="18"/>
                <w:szCs w:val="18"/>
                <w:lang w:eastAsia="en-US"/>
              </w:rPr>
              <w:t xml:space="preserve"> </w:t>
            </w:r>
            <w:proofErr w:type="spellStart"/>
            <w:r w:rsidRPr="00AA54FE">
              <w:rPr>
                <w:rFonts w:ascii="Times New Roman" w:eastAsia="Calibri" w:hAnsi="Times New Roman" w:cs="Times New Roman"/>
                <w:color w:val="000000"/>
                <w:sz w:val="18"/>
                <w:szCs w:val="18"/>
                <w:lang w:eastAsia="en-US"/>
              </w:rPr>
              <w:t>трудноопределим</w:t>
            </w:r>
            <w:proofErr w:type="spellEnd"/>
            <w:r w:rsidRPr="00AA54FE">
              <w:rPr>
                <w:rFonts w:ascii="Times New Roman" w:eastAsia="Calibri" w:hAnsi="Times New Roman" w:cs="Times New Roman"/>
                <w:color w:val="000000"/>
                <w:sz w:val="18"/>
                <w:szCs w:val="18"/>
                <w:lang w:eastAsia="en-US"/>
              </w:rPr>
              <w:t xml:space="preserve"> на настоящия етап). </w:t>
            </w:r>
          </w:p>
          <w:p w14:paraId="5365BB9D"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Разходи за командировки – единичните цени в таблицата са на база реално заплащане на човек на ден (за дни командировка и нощуване), а цената от 0,25 лв. на километър са стандартните разходи за гориво и консумативи, които се използват в системата на ЗПУИП ГКТ за всички проекти, управлявани от звеното (изчислена средна стойност от реални разходи през годината).:</w:t>
            </w:r>
          </w:p>
          <w:p w14:paraId="00DB6A7A"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Обект 1 – направен е следният сценарий на предвиждания – 48 посещения на 3-ма служители, като в 12 командировки те ще преспиват (110 км. разстояние от ЦУ до Обект 1).</w:t>
            </w:r>
          </w:p>
          <w:p w14:paraId="7C908822"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Обект 2 – направен е следният сценарий на предвиждания – 72 посещения на 3-ма служители, като в 18 командировки те ще преспиват (140 км. разстояние от ЦУ до Обект 2).</w:t>
            </w:r>
          </w:p>
          <w:p w14:paraId="4FC37AEF"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За Обект 3 – направен е следният сценарий на предвиждания – 72 посещения на 3-ма служители, като в 72 командировки (тъй като обекта е значително по-далеч от ЦУ и еднодневни посещения не са препоръчителни) те ще преспиват (240 км. разстояние от ЦУ до Обект 3).</w:t>
            </w:r>
          </w:p>
          <w:p w14:paraId="19500E80" w14:textId="77777777" w:rsidR="00AA54FE" w:rsidRPr="00AA54FE" w:rsidRDefault="00AA54FE" w:rsidP="00AA54FE">
            <w:pPr>
              <w:spacing w:line="259" w:lineRule="auto"/>
              <w:jc w:val="both"/>
              <w:rPr>
                <w:rFonts w:ascii="Times New Roman" w:eastAsia="Calibri" w:hAnsi="Times New Roman" w:cs="Times New Roman"/>
                <w:b/>
                <w:color w:val="000000"/>
                <w:sz w:val="18"/>
                <w:szCs w:val="18"/>
                <w:lang w:eastAsia="en-US"/>
              </w:rPr>
            </w:pPr>
          </w:p>
          <w:p w14:paraId="2F48F8A7"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sidDel="002E17C6">
              <w:rPr>
                <w:rFonts w:ascii="Times New Roman" w:eastAsia="Calibri" w:hAnsi="Times New Roman" w:cs="Times New Roman"/>
                <w:b/>
                <w:color w:val="000000"/>
                <w:sz w:val="18"/>
                <w:szCs w:val="18"/>
                <w:lang w:eastAsia="en-US"/>
              </w:rPr>
              <w:t xml:space="preserve"> </w:t>
            </w:r>
            <w:r w:rsidRPr="00AA54FE">
              <w:rPr>
                <w:rFonts w:ascii="Times New Roman" w:eastAsia="Calibri" w:hAnsi="Times New Roman" w:cs="Times New Roman"/>
                <w:color w:val="000000"/>
                <w:sz w:val="18"/>
                <w:szCs w:val="18"/>
                <w:lang w:eastAsia="en-US"/>
              </w:rPr>
              <w:t>[1] Прилагаме следните актуални трудови договори (допълнителни споразумения към основните трудови договори – папка „03_Тр.Договори“)</w:t>
            </w:r>
            <w:r w:rsidRPr="00AA54FE">
              <w:rPr>
                <w:rFonts w:ascii="Times New Roman" w:eastAsia="Calibri" w:hAnsi="Times New Roman" w:cs="Times New Roman"/>
                <w:color w:val="000000"/>
                <w:sz w:val="18"/>
                <w:szCs w:val="18"/>
                <w:lang w:val="ru-RU" w:eastAsia="en-US"/>
              </w:rPr>
              <w:t xml:space="preserve"> </w:t>
            </w:r>
            <w:r w:rsidRPr="00AA54FE">
              <w:rPr>
                <w:rFonts w:ascii="Times New Roman" w:eastAsia="Calibri" w:hAnsi="Times New Roman" w:cs="Times New Roman"/>
                <w:color w:val="000000"/>
                <w:sz w:val="18"/>
                <w:szCs w:val="18"/>
                <w:lang w:eastAsia="en-US"/>
              </w:rPr>
              <w:t>за позиции:</w:t>
            </w:r>
          </w:p>
          <w:p w14:paraId="1D77E255"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 </w:t>
            </w:r>
            <w:proofErr w:type="spellStart"/>
            <w:r w:rsidRPr="00AA54FE">
              <w:rPr>
                <w:rFonts w:ascii="Times New Roman" w:eastAsia="Calibri" w:hAnsi="Times New Roman" w:cs="Times New Roman"/>
                <w:color w:val="000000"/>
                <w:sz w:val="18"/>
                <w:szCs w:val="18"/>
                <w:lang w:eastAsia="en-US"/>
              </w:rPr>
              <w:t>и.д</w:t>
            </w:r>
            <w:proofErr w:type="spellEnd"/>
            <w:r w:rsidRPr="00AA54FE">
              <w:rPr>
                <w:rFonts w:ascii="Times New Roman" w:eastAsia="Calibri" w:hAnsi="Times New Roman" w:cs="Times New Roman"/>
                <w:color w:val="000000"/>
                <w:sz w:val="18"/>
                <w:szCs w:val="18"/>
                <w:lang w:eastAsia="en-US"/>
              </w:rPr>
              <w:t xml:space="preserve">. Ръководител на ЗПУИП ГКТ – арх. Александър Туджаров (стартирала е процедура за промяна на основната трудова заплата до посочената в таблицата); </w:t>
            </w:r>
          </w:p>
          <w:p w14:paraId="1B328B2E"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Ключов експерт „Проектиране и оперативна съвместимост“ – арх. Ана Антова;</w:t>
            </w:r>
          </w:p>
          <w:p w14:paraId="7D12354E"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Ключов експерт „Верификация на разходите и финансова отчетност“ – инж. Георги Узунов (съгласно обяснителния текст за актуалната структура на ЗПУИП ГКТ – в нея не съществува ключов експерт „Контактна мрежа“. Той е предвиден да бъде назначен след одобрение на обектите, които ще се изпълняват по МВУ и след извършване на съответната промяна на структурата на ЗПУИП по надлежния ред. Затова, като пример прилагаме допълнително споразумение на друг ключов експерт от ЗПУИП ГКТ);</w:t>
            </w:r>
          </w:p>
          <w:p w14:paraId="3E93EA1F"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lastRenderedPageBreak/>
              <w:t>- Неключов експерт „Сгради, съоръжения и контрол на строителството“ – арх. Десислава Николова;</w:t>
            </w:r>
          </w:p>
          <w:p w14:paraId="4B89799C"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 Неключов експерт „Координация на договорите“ – Илия </w:t>
            </w:r>
            <w:proofErr w:type="spellStart"/>
            <w:r w:rsidRPr="00AA54FE">
              <w:rPr>
                <w:rFonts w:ascii="Times New Roman" w:eastAsia="Calibri" w:hAnsi="Times New Roman" w:cs="Times New Roman"/>
                <w:color w:val="000000"/>
                <w:sz w:val="18"/>
                <w:szCs w:val="18"/>
                <w:lang w:eastAsia="en-US"/>
              </w:rPr>
              <w:t>Илиевски</w:t>
            </w:r>
            <w:proofErr w:type="spellEnd"/>
            <w:r w:rsidRPr="00AA54FE">
              <w:rPr>
                <w:rFonts w:ascii="Times New Roman" w:eastAsia="Calibri" w:hAnsi="Times New Roman" w:cs="Times New Roman"/>
                <w:color w:val="000000"/>
                <w:sz w:val="18"/>
                <w:szCs w:val="18"/>
                <w:lang w:eastAsia="en-US"/>
              </w:rPr>
              <w:t xml:space="preserve"> (съгласно обяснителния текст за актуалната структура на ЗПУИП ГКТ – в нея не съществува неключов експерт „Информационни технологии“. Той е предвиден да бъде назначен след одобрение на обектите, които ще се изпълняват по МВУ и след извършване на съответната промяна на структурата на ЗПУИП по надлежния ред. Затова, като пример прилагаме допълнително споразумение на друг неключов експерт от ЗПУИП ГКТ);</w:t>
            </w:r>
          </w:p>
          <w:p w14:paraId="740B210C"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Инспектор на обект „Реконструкция на гаров комплекс Карнобат“ – инж. Димитър Георгиев.</w:t>
            </w:r>
          </w:p>
          <w:p w14:paraId="69FFBF38"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За да бъде възможно изготвянето на дългосрочен </w:t>
            </w:r>
            <w:proofErr w:type="spellStart"/>
            <w:r w:rsidRPr="00AA54FE">
              <w:rPr>
                <w:rFonts w:ascii="Times New Roman" w:eastAsia="Calibri" w:hAnsi="Times New Roman" w:cs="Times New Roman"/>
                <w:color w:val="000000"/>
                <w:sz w:val="18"/>
                <w:szCs w:val="18"/>
                <w:lang w:eastAsia="en-US"/>
              </w:rPr>
              <w:t>проекто</w:t>
            </w:r>
            <w:proofErr w:type="spellEnd"/>
            <w:r w:rsidRPr="00AA54FE">
              <w:rPr>
                <w:rFonts w:ascii="Times New Roman" w:eastAsia="Calibri" w:hAnsi="Times New Roman" w:cs="Times New Roman"/>
                <w:color w:val="000000"/>
                <w:sz w:val="18"/>
                <w:szCs w:val="18"/>
                <w:lang w:eastAsia="en-US"/>
              </w:rPr>
              <w:t>-бюджет на индикативните часови ставки за възнаграждения са направени следните допускания:</w:t>
            </w:r>
          </w:p>
          <w:p w14:paraId="1357BCE9"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Единна часова ставка за еднакви позиции – практиката в НКЖИ е за индивидуално определяне на основните месечни заплати;</w:t>
            </w:r>
          </w:p>
          <w:p w14:paraId="27F6E9E6"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Тъй като процентът на професионален клас е индивидуална величина и тя е променлива и практически неопределима за незапълнени бройки е взета  усреднена стойност от 20 % (т.е. 20 г. трудов стаж) в ЗПУИП ГКТ (за ръководител ЗПУИП ГКТ тя е точна, тъй като тя е индивидуална).</w:t>
            </w:r>
          </w:p>
          <w:p w14:paraId="4677D952"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Реф. файл „</w:t>
            </w:r>
            <w:proofErr w:type="spellStart"/>
            <w:r w:rsidRPr="00AA54FE">
              <w:rPr>
                <w:rFonts w:ascii="Times New Roman" w:eastAsia="Calibri" w:hAnsi="Times New Roman" w:cs="Times New Roman"/>
                <w:color w:val="000000"/>
                <w:sz w:val="18"/>
                <w:szCs w:val="18"/>
                <w:lang w:eastAsia="en-US"/>
              </w:rPr>
              <w:t>Budget</w:t>
            </w:r>
            <w:proofErr w:type="spellEnd"/>
            <w:r w:rsidRPr="00AA54FE">
              <w:rPr>
                <w:rFonts w:ascii="Times New Roman" w:eastAsia="Calibri" w:hAnsi="Times New Roman" w:cs="Times New Roman"/>
                <w:color w:val="000000"/>
                <w:sz w:val="18"/>
                <w:szCs w:val="18"/>
                <w:lang w:eastAsia="en-US"/>
              </w:rPr>
              <w:t xml:space="preserve"> </w:t>
            </w:r>
            <w:proofErr w:type="spellStart"/>
            <w:r w:rsidRPr="00AA54FE">
              <w:rPr>
                <w:rFonts w:ascii="Times New Roman" w:eastAsia="Calibri" w:hAnsi="Times New Roman" w:cs="Times New Roman"/>
                <w:color w:val="000000"/>
                <w:sz w:val="18"/>
                <w:szCs w:val="18"/>
                <w:lang w:eastAsia="en-US"/>
              </w:rPr>
              <w:t>ProgramCovid</w:t>
            </w:r>
            <w:proofErr w:type="spellEnd"/>
            <w:r w:rsidRPr="00AA54FE">
              <w:rPr>
                <w:rFonts w:ascii="Times New Roman" w:eastAsia="Calibri" w:hAnsi="Times New Roman" w:cs="Times New Roman"/>
                <w:color w:val="000000"/>
                <w:sz w:val="18"/>
                <w:szCs w:val="18"/>
                <w:lang w:eastAsia="en-US"/>
              </w:rPr>
              <w:t xml:space="preserve"> ZPUIP-02.2021“ - „Възнаграждение“ </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7ED9048A"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57C38EDB" w14:textId="77777777" w:rsidTr="000D243F">
        <w:trPr>
          <w:trHeight w:val="435"/>
        </w:trPr>
        <w:tc>
          <w:tcPr>
            <w:tcW w:w="10367" w:type="dxa"/>
            <w:gridSpan w:val="8"/>
            <w:tcBorders>
              <w:top w:val="single" w:sz="8" w:space="0" w:color="auto"/>
              <w:left w:val="single" w:sz="8" w:space="0" w:color="auto"/>
              <w:bottom w:val="nil"/>
              <w:right w:val="single" w:sz="8" w:space="0" w:color="000000"/>
            </w:tcBorders>
            <w:shd w:val="clear" w:color="auto" w:fill="auto"/>
            <w:tcMar>
              <w:top w:w="15" w:type="dxa"/>
              <w:left w:w="15" w:type="dxa"/>
              <w:bottom w:w="0" w:type="dxa"/>
              <w:right w:w="15" w:type="dxa"/>
            </w:tcMar>
            <w:vAlign w:val="bottom"/>
            <w:hideMark/>
          </w:tcPr>
          <w:p w14:paraId="409964FA"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lastRenderedPageBreak/>
              <w:t>Обект 2 –  Изграждане на гаров комплекс Червен бряг</w:t>
            </w:r>
          </w:p>
        </w:tc>
      </w:tr>
      <w:tr w:rsidR="00AA54FE" w:rsidRPr="00AA54FE" w14:paraId="365E07D8" w14:textId="77777777" w:rsidTr="000D243F">
        <w:trPr>
          <w:gridAfter w:val="1"/>
          <w:wAfter w:w="6" w:type="dxa"/>
          <w:trHeight w:val="542"/>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4C3EB4"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строителство (техническо проектиране и строителство)</w:t>
            </w:r>
          </w:p>
        </w:tc>
        <w:tc>
          <w:tcPr>
            <w:tcW w:w="1413"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0E3C61"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eastAsia="en-US"/>
              </w:rPr>
              <w:t>2</w:t>
            </w:r>
            <w:r w:rsidRPr="00AA54FE">
              <w:rPr>
                <w:rFonts w:ascii="Times New Roman" w:eastAsia="Calibri" w:hAnsi="Times New Roman" w:cs="Times New Roman"/>
                <w:color w:val="000000"/>
                <w:sz w:val="18"/>
                <w:szCs w:val="18"/>
                <w:lang w:val="en-US" w:eastAsia="en-US"/>
              </w:rPr>
              <w:t>2 003 812,15</w:t>
            </w:r>
          </w:p>
        </w:tc>
        <w:tc>
          <w:tcPr>
            <w:tcW w:w="66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2F4FE5"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Референтен договор - Договор № 6627/19.11.2019 г. за изпълнение с предмет: „Преустройство на коловозно и стрелково развитие на гара Синдел Разпределителна - част от проект „Удвояване и електрификация на железопътната линия Карнобат-Синдел“ на стойност 21 314 243,35 лв. без ДДС </w:t>
            </w:r>
            <w:r w:rsidRPr="00AA54FE">
              <w:rPr>
                <w:rFonts w:ascii="Calibri" w:eastAsia="Calibri" w:hAnsi="Calibri" w:cs="Times New Roman"/>
                <w:lang w:eastAsia="en-US"/>
              </w:rPr>
              <w:t>(</w:t>
            </w:r>
            <w:r w:rsidRPr="00AA54FE">
              <w:rPr>
                <w:rFonts w:ascii="Times New Roman" w:eastAsia="Calibri" w:hAnsi="Times New Roman" w:cs="Times New Roman"/>
                <w:sz w:val="18"/>
                <w:szCs w:val="18"/>
                <w:lang w:eastAsia="en-US"/>
              </w:rPr>
              <w:t>национално финансиране)..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51" w:tgtFrame="_blank" w:history="1">
              <w:r w:rsidRPr="00AA54FE">
                <w:rPr>
                  <w:rFonts w:ascii="Times New Roman" w:eastAsia="Calibri" w:hAnsi="Times New Roman" w:cs="Times New Roman"/>
                  <w:sz w:val="18"/>
                  <w:szCs w:val="18"/>
                  <w:u w:val="single"/>
                  <w:lang w:eastAsia="en-US"/>
                </w:rPr>
                <w:t xml:space="preserve">00233-2019-0051 </w:t>
              </w:r>
            </w:hyperlink>
            <w:r w:rsidRPr="00AA54FE" w:rsidDel="003D11D9">
              <w:rPr>
                <w:rFonts w:ascii="Times New Roman" w:eastAsia="Calibri" w:hAnsi="Times New Roman" w:cs="Times New Roman"/>
                <w:sz w:val="18"/>
                <w:szCs w:val="18"/>
                <w:lang w:eastAsia="en-US"/>
              </w:rPr>
              <w:t xml:space="preserve"> </w:t>
            </w:r>
          </w:p>
          <w:p w14:paraId="3718EB5E"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52" w:history="1">
              <w:r w:rsidRPr="00AA54FE">
                <w:rPr>
                  <w:rFonts w:ascii="Times New Roman" w:eastAsia="Calibri" w:hAnsi="Times New Roman" w:cs="Times New Roman"/>
                  <w:color w:val="0563C1"/>
                  <w:sz w:val="18"/>
                  <w:szCs w:val="18"/>
                  <w:u w:val="single"/>
                  <w:lang w:eastAsia="en-US"/>
                </w:rPr>
                <w:t>https://zop.rail-infra.bg:3737/DocumentList.aspx?SXHmTXofHwDJo9hHYlO2bTb52OkdHNot</w:t>
              </w:r>
            </w:hyperlink>
          </w:p>
          <w:p w14:paraId="520A538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Дейностите, изпълнени по проект „Удвояване и електрификация на железопътната линия Карнобат-Синдел“, са съпоставими като обхват на заложените за изпълнение по проекта за Изграждане на гаров комплекс Червен бряг.</w:t>
            </w:r>
          </w:p>
          <w:p w14:paraId="713469B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За гаров комплекс Червен бряг е предвидена пълна рехабилитация на 8 коловоза с обхват идентичен на изпълнените 4 коловоза по проекта железопътната линия Карнобат-Синдел (респ. изкопи и насипи, дренажни системи, ревизионни шахти, усилващ и предпазен пласт, подмяна с нови релси, траверси и </w:t>
            </w:r>
            <w:proofErr w:type="spellStart"/>
            <w:r w:rsidRPr="00AA54FE">
              <w:rPr>
                <w:rFonts w:ascii="Times New Roman" w:eastAsia="Calibri" w:hAnsi="Times New Roman" w:cs="Times New Roman"/>
                <w:sz w:val="18"/>
                <w:szCs w:val="18"/>
                <w:lang w:eastAsia="en-US"/>
              </w:rPr>
              <w:t>баластово</w:t>
            </w:r>
            <w:proofErr w:type="spellEnd"/>
            <w:r w:rsidRPr="00AA54FE">
              <w:rPr>
                <w:rFonts w:ascii="Times New Roman" w:eastAsia="Calibri" w:hAnsi="Times New Roman" w:cs="Times New Roman"/>
                <w:sz w:val="18"/>
                <w:szCs w:val="18"/>
                <w:lang w:eastAsia="en-US"/>
              </w:rPr>
              <w:t xml:space="preserve"> легло, стълбове, фундаменти, контактен проводник, носещо въже, струни и струнни клеми, разединители, въздушни стрелки и др.). Също така в обхвата на проекта попада реконструкция на приемното здание, което не фигурира в обхвата на проектите Карнобат-Синдел и гаров комплекс Мездра. За остойностяване на приемното здание прилагаме КСС по ЦР със сравнение стойността за реконструкция на приемното здание на гара Карнобат. Стойността на приемно здание Червен бряг е изчислена на база процентно съотношение между застроената площ на сградите (гара Карнобат е със ЗП 1023кв.м, а гара Червен бряг е със ЗП 707кв.м.) или 70% от стойността за приемно здание Карнобат. (Прилагаме ценово предложение на изпълнителя на договор №6363/25.01.2019г. с предмет „Реконструкция на гаров комплекс Карнобат, в това число изготвяне на работни чертежи и детайли“ част от проект </w:t>
            </w:r>
            <w:hyperlink r:id="rId53" w:history="1">
              <w:r w:rsidRPr="00AA54FE">
                <w:rPr>
                  <w:rFonts w:ascii="Times New Roman" w:eastAsia="Calibri" w:hAnsi="Times New Roman" w:cs="Times New Roman"/>
                  <w:sz w:val="18"/>
                  <w:szCs w:val="18"/>
                  <w:lang w:eastAsia="en-US"/>
                </w:rPr>
                <w:t>"Реконструкция на гаров комплекс Карнобат"</w:t>
              </w:r>
            </w:hyperlink>
            <w:r w:rsidRPr="00AA54FE">
              <w:rPr>
                <w:rFonts w:ascii="Times New Roman" w:eastAsia="Calibri" w:hAnsi="Times New Roman" w:cs="Times New Roman"/>
                <w:i/>
                <w:iCs/>
                <w:sz w:val="18"/>
                <w:szCs w:val="18"/>
                <w:lang w:eastAsia="en-US"/>
              </w:rPr>
              <w:t>, финансиран по</w:t>
            </w:r>
            <w:r w:rsidRPr="00AA54FE">
              <w:rPr>
                <w:rFonts w:ascii="Calibri" w:eastAsia="Calibri" w:hAnsi="Calibri" w:cs="Times New Roman"/>
                <w:lang w:eastAsia="en-US"/>
              </w:rPr>
              <w:t xml:space="preserve"> </w:t>
            </w:r>
            <w:r w:rsidRPr="00AA54FE">
              <w:rPr>
                <w:rFonts w:ascii="Times New Roman" w:eastAsia="Calibri" w:hAnsi="Times New Roman" w:cs="Times New Roman"/>
                <w:i/>
                <w:iCs/>
                <w:sz w:val="18"/>
                <w:szCs w:val="18"/>
                <w:lang w:eastAsia="en-US"/>
              </w:rPr>
              <w:t>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папка 06_ЦП Синдел и Карнобат“ – файл „</w:t>
            </w:r>
            <w:proofErr w:type="spellStart"/>
            <w:r w:rsidRPr="00AA54FE">
              <w:rPr>
                <w:rFonts w:ascii="Times New Roman" w:eastAsia="Calibri" w:hAnsi="Times New Roman" w:cs="Times New Roman"/>
                <w:sz w:val="18"/>
                <w:szCs w:val="18"/>
                <w:lang w:eastAsia="en-US"/>
              </w:rPr>
              <w:t>Prilojenie</w:t>
            </w:r>
            <w:proofErr w:type="spellEnd"/>
            <w:r w:rsidRPr="00AA54FE">
              <w:rPr>
                <w:rFonts w:ascii="Times New Roman" w:eastAsia="Calibri" w:hAnsi="Times New Roman" w:cs="Times New Roman"/>
                <w:sz w:val="18"/>
                <w:szCs w:val="18"/>
                <w:lang w:eastAsia="en-US"/>
              </w:rPr>
              <w:t xml:space="preserve"> 3-Tzenovo </w:t>
            </w:r>
            <w:proofErr w:type="spellStart"/>
            <w:r w:rsidRPr="00AA54FE">
              <w:rPr>
                <w:rFonts w:ascii="Times New Roman" w:eastAsia="Calibri" w:hAnsi="Times New Roman" w:cs="Times New Roman"/>
                <w:sz w:val="18"/>
                <w:szCs w:val="18"/>
                <w:lang w:eastAsia="en-US"/>
              </w:rPr>
              <w:t>predlojenie</w:t>
            </w:r>
            <w:proofErr w:type="spellEnd"/>
            <w:r w:rsidRPr="00AA54FE">
              <w:rPr>
                <w:rFonts w:ascii="Times New Roman" w:eastAsia="Calibri" w:hAnsi="Times New Roman" w:cs="Times New Roman"/>
                <w:sz w:val="18"/>
                <w:szCs w:val="18"/>
                <w:lang w:eastAsia="en-US"/>
              </w:rPr>
              <w:t xml:space="preserve"> R </w:t>
            </w:r>
            <w:proofErr w:type="spellStart"/>
            <w:r w:rsidRPr="00AA54FE">
              <w:rPr>
                <w:rFonts w:ascii="Times New Roman" w:eastAsia="Calibri" w:hAnsi="Times New Roman" w:cs="Times New Roman"/>
                <w:sz w:val="18"/>
                <w:szCs w:val="18"/>
                <w:lang w:eastAsia="en-US"/>
              </w:rPr>
              <w:t>Karnobat</w:t>
            </w:r>
            <w:proofErr w:type="spellEnd"/>
            <w:r w:rsidRPr="00AA54FE">
              <w:rPr>
                <w:rFonts w:ascii="Times New Roman" w:eastAsia="Calibri" w:hAnsi="Times New Roman" w:cs="Times New Roman"/>
                <w:sz w:val="18"/>
                <w:szCs w:val="18"/>
                <w:lang w:eastAsia="en-US"/>
              </w:rPr>
              <w:t xml:space="preserve">“ и файл „КСС </w:t>
            </w:r>
            <w:proofErr w:type="spellStart"/>
            <w:r w:rsidRPr="00AA54FE">
              <w:rPr>
                <w:rFonts w:ascii="Times New Roman" w:eastAsia="Calibri" w:hAnsi="Times New Roman" w:cs="Times New Roman"/>
                <w:sz w:val="18"/>
                <w:szCs w:val="18"/>
                <w:lang w:eastAsia="en-US"/>
              </w:rPr>
              <w:t>ПЗ,подлези</w:t>
            </w:r>
            <w:proofErr w:type="spellEnd"/>
            <w:r w:rsidRPr="00AA54FE">
              <w:rPr>
                <w:rFonts w:ascii="Times New Roman" w:eastAsia="Calibri" w:hAnsi="Times New Roman" w:cs="Times New Roman"/>
                <w:sz w:val="18"/>
                <w:szCs w:val="18"/>
                <w:lang w:eastAsia="en-US"/>
              </w:rPr>
              <w:t xml:space="preserve"> сравнение Карнобат-Червен бряг“ – за определяне стойността на приемно здание Ч. Бряг).</w:t>
            </w:r>
          </w:p>
          <w:p w14:paraId="02C795DA"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3DCC8B1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Адрес на профила на купувача: </w:t>
            </w:r>
          </w:p>
          <w:p w14:paraId="6AFFA780"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https://www.rail-infra.bg/профил-на-купувача/текущи-процедури/?YlvmS1RacnH797zA9WTVFlpL0dmi%2bqX3Z6OXGBhxGmlHuZcK%2buye8e1T%2bYWSFB1j7W8MPEMCQPr1JqUhXYL%2bfQ%3d%3d</w:t>
            </w:r>
          </w:p>
          <w:p w14:paraId="6CC9BD4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Номер в РОП: 00233-2018-0037</w:t>
            </w:r>
          </w:p>
          <w:p w14:paraId="12703115"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Прилагаме КСС за формулиране на стойността, което съдържа индикативни количества, които са изчислени на стойности идентични с ценовото предложение за изпълнение на Договор № 6627/19.11.2019 г. с предмет: „Преустройство на коловозно и стрелково развитие на гара Синдел Разпределителна - част от проект „Удвояване и електрификация на железопътната линия Карнобат-Синдел“ (Прилагаме приложения от 1 до 5 от ценовото предложение на изпълнителя на договора- папка 06_ЦП Синдел и Карнобат)</w:t>
            </w:r>
            <w:r w:rsidRPr="00AA54FE">
              <w:rPr>
                <w:rFonts w:ascii="Times New Roman" w:eastAsia="Calibri" w:hAnsi="Times New Roman" w:cs="Times New Roman"/>
                <w:b/>
                <w:sz w:val="18"/>
                <w:szCs w:val="18"/>
                <w:lang w:eastAsia="en-US"/>
              </w:rPr>
              <w:t>.</w:t>
            </w:r>
          </w:p>
          <w:p w14:paraId="75179AB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color w:val="000000"/>
                <w:sz w:val="18"/>
                <w:szCs w:val="18"/>
                <w:lang w:eastAsia="en-US"/>
              </w:rPr>
              <w:lastRenderedPageBreak/>
              <w:t>Референтен за позиции 7.1 „Възстановяване на подлез за пътници и ЛУ и ЛНП“ и 7.2 „Възстановяване на транспортен подлез“ от КСС е договор №6363/25.01.2019 г., Номер в РОП: 00233-2018-0037</w:t>
            </w:r>
          </w:p>
        </w:tc>
        <w:tc>
          <w:tcPr>
            <w:tcW w:w="1146" w:type="dxa"/>
            <w:vMerge w:val="restart"/>
            <w:tcBorders>
              <w:top w:val="single" w:sz="4" w:space="0" w:color="auto"/>
              <w:left w:val="single" w:sz="4" w:space="0" w:color="auto"/>
              <w:bottom w:val="single" w:sz="8" w:space="0" w:color="000000"/>
              <w:right w:val="single" w:sz="8" w:space="0" w:color="auto"/>
            </w:tcBorders>
            <w:shd w:val="clear" w:color="auto" w:fill="auto"/>
            <w:noWrap/>
            <w:tcMar>
              <w:top w:w="15" w:type="dxa"/>
              <w:left w:w="15" w:type="dxa"/>
              <w:bottom w:w="0" w:type="dxa"/>
              <w:right w:w="15" w:type="dxa"/>
            </w:tcMar>
            <w:vAlign w:val="center"/>
            <w:hideMark/>
          </w:tcPr>
          <w:p w14:paraId="25973F24"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lastRenderedPageBreak/>
              <w:t>25 000 000</w:t>
            </w:r>
          </w:p>
        </w:tc>
      </w:tr>
      <w:tr w:rsidR="00AA54FE" w:rsidRPr="00AA54FE" w14:paraId="4D2B3D21" w14:textId="77777777" w:rsidTr="000D243F">
        <w:trPr>
          <w:gridAfter w:val="1"/>
          <w:wAfter w:w="6" w:type="dxa"/>
          <w:trHeight w:val="1200"/>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5FB30C"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строителен надзор по ЗУТ</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64BB70"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8</w:t>
            </w:r>
            <w:r w:rsidRPr="00AA54FE">
              <w:rPr>
                <w:rFonts w:ascii="Times New Roman" w:eastAsia="Calibri" w:hAnsi="Times New Roman" w:cs="Times New Roman"/>
                <w:color w:val="000000"/>
                <w:sz w:val="18"/>
                <w:szCs w:val="18"/>
                <w:lang w:val="en-US" w:eastAsia="en-US"/>
              </w:rPr>
              <w:t>80 152,49</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7776A0"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Договор № 6620/12.11.2019 г. за "Оценка на съответствието и строителен надзор за обект: "Реконструкция на гаров комплекс Стара Загора" на стойност 410 090 лв. без ДДС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54" w:tgtFrame="_blank" w:history="1">
              <w:r w:rsidRPr="00AA54FE">
                <w:rPr>
                  <w:rFonts w:ascii="Times New Roman" w:eastAsia="Calibri" w:hAnsi="Times New Roman" w:cs="Times New Roman"/>
                  <w:sz w:val="18"/>
                  <w:szCs w:val="18"/>
                  <w:u w:val="single"/>
                  <w:lang w:eastAsia="en-US"/>
                </w:rPr>
                <w:t>00233-2019-0002</w:t>
              </w:r>
            </w:hyperlink>
          </w:p>
          <w:p w14:paraId="1B0EC826"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55" w:history="1">
              <w:r w:rsidRPr="00AA54FE">
                <w:rPr>
                  <w:rFonts w:ascii="Times New Roman" w:eastAsia="Calibri" w:hAnsi="Times New Roman" w:cs="Times New Roman"/>
                  <w:color w:val="0563C1"/>
                  <w:sz w:val="18"/>
                  <w:szCs w:val="18"/>
                  <w:u w:val="single"/>
                  <w:lang w:eastAsia="en-US"/>
                </w:rPr>
                <w:t>https://zop.rail-infra.bg:3737/DocumentList.aspx?SXHmTXofHwAfd6iknHV%2b%2bWtJKC9%2bTe8a</w:t>
              </w:r>
            </w:hyperlink>
          </w:p>
          <w:p w14:paraId="21211321"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56" w:history="1">
              <w:r w:rsidRPr="00AA54FE">
                <w:rPr>
                  <w:rFonts w:ascii="Times New Roman" w:eastAsia="Calibri" w:hAnsi="Times New Roman" w:cs="Times New Roman"/>
                  <w:color w:val="0563C1"/>
                  <w:sz w:val="18"/>
                  <w:szCs w:val="18"/>
                  <w:u w:val="single"/>
                  <w:lang w:eastAsia="en-US"/>
                </w:rPr>
                <w:t>https://www.aop.bg/ng/form.php?mode=view&amp;class=F02_2014&amp;id=887125</w:t>
              </w:r>
            </w:hyperlink>
            <w:r w:rsidRPr="00AA54FE">
              <w:rPr>
                <w:rFonts w:ascii="Times New Roman" w:eastAsia="Calibri" w:hAnsi="Times New Roman" w:cs="Times New Roman"/>
                <w:color w:val="0563C1"/>
                <w:sz w:val="18"/>
                <w:szCs w:val="18"/>
                <w:u w:val="single"/>
                <w:lang w:eastAsia="en-US"/>
              </w:rPr>
              <w:t>,</w:t>
            </w:r>
          </w:p>
          <w:p w14:paraId="0CE78ABE"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или 4,22 % от договора за изпълнение на строителството на обект: „Реконструкция на гаров комплекс Стара Загора“, договор №6582/25.10.2019 г. на стойност 9 726 944,27 лв. без ДДС,</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 УИН на преписката в АОП: </w:t>
            </w:r>
            <w:hyperlink r:id="rId57"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58"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29C265E1"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p>
          <w:p w14:paraId="21CB2DD3"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и Договор № 6653/10.12.2019 г. за "Оценка на съответствието и строителен надзор за обект: "Реконструкция на гаров комплекс Нова Загора" на стойност 109 999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59" w:tgtFrame="_blank" w:history="1">
              <w:r w:rsidRPr="00AA54FE">
                <w:rPr>
                  <w:rFonts w:ascii="Times New Roman" w:eastAsia="Calibri" w:hAnsi="Times New Roman" w:cs="Times New Roman"/>
                  <w:sz w:val="18"/>
                  <w:szCs w:val="18"/>
                  <w:u w:val="single"/>
                  <w:lang w:eastAsia="en-US"/>
                </w:rPr>
                <w:t>00233-2019-0042</w:t>
              </w:r>
            </w:hyperlink>
            <w:r w:rsidRPr="00AA54FE">
              <w:rPr>
                <w:rFonts w:ascii="Times New Roman" w:eastAsia="Calibri" w:hAnsi="Times New Roman" w:cs="Times New Roman"/>
                <w:sz w:val="18"/>
                <w:szCs w:val="18"/>
                <w:u w:val="single"/>
                <w:lang w:eastAsia="en-US"/>
              </w:rPr>
              <w:t xml:space="preserve"> - </w:t>
            </w:r>
            <w:hyperlink r:id="rId60" w:history="1">
              <w:r w:rsidRPr="00AA54FE">
                <w:rPr>
                  <w:rFonts w:ascii="Times New Roman" w:eastAsia="Calibri" w:hAnsi="Times New Roman" w:cs="Times New Roman"/>
                  <w:color w:val="0563C1"/>
                  <w:sz w:val="18"/>
                  <w:szCs w:val="18"/>
                  <w:u w:val="single"/>
                  <w:lang w:eastAsia="en-US"/>
                </w:rPr>
                <w:t>https://zop.rail-infra.bg:3737/DocumentList.aspx?SXHmTXofHwBwkromNcrKf8Y%2f5CsOcY7t</w:t>
              </w:r>
            </w:hyperlink>
            <w:r w:rsidRPr="00AA54FE">
              <w:rPr>
                <w:rFonts w:ascii="Times New Roman" w:eastAsia="Calibri" w:hAnsi="Times New Roman" w:cs="Times New Roman"/>
                <w:sz w:val="18"/>
                <w:szCs w:val="18"/>
                <w:lang w:eastAsia="en-US"/>
              </w:rPr>
              <w:t>,</w:t>
            </w:r>
          </w:p>
          <w:p w14:paraId="0AA9BD44"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 xml:space="preserve">или 4,04 % от договора за изпълнение на строителството на обект: „Реконструкция на гаров комплекс Нова Загора“, договор №11164/24.07.2020 на стойност 2 721 279,00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2CCE835D"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 УИН на преписката в АОП: </w:t>
            </w:r>
            <w:hyperlink r:id="rId61" w:tgtFrame="_blank" w:history="1">
              <w:r w:rsidRPr="00AA54FE">
                <w:rPr>
                  <w:rFonts w:ascii="Times New Roman" w:eastAsia="Calibri" w:hAnsi="Times New Roman" w:cs="Times New Roman"/>
                  <w:sz w:val="18"/>
                  <w:szCs w:val="18"/>
                  <w:lang w:eastAsia="en-US"/>
                </w:rPr>
                <w:t>00233-2019-0084</w:t>
              </w:r>
            </w:hyperlink>
          </w:p>
          <w:p w14:paraId="09926054" w14:textId="77777777" w:rsidR="00AA54FE" w:rsidRPr="00AA54FE" w:rsidRDefault="00AA54FE" w:rsidP="00AA54FE">
            <w:pPr>
              <w:spacing w:line="259" w:lineRule="auto"/>
              <w:rPr>
                <w:rFonts w:ascii="Calibri" w:eastAsia="Calibri" w:hAnsi="Calibri" w:cs="Times New Roman"/>
                <w:color w:val="0563C1"/>
                <w:u w:val="single"/>
                <w:lang w:eastAsia="en-US"/>
              </w:rPr>
            </w:pPr>
            <w:hyperlink r:id="rId62"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4F862C50" w14:textId="77777777" w:rsidR="00AA54FE" w:rsidRPr="00AA54FE" w:rsidRDefault="00AA54FE" w:rsidP="00AA54FE">
            <w:pPr>
              <w:spacing w:line="259" w:lineRule="auto"/>
              <w:rPr>
                <w:rFonts w:ascii="Times New Roman" w:eastAsia="Calibri" w:hAnsi="Times New Roman" w:cs="Times New Roman"/>
                <w:sz w:val="18"/>
                <w:szCs w:val="18"/>
                <w:lang w:eastAsia="en-US"/>
              </w:rPr>
            </w:pPr>
          </w:p>
          <w:p w14:paraId="695EE2E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Средноаритметично се получава 4,13 % ((4,22+4,04)/2=4,13%), като за нуждите на определяне на индикативната стойност е взет закръглено 4% от договорите за изпълнение на съответното строителството. </w:t>
            </w:r>
          </w:p>
          <w:p w14:paraId="7834DDE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1F3233D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Дейностите в договорите, посочени като референтни включват:</w:t>
            </w:r>
          </w:p>
          <w:p w14:paraId="63FBDD9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-Извършване оценка съответствието на Техническия проект, изготвяне на доклад за оценка съответствието, дейности по съгласуване и одобряване на проекта във фаза работно проектиране</w:t>
            </w:r>
          </w:p>
          <w:p w14:paraId="5070571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Упражняване на строителен надзор, изготвяне на окончателен доклад и дейности по въвеждане на обекта в експлоатация</w:t>
            </w:r>
          </w:p>
          <w:p w14:paraId="00CB30B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Координиране и контрол по изпълнението на договора за проектиране и строителство</w:t>
            </w:r>
          </w:p>
          <w:p w14:paraId="0E19421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Актуализация и изготвяне на технически паспорт.</w:t>
            </w:r>
          </w:p>
          <w:p w14:paraId="7A08284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25FDB6D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Обемът на дейностите и стойността на договорите за строителен надзор/консултант са пряко свързани с обема и обхвата, съответно - стойността на договорите за строителство, като за целите на определяне на индикативна стойност са представени сключени действащи договори от аналогично естество и обхват на дейности.</w:t>
            </w:r>
          </w:p>
          <w:p w14:paraId="115C618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Предвидените услуги, които ще бъдат възложени на консултанта са с идентичен предмет, обем и срокове, както посочените по-горе два договора. Те са възложени скоро и са достоверен източник/аналог за определяне на индикативната стойност на обществената поръчка/договор. </w:t>
            </w:r>
          </w:p>
          <w:p w14:paraId="201712F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 </w:t>
            </w:r>
          </w:p>
          <w:p w14:paraId="303FAF80"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Дейностите, заложени за изпълнение в обхвата на консултанта в настоящата процедура, както и в посочените по-горе два договора (за гарови комплекси Стара Загора и Нова Загора) обхващат оценка на проектирането и координиране и контрол по изпълнението на договора за проектиране и строителство, които по същество отговарят на общите условия на </w:t>
            </w:r>
            <w:r w:rsidRPr="00AA54FE">
              <w:rPr>
                <w:rFonts w:ascii="Times New Roman" w:eastAsia="Calibri" w:hAnsi="Times New Roman" w:cs="Times New Roman"/>
                <w:sz w:val="18"/>
                <w:szCs w:val="18"/>
                <w:lang w:val="en-US" w:eastAsia="en-US"/>
              </w:rPr>
              <w:t>FIDIC</w:t>
            </w:r>
            <w:r w:rsidRPr="00AA54FE">
              <w:rPr>
                <w:rFonts w:ascii="Times New Roman" w:eastAsia="Calibri" w:hAnsi="Times New Roman" w:cs="Times New Roman"/>
                <w:sz w:val="18"/>
                <w:szCs w:val="18"/>
                <w:lang w:eastAsia="en-US"/>
              </w:rPr>
              <w:t>. Следва да се има предвид, че на фаза подготовка на проектите няма заложени дейности за техническо проектиране.</w:t>
            </w:r>
            <w:r w:rsidRPr="00AA54FE">
              <w:rPr>
                <w:rFonts w:ascii="Times New Roman" w:eastAsia="Calibri" w:hAnsi="Times New Roman" w:cs="Times New Roman"/>
                <w:b/>
                <w:sz w:val="18"/>
                <w:szCs w:val="18"/>
                <w:lang w:eastAsia="en-US"/>
              </w:rPr>
              <w:t xml:space="preserve"> При </w:t>
            </w:r>
            <w:r w:rsidRPr="00AA54FE">
              <w:rPr>
                <w:rFonts w:ascii="Times New Roman" w:eastAsia="Calibri" w:hAnsi="Times New Roman" w:cs="Times New Roman"/>
                <w:b/>
                <w:sz w:val="18"/>
                <w:szCs w:val="18"/>
                <w:lang w:eastAsia="en-US"/>
              </w:rPr>
              <w:lastRenderedPageBreak/>
              <w:t>изчисляването е взет референтната стойност от 4% от стойността на договора за строителство.</w:t>
            </w:r>
          </w:p>
          <w:p w14:paraId="163CA19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2F0EBF8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съответствието и упражняване на строителен надзор по ЗУТ.</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63D7141B"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34EC9305" w14:textId="77777777" w:rsidTr="000D243F">
        <w:trPr>
          <w:gridAfter w:val="1"/>
          <w:wAfter w:w="6" w:type="dxa"/>
          <w:trHeight w:val="543"/>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D4F55B"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подготовка на обекта</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D559C9"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30</w:t>
            </w:r>
            <w:r w:rsidRPr="00AA54FE">
              <w:rPr>
                <w:rFonts w:ascii="Times New Roman" w:eastAsia="Calibri" w:hAnsi="Times New Roman" w:cs="Times New Roman"/>
                <w:color w:val="000000"/>
                <w:sz w:val="18"/>
                <w:szCs w:val="18"/>
                <w:lang w:val="en-US" w:eastAsia="en-US"/>
              </w:rPr>
              <w:t>8 053,37</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E2309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Референтните договори, които съответстват по обхват и обем на работа за настоящия договор са:</w:t>
            </w:r>
          </w:p>
          <w:p w14:paraId="516DD529"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 5864/ 11.09.2017 г. за "Проучване и изготвяне на идеен проект за Реконструкция на гаров комплекс Стара Загора" на стойност 117 340 лв. без ДДС </w:t>
            </w:r>
          </w:p>
          <w:p w14:paraId="7D975F5B"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 xml:space="preserve">Или 1,21 % от договора за изпълнение на строителството на обект: „Реконструкция на гаров комплекс Стара Загора“, договор №6582/25.10.2019 г. на стойност 9 726 944,27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3332219E"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 УИН на преписката в АОП: </w:t>
            </w:r>
            <w:hyperlink r:id="rId63"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64"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2540721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 </w:t>
            </w:r>
          </w:p>
          <w:p w14:paraId="34664921"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 5939/08.12.2017 г. за "Проучване и изготвяне на идеен проект за Реконструкция на гаров комплекс Нова Загора"  за 45 270 лв. без ДДС, представляващи 1,66 % от договора за изпълнение на строителството на обект: „Реконструкция на гаров комплекс Нова Загора“, договор №11164/24.07.2020 на стойност 2 721 279,00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65" w:tgtFrame="_blank" w:history="1">
              <w:r w:rsidRPr="00AA54FE">
                <w:rPr>
                  <w:rFonts w:ascii="Times New Roman" w:eastAsia="Calibri" w:hAnsi="Times New Roman" w:cs="Times New Roman"/>
                  <w:sz w:val="18"/>
                  <w:szCs w:val="18"/>
                  <w:lang w:eastAsia="en-US"/>
                </w:rPr>
                <w:t>00233-2019-0084</w:t>
              </w:r>
            </w:hyperlink>
          </w:p>
          <w:p w14:paraId="5310503A" w14:textId="77777777" w:rsidR="00AA54FE" w:rsidRPr="00AA54FE" w:rsidRDefault="00AA54FE" w:rsidP="00AA54FE">
            <w:pPr>
              <w:spacing w:line="259" w:lineRule="auto"/>
              <w:rPr>
                <w:rFonts w:ascii="Calibri" w:eastAsia="Calibri" w:hAnsi="Calibri" w:cs="Times New Roman"/>
                <w:color w:val="0563C1"/>
                <w:u w:val="single"/>
                <w:lang w:eastAsia="en-US"/>
              </w:rPr>
            </w:pPr>
            <w:hyperlink r:id="rId66"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33E2A7B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за подготовка на гарови комплекси Стара Загора и Нова Загора в АОП:</w:t>
            </w:r>
            <w:r w:rsidRPr="00AA54FE">
              <w:rPr>
                <w:rFonts w:ascii="Times New Roman" w:eastAsia="Calibri" w:hAnsi="Times New Roman" w:cs="Times New Roman"/>
                <w:sz w:val="18"/>
                <w:szCs w:val="18"/>
                <w:shd w:val="clear" w:color="auto" w:fill="FFFFFF"/>
                <w:lang w:eastAsia="en-US"/>
              </w:rPr>
              <w:t xml:space="preserve">  </w:t>
            </w:r>
            <w:hyperlink r:id="rId67" w:tgtFrame="_blank" w:history="1">
              <w:r w:rsidRPr="00AA54FE">
                <w:rPr>
                  <w:rFonts w:ascii="Times New Roman" w:eastAsia="Calibri" w:hAnsi="Times New Roman" w:cs="Times New Roman"/>
                  <w:sz w:val="18"/>
                  <w:szCs w:val="18"/>
                  <w:u w:val="single"/>
                  <w:lang w:eastAsia="en-US"/>
                </w:rPr>
                <w:t>00233-2017-0002</w:t>
              </w:r>
            </w:hyperlink>
          </w:p>
          <w:p w14:paraId="1949383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hyperlink r:id="rId68" w:history="1">
              <w:r w:rsidRPr="00AA54FE">
                <w:rPr>
                  <w:rFonts w:ascii="Times New Roman" w:eastAsia="Calibri" w:hAnsi="Times New Roman" w:cs="Times New Roman"/>
                  <w:color w:val="0563C1"/>
                  <w:sz w:val="18"/>
                  <w:szCs w:val="18"/>
                  <w:u w:val="single"/>
                  <w:lang w:eastAsia="en-US"/>
                </w:rPr>
                <w:t>https://zop.rail-infra.bg:3737/DocumentList.aspx?SXHmTXofHwDaN5bKPjMcXw%3d%3d</w:t>
              </w:r>
            </w:hyperlink>
            <w:r w:rsidRPr="00AA54FE">
              <w:rPr>
                <w:rFonts w:ascii="Times New Roman" w:eastAsia="Calibri" w:hAnsi="Times New Roman" w:cs="Times New Roman"/>
                <w:sz w:val="18"/>
                <w:szCs w:val="18"/>
                <w:lang w:eastAsia="en-US"/>
              </w:rPr>
              <w:t xml:space="preserve"> </w:t>
            </w:r>
          </w:p>
          <w:p w14:paraId="28FDEE1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Средноаритметичната индикативен коефициент е 1,43% - ((1,23+1,66)/2=1,43%) или около 1,4 % за нуждите на определяне на индикативната стойност на договора.</w:t>
            </w:r>
          </w:p>
          <w:p w14:paraId="30A4DCD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Дейностите включени в договорите посочени като референтни съответстват на настоящия договор и включват:</w:t>
            </w:r>
          </w:p>
          <w:p w14:paraId="3FB8620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Заснемане и доклади от обследване;</w:t>
            </w:r>
          </w:p>
          <w:p w14:paraId="1F952BB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Конструктивна експертиза;</w:t>
            </w:r>
          </w:p>
          <w:p w14:paraId="38BAD36A"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Технически паспорти;</w:t>
            </w:r>
          </w:p>
          <w:p w14:paraId="724D4B5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Изготвяне на идеен проект за обекта, включително технически спецификации за възлагане на инженеринг;</w:t>
            </w:r>
          </w:p>
          <w:p w14:paraId="1A51486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Получена преценка за необходимостта от ОВОС и при необходимост задание за ОВОС.</w:t>
            </w:r>
          </w:p>
          <w:p w14:paraId="3B52E5E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764A3331"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Обемът на дейностите и стойността на договорите за подготовка на обекта са пряко свързани с обема и обхвата, съответно - стойността на договорите за строителство. За целите на определяне на индикативната стойност на договора се използват средноаритметичната относителна стойност на сключените договори за аналогични по обхват и обем договори за подготовка на сходни по обхват проекти. </w:t>
            </w:r>
            <w:r w:rsidRPr="00AA54FE">
              <w:rPr>
                <w:rFonts w:ascii="Times New Roman" w:eastAsia="Calibri" w:hAnsi="Times New Roman" w:cs="Times New Roman"/>
                <w:b/>
                <w:sz w:val="18"/>
                <w:szCs w:val="18"/>
                <w:lang w:eastAsia="en-US"/>
              </w:rPr>
              <w:t>При изчисляването на индикативната стойност е взета референтната стойност от 1,4 % от индикативната стойност на договора за СМР.</w:t>
            </w:r>
          </w:p>
          <w:p w14:paraId="179AD71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2A3948D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подготовка на проекта.</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72AB691E"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0D9D8565" w14:textId="77777777" w:rsidTr="000D243F">
        <w:trPr>
          <w:gridAfter w:val="1"/>
          <w:wAfter w:w="6" w:type="dxa"/>
          <w:trHeight w:val="915"/>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D0E8AD"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Оценка ТСОС</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7B2816"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46</w:t>
            </w:r>
            <w:r w:rsidRPr="00AA54FE">
              <w:rPr>
                <w:rFonts w:ascii="Times New Roman" w:eastAsia="Calibri" w:hAnsi="Times New Roman" w:cs="Times New Roman"/>
                <w:color w:val="000000"/>
                <w:sz w:val="18"/>
                <w:szCs w:val="18"/>
                <w:lang w:val="en-US" w:eastAsia="en-US"/>
              </w:rPr>
              <w:t>2 080,06</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BDBBE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Обемът на дейностите и стойността на договора за консултант са пряко свързани с обхвата и стойността на договорите за строителство, като за целите на определяне на индикативната стойност са използвани действащи договори.  </w:t>
            </w:r>
          </w:p>
          <w:p w14:paraId="27DEFDB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референтни са приети два договора, които се изпълняват в момента.</w:t>
            </w:r>
          </w:p>
          <w:p w14:paraId="30B90D8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Договор №6369/29.01.2019 г. за "Оценка на съответствието с изискванията за оперативна съвместимост на проект за реконструкция на гаров комплекс Стара Загора" на стойност 249 307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без ДДС, </w:t>
            </w:r>
            <w:r w:rsidRPr="00AA54FE">
              <w:rPr>
                <w:rFonts w:ascii="Times New Roman" w:eastAsia="Calibri" w:hAnsi="Times New Roman" w:cs="Times New Roman"/>
                <w:sz w:val="18"/>
                <w:szCs w:val="18"/>
                <w:u w:val="single"/>
                <w:lang w:eastAsia="en-US"/>
              </w:rPr>
              <w:t xml:space="preserve">част от проект "Реконструкция на гарови комплекси </w:t>
            </w:r>
            <w:r w:rsidRPr="00AA54FE">
              <w:rPr>
                <w:rFonts w:ascii="Times New Roman" w:eastAsia="Calibri" w:hAnsi="Times New Roman" w:cs="Times New Roman"/>
                <w:sz w:val="18"/>
                <w:szCs w:val="18"/>
                <w:u w:val="single"/>
                <w:lang w:eastAsia="en-US"/>
              </w:rPr>
              <w:lastRenderedPageBreak/>
              <w:t>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69" w:tgtFrame="_blank" w:history="1">
              <w:r w:rsidRPr="00AA54FE">
                <w:rPr>
                  <w:rFonts w:ascii="Times New Roman" w:eastAsia="Calibri" w:hAnsi="Times New Roman" w:cs="Times New Roman"/>
                  <w:sz w:val="18"/>
                  <w:szCs w:val="18"/>
                  <w:u w:val="single"/>
                  <w:lang w:eastAsia="en-US"/>
                </w:rPr>
                <w:t>00233-2018-0065</w:t>
              </w:r>
            </w:hyperlink>
            <w:r w:rsidRPr="00AA54FE">
              <w:rPr>
                <w:rFonts w:ascii="Times New Roman" w:eastAsia="Calibri" w:hAnsi="Times New Roman" w:cs="Times New Roman"/>
                <w:sz w:val="18"/>
                <w:szCs w:val="18"/>
                <w:u w:val="single"/>
                <w:lang w:eastAsia="en-US"/>
              </w:rPr>
              <w:t xml:space="preserve">, </w:t>
            </w:r>
            <w:r w:rsidRPr="00AA54FE">
              <w:rPr>
                <w:rFonts w:ascii="Times New Roman" w:eastAsia="Calibri" w:hAnsi="Times New Roman" w:cs="Times New Roman"/>
                <w:sz w:val="18"/>
                <w:szCs w:val="18"/>
                <w:lang w:eastAsia="en-US"/>
              </w:rPr>
              <w:t>обособена позиция № 4,</w:t>
            </w:r>
          </w:p>
          <w:p w14:paraId="4649EEE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1D5E15F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hyperlink r:id="rId70" w:history="1">
              <w:r w:rsidRPr="00AA54FE">
                <w:rPr>
                  <w:rFonts w:ascii="Times New Roman" w:eastAsia="Calibri" w:hAnsi="Times New Roman" w:cs="Times New Roman"/>
                  <w:color w:val="0563C1"/>
                  <w:sz w:val="18"/>
                  <w:szCs w:val="18"/>
                  <w:u w:val="single"/>
                  <w:lang w:eastAsia="en-US"/>
                </w:rPr>
                <w:t>https://zop.rail-infra.bg:3737/BuyerProfile/Contract/id_1046/ОП%204-6369_Redacted.pdf</w:t>
              </w:r>
            </w:hyperlink>
            <w:r w:rsidRPr="00AA54FE">
              <w:rPr>
                <w:rFonts w:ascii="Times New Roman" w:eastAsia="Calibri" w:hAnsi="Times New Roman" w:cs="Times New Roman"/>
                <w:sz w:val="18"/>
                <w:szCs w:val="18"/>
                <w:lang w:eastAsia="en-US"/>
              </w:rPr>
              <w:t xml:space="preserve"> </w:t>
            </w:r>
          </w:p>
          <w:p w14:paraId="3D7D719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107C2F16"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71"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https://www.rail-infra.bg/профил-на-купувача/текущи-процедури/?YlvmS1RacnH797zA9WTVFlpL0dmi%2bqX3Z6OXGBhxGmlHuZcK%2buye8e1T%2bYWSFB1j7W8MPEMCQPqmSmhjzpdAKg%3d%3d</w:t>
              </w:r>
            </w:hyperlink>
          </w:p>
          <w:p w14:paraId="0727286D"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или 2,56 % от договора за изпълнение на строителството на обект: „Реконструкция на гаров комплекс Стара Загора“, договор №6582/25.10.2019 г. на стойност 9 726 944,27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72"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73"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0446916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 </w:t>
            </w:r>
          </w:p>
          <w:p w14:paraId="2243D70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Договор №6354/15.01.2019 г. за "Оценка на съответствието с изискванията за оперативна съвместимост на проект за реконструкция на гаров комплекс Нова Загора" на стойност 44 858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без ДДС,</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1F9E235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74" w:tgtFrame="_blank" w:history="1">
              <w:r w:rsidRPr="00AA54FE">
                <w:rPr>
                  <w:rFonts w:ascii="Times New Roman" w:eastAsia="Calibri" w:hAnsi="Times New Roman" w:cs="Times New Roman"/>
                  <w:sz w:val="18"/>
                  <w:szCs w:val="18"/>
                  <w:u w:val="single"/>
                  <w:lang w:eastAsia="en-US"/>
                </w:rPr>
                <w:t>00233-2018-0065</w:t>
              </w:r>
            </w:hyperlink>
            <w:r w:rsidRPr="00AA54FE">
              <w:rPr>
                <w:rFonts w:ascii="Times New Roman" w:eastAsia="Calibri" w:hAnsi="Times New Roman" w:cs="Times New Roman"/>
                <w:sz w:val="18"/>
                <w:szCs w:val="18"/>
                <w:u w:val="single"/>
                <w:lang w:eastAsia="en-US"/>
              </w:rPr>
              <w:t xml:space="preserve">, </w:t>
            </w:r>
            <w:r w:rsidRPr="00AA54FE">
              <w:rPr>
                <w:rFonts w:ascii="Times New Roman" w:eastAsia="Calibri" w:hAnsi="Times New Roman" w:cs="Times New Roman"/>
                <w:sz w:val="18"/>
                <w:szCs w:val="18"/>
                <w:lang w:eastAsia="en-US"/>
              </w:rPr>
              <w:t>обособена позиция № 5</w:t>
            </w:r>
            <w:r w:rsidRPr="00AA54FE">
              <w:rPr>
                <w:rFonts w:ascii="Times New Roman" w:eastAsia="Calibri" w:hAnsi="Times New Roman" w:cs="Times New Roman"/>
                <w:sz w:val="18"/>
                <w:szCs w:val="18"/>
                <w:u w:val="single"/>
                <w:lang w:eastAsia="en-US"/>
              </w:rPr>
              <w:t>,</w:t>
            </w:r>
          </w:p>
          <w:p w14:paraId="10BF29C9"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75" w:history="1">
              <w:r w:rsidRPr="00AA54FE">
                <w:rPr>
                  <w:rFonts w:ascii="Times New Roman" w:eastAsia="Calibri" w:hAnsi="Times New Roman" w:cs="Times New Roman"/>
                  <w:color w:val="0563C1"/>
                  <w:sz w:val="18"/>
                  <w:szCs w:val="18"/>
                  <w:u w:val="single"/>
                  <w:lang w:eastAsia="en-US"/>
                </w:rPr>
                <w:t>https://zop.rail-infra.bg:3737/DocumentList.aspx?SXHmTXofHwCkfKl9g%2fXf2%2b2jUA9GZi7O</w:t>
              </w:r>
            </w:hyperlink>
            <w:r w:rsidRPr="00AA54FE">
              <w:rPr>
                <w:rFonts w:ascii="Times New Roman" w:eastAsia="Calibri" w:hAnsi="Times New Roman" w:cs="Times New Roman"/>
                <w:sz w:val="18"/>
                <w:szCs w:val="18"/>
                <w:lang w:eastAsia="en-US"/>
              </w:rPr>
              <w:t xml:space="preserve"> </w:t>
            </w:r>
          </w:p>
          <w:p w14:paraId="10B2C1B0"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или 1,65 % от договора за изпълнение на строителството на обект: „Реконструкция на гаров комплекс Нова Загора“, договор №11164/24.07.2020 на стойност 2 721 279,00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76" w:tgtFrame="_blank" w:history="1">
              <w:r w:rsidRPr="00AA54FE">
                <w:rPr>
                  <w:rFonts w:ascii="Times New Roman" w:eastAsia="Calibri" w:hAnsi="Times New Roman" w:cs="Times New Roman"/>
                  <w:sz w:val="18"/>
                  <w:szCs w:val="18"/>
                  <w:lang w:eastAsia="en-US"/>
                </w:rPr>
                <w:t>00233-2019-0084</w:t>
              </w:r>
            </w:hyperlink>
          </w:p>
          <w:p w14:paraId="34BD4339"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77"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5BC8A3B8" w14:textId="77777777" w:rsidR="00AA54FE" w:rsidRPr="00AA54FE" w:rsidRDefault="00AA54FE" w:rsidP="00AA54FE">
            <w:pPr>
              <w:spacing w:line="259" w:lineRule="auto"/>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Получената средноаритметична стойност – (2,56 + 1,65)/2 = </w:t>
            </w:r>
            <w:r w:rsidRPr="00AA54FE">
              <w:rPr>
                <w:rFonts w:ascii="Times New Roman" w:eastAsia="Calibri" w:hAnsi="Times New Roman" w:cs="Times New Roman"/>
                <w:b/>
                <w:sz w:val="18"/>
                <w:szCs w:val="18"/>
                <w:lang w:eastAsia="en-US"/>
              </w:rPr>
              <w:t>2,1 % е използвана за определяне на индикативната стойност на договора за оценка на съвместимостта ТСОС за обекта.</w:t>
            </w:r>
          </w:p>
          <w:p w14:paraId="3B3DA4A8" w14:textId="77777777" w:rsidR="00AA54FE" w:rsidRPr="00AA54FE" w:rsidRDefault="00AA54FE" w:rsidP="00AA54FE">
            <w:pPr>
              <w:spacing w:line="259" w:lineRule="auto"/>
              <w:rPr>
                <w:rFonts w:ascii="Times New Roman" w:eastAsia="Calibri" w:hAnsi="Times New Roman" w:cs="Times New Roman"/>
                <w:sz w:val="18"/>
                <w:szCs w:val="18"/>
                <w:lang w:eastAsia="en-US"/>
              </w:rPr>
            </w:pPr>
          </w:p>
          <w:p w14:paraId="46E2A09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Обхватите на строителните договорите за реконструкция на гарови комплекси Стара Загора и Нова Загора могат с необходимата увереност да се използват като референтни за определяне на индикативна стойност на договорите за оценка за оперативна съвместимост. И двата договора включват извършването на дейности по железопътната инфраструктура (Приемното здание на гари Стара Загора и Нова Загора и околното пространство също са част от разглежданата инфраструктура), които подлежат на задължителна оценка за оперативна съвместимост на железопътната инфраструктура в рамките на ЕС - Директива 2008/57/ЕО, която е транспонирана в българското законодателство в Закона за железопътния транспорт и Наредба № 57 от 09.06.2004 г. На такава оценка подлежи и железопътната инфраструктура на проекта за гаров комплекс Червен бряг, която в идеен план съдържа железния път, сигнализацията и електрификацията на гарата, пероните, приемното здание, околното пространство на гаровия комплекс и преминаването под пероните. </w:t>
            </w:r>
          </w:p>
          <w:p w14:paraId="7F36A4DA"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Точно коя подсистема и коя ТСОС (техническа спецификация за оперативна съвместимост) ще се засегне може със сигурност да се каже чак във фазата на техническото проектиране и това е точно задължение на консултанта, който ще бъде избран с тази обществена поръчка. </w:t>
            </w:r>
          </w:p>
          <w:p w14:paraId="6E5F38A7"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Дейностите по проект „Изграждане на гаров комплекс Червен бряг“ също ще имат за цел да осигурят безпрепятствен маршрут и достъп на Лица в неравностойно положение (ЛНП) в зоната на гаровия комплекс. Ще бъде засегната и ТСОС „Инфраструктура“, както е в проекта за реконструкция на гаров комплекс Нова Загора, може и други, но крайната оценка е на </w:t>
            </w:r>
            <w:proofErr w:type="spellStart"/>
            <w:r w:rsidRPr="00AA54FE">
              <w:rPr>
                <w:rFonts w:ascii="Times New Roman" w:eastAsia="Calibri" w:hAnsi="Times New Roman" w:cs="Times New Roman"/>
                <w:sz w:val="18"/>
                <w:szCs w:val="18"/>
                <w:lang w:eastAsia="en-US"/>
              </w:rPr>
              <w:t>Нотифициращия</w:t>
            </w:r>
            <w:proofErr w:type="spellEnd"/>
            <w:r w:rsidRPr="00AA54FE">
              <w:rPr>
                <w:rFonts w:ascii="Times New Roman" w:eastAsia="Calibri" w:hAnsi="Times New Roman" w:cs="Times New Roman"/>
                <w:sz w:val="18"/>
                <w:szCs w:val="18"/>
                <w:lang w:eastAsia="en-US"/>
              </w:rPr>
              <w:t xml:space="preserve"> орган (Консултантът, който ще бъде избран с настоящата обществена поръчка).</w:t>
            </w:r>
          </w:p>
          <w:p w14:paraId="560D4971"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Консултантът (</w:t>
            </w:r>
            <w:proofErr w:type="spellStart"/>
            <w:r w:rsidRPr="00AA54FE">
              <w:rPr>
                <w:rFonts w:ascii="Times New Roman" w:eastAsia="Calibri" w:hAnsi="Times New Roman" w:cs="Times New Roman"/>
                <w:sz w:val="18"/>
                <w:szCs w:val="18"/>
                <w:lang w:val="en-US" w:eastAsia="en-US"/>
              </w:rPr>
              <w:t>NoBo</w:t>
            </w:r>
            <w:proofErr w:type="spellEnd"/>
            <w:r w:rsidRPr="00AA54FE">
              <w:rPr>
                <w:rFonts w:ascii="Times New Roman" w:eastAsia="Calibri" w:hAnsi="Times New Roman" w:cs="Times New Roman"/>
                <w:sz w:val="18"/>
                <w:szCs w:val="18"/>
                <w:lang w:eastAsia="en-US"/>
              </w:rPr>
              <w:t>) по настоящия проект ще изпълни идентични видове дейности, както посочените като референтни договори, които включват:</w:t>
            </w:r>
          </w:p>
          <w:p w14:paraId="56C747B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Доклад за оценка на съответствието на проекта с изискванията на ТСОС.</w:t>
            </w:r>
          </w:p>
          <w:p w14:paraId="3618401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Доклад за съответствието със съществените изисквания за оперативна съвместимост за етапите на проектиране, строителство и окончателно тестване на подсистемата.</w:t>
            </w:r>
          </w:p>
          <w:p w14:paraId="5B601DD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 „ЕО сертификат за проверка“ по отношение на ТСОС.</w:t>
            </w:r>
          </w:p>
          <w:p w14:paraId="1166306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Техническо досие по отношение на ТСОС.</w:t>
            </w:r>
          </w:p>
          <w:p w14:paraId="185CA59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Окончателен доклад.</w:t>
            </w:r>
          </w:p>
          <w:p w14:paraId="354912C1"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b/>
                <w:sz w:val="18"/>
                <w:szCs w:val="18"/>
                <w:lang w:eastAsia="en-US"/>
              </w:rPr>
              <w:t>При изчисляването на индикативната стойност е взета референтната стойност от 2,11 % от индикативната стойност на договора за СМР.</w:t>
            </w:r>
          </w:p>
          <w:p w14:paraId="4F6156D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оперативната съвместимост с железопътната система на ЕС.</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644D896A"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7392D995" w14:textId="77777777" w:rsidTr="000D243F">
        <w:trPr>
          <w:gridAfter w:val="1"/>
          <w:wAfter w:w="6" w:type="dxa"/>
          <w:trHeight w:val="840"/>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133E05"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lastRenderedPageBreak/>
              <w:t>Договор Оценка Риск</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3F26D9"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39 </w:t>
            </w:r>
            <w:r w:rsidRPr="00AA54FE">
              <w:rPr>
                <w:rFonts w:ascii="Times New Roman" w:eastAsia="Calibri" w:hAnsi="Times New Roman" w:cs="Times New Roman"/>
                <w:color w:val="000000"/>
                <w:sz w:val="18"/>
                <w:szCs w:val="18"/>
                <w:lang w:val="en-US" w:eastAsia="en-US"/>
              </w:rPr>
              <w:t>606,86</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C2355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Стойността на договора за консултант за тази услуга са свързани в по-голямата си част с обхвата на договора за строителство и в по-малка степен от стойността на строителството (проектиране и строителство). Това е така, защото независимо от стойността на СМР, процедурата при един обект (гаров комплекс) е идентична. </w:t>
            </w:r>
          </w:p>
          <w:p w14:paraId="3286052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Процедурата по независима оценка на пригодността на прилагането на процедурата за управление на риска е задължителна процедура за издаване на разрешение за ползване по ЗЖТ. Тя е част от законодателството свързано със съвместимостта на железопътната инфраструктура в рамките на ЕС.</w:t>
            </w:r>
          </w:p>
          <w:p w14:paraId="5A80973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За целите на определяне на индикативната стойност на поръчката може да се използва смесен подход. </w:t>
            </w:r>
          </w:p>
          <w:p w14:paraId="1236D27C" w14:textId="77777777" w:rsidR="00AA54FE" w:rsidRPr="00AA54FE" w:rsidRDefault="00AA54FE" w:rsidP="00AA54FE">
            <w:pPr>
              <w:numPr>
                <w:ilvl w:val="0"/>
                <w:numId w:val="18"/>
              </w:numPr>
              <w:spacing w:after="160"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 първата си част се използва относителна стойност към СМР. За определянето и се взимат три референтни действащи договора.</w:t>
            </w:r>
          </w:p>
          <w:p w14:paraId="5C3591EC"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Договор №6462/30.05.2019 г. с предмет: „Независима оценка на пригодността на прилагането на процедурата за управление на риска на проект за реконструкция на гаров комплекс Карнобат“ на стойност 31 830 лв. без ДДС част от проект "Реконструкция на гаров комплекс Карнобат", финансиран по Оперативна програма „Транспорт и транспортна инфраструктура“ 2014 – 2020 (4 142 125 лв. договор за СМР </w:t>
            </w:r>
            <w:r w:rsidRPr="00AA54FE">
              <w:rPr>
                <w:rFonts w:ascii="Calibri" w:eastAsia="Calibri" w:hAnsi="Calibri" w:cs="Times New Roman"/>
                <w:color w:val="0563C1"/>
                <w:u w:val="single"/>
                <w:lang w:eastAsia="en-US"/>
              </w:rPr>
              <w:t xml:space="preserve">- </w:t>
            </w:r>
            <w:r w:rsidRPr="00AA54FE">
              <w:rPr>
                <w:rFonts w:ascii="Times New Roman" w:eastAsia="Calibri" w:hAnsi="Times New Roman" w:cs="Times New Roman"/>
                <w:color w:val="0563C1"/>
                <w:sz w:val="18"/>
                <w:szCs w:val="18"/>
                <w:u w:val="single"/>
                <w:lang w:eastAsia="en-US"/>
              </w:rPr>
              <w:t>УИН на преписката в АОП:  </w:t>
            </w:r>
            <w:hyperlink r:id="rId78" w:tgtFrame="_blank" w:history="1">
              <w:r w:rsidRPr="00AA54FE">
                <w:rPr>
                  <w:rFonts w:ascii="Times New Roman" w:eastAsia="Calibri" w:hAnsi="Times New Roman" w:cs="Times New Roman"/>
                  <w:color w:val="0563C1"/>
                  <w:sz w:val="18"/>
                  <w:szCs w:val="18"/>
                  <w:u w:val="single"/>
                  <w:lang w:eastAsia="en-US"/>
                </w:rPr>
                <w:t>00233-2018-0037</w:t>
              </w:r>
            </w:hyperlink>
            <w:r w:rsidRPr="00AA54FE">
              <w:rPr>
                <w:rFonts w:ascii="Times New Roman" w:eastAsia="Calibri" w:hAnsi="Times New Roman" w:cs="Times New Roman"/>
                <w:color w:val="0563C1"/>
                <w:sz w:val="18"/>
                <w:szCs w:val="18"/>
                <w:u w:val="single"/>
                <w:lang w:eastAsia="en-US"/>
              </w:rPr>
              <w:t xml:space="preserve"> - </w:t>
            </w:r>
            <w:hyperlink r:id="rId79"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https://www.rail-infra.bg/профил-на-купувача/текущи-процедури/?YlvmS1RacnH797zA9WTVFlpL0dmi%2bqX3Z6OXGBhxGmlHuZcK%2buye8e1T%2bYWSFB1j7W8MPEMCQPr1JqUhXYL%2bfQ%3d%3d</w:t>
              </w:r>
            </w:hyperlink>
            <w:r w:rsidRPr="00AA54FE">
              <w:rPr>
                <w:rFonts w:ascii="Calibri" w:eastAsia="Calibri" w:hAnsi="Calibri" w:cs="Times New Roman"/>
                <w:color w:val="0563C1"/>
                <w:u w:val="single"/>
                <w:lang w:eastAsia="en-US"/>
              </w:rPr>
              <w:t>).</w:t>
            </w:r>
            <w:r w:rsidRPr="00AA54FE">
              <w:rPr>
                <w:rFonts w:ascii="Times New Roman" w:eastAsia="Calibri" w:hAnsi="Times New Roman" w:cs="Times New Roman"/>
                <w:sz w:val="18"/>
                <w:szCs w:val="18"/>
                <w:lang w:eastAsia="en-US"/>
              </w:rPr>
              <w:t xml:space="preserve"> </w:t>
            </w:r>
          </w:p>
          <w:p w14:paraId="0E2BF16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№6460/30.05.2019 г. „Независима оценка на пригодността на прилагането на процедурата за управление на риска на проект за реконструкция на гаров комплекс Стара Загора“ на стойност 32 250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(9 726 944 лв. договор за СМР </w:t>
            </w:r>
            <w:r w:rsidRPr="00AA54FE">
              <w:rPr>
                <w:rFonts w:ascii="Times New Roman" w:eastAsia="Calibri" w:hAnsi="Times New Roman" w:cs="Times New Roman"/>
                <w:color w:val="0563C1"/>
                <w:sz w:val="18"/>
                <w:szCs w:val="18"/>
                <w:u w:val="single"/>
                <w:lang w:eastAsia="en-US"/>
              </w:rPr>
              <w:t>– УИН на преписката в АОП:</w:t>
            </w:r>
            <w:r w:rsidRPr="00AA54FE">
              <w:rPr>
                <w:rFonts w:ascii="Calibri" w:eastAsia="Calibri" w:hAnsi="Calibri" w:cs="Times New Roman"/>
                <w:color w:val="0563C1"/>
                <w:u w:val="single"/>
                <w:lang w:eastAsia="en-US"/>
              </w:rPr>
              <w:t xml:space="preserve">  </w:t>
            </w:r>
            <w:hyperlink r:id="rId80"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81"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r w:rsidRPr="00AA54FE">
              <w:rPr>
                <w:rFonts w:ascii="Times New Roman" w:eastAsia="Calibri" w:hAnsi="Times New Roman" w:cs="Times New Roman"/>
                <w:sz w:val="18"/>
                <w:szCs w:val="18"/>
                <w:lang w:eastAsia="en-US"/>
              </w:rPr>
              <w:t xml:space="preserve">). </w:t>
            </w:r>
          </w:p>
          <w:p w14:paraId="46D836F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№6461/30.05.2019 г. с предмет: „Независима оценка на пригодността на прилагането на процедурата за управление на риска на проект за реконструкция на гаров комплекс Нова Загора“ на стойност 20 000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(2 721 279 лв. договор за СМР </w:t>
            </w:r>
            <w:r w:rsidRPr="00AA54FE">
              <w:rPr>
                <w:rFonts w:ascii="Times New Roman" w:eastAsia="Calibri" w:hAnsi="Times New Roman" w:cs="Times New Roman"/>
                <w:color w:val="0563C1"/>
                <w:sz w:val="18"/>
                <w:szCs w:val="18"/>
                <w:u w:val="single"/>
                <w:lang w:eastAsia="en-US"/>
              </w:rPr>
              <w:t>– УИН на преписката в АОП:</w:t>
            </w:r>
            <w:r w:rsidRPr="00AA54FE">
              <w:rPr>
                <w:rFonts w:ascii="Calibri" w:eastAsia="Calibri" w:hAnsi="Calibri" w:cs="Times New Roman"/>
                <w:color w:val="0563C1"/>
                <w:u w:val="single"/>
                <w:lang w:eastAsia="en-US"/>
              </w:rPr>
              <w:t xml:space="preserve">  </w:t>
            </w:r>
            <w:hyperlink r:id="rId82"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83"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r w:rsidRPr="00AA54FE">
              <w:rPr>
                <w:rFonts w:ascii="Times New Roman" w:eastAsia="Calibri" w:hAnsi="Times New Roman" w:cs="Times New Roman"/>
                <w:sz w:val="18"/>
                <w:szCs w:val="18"/>
                <w:lang w:eastAsia="en-US"/>
              </w:rPr>
              <w:t xml:space="preserve">). </w:t>
            </w:r>
          </w:p>
          <w:p w14:paraId="6FC1469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Средната аритметична стойност на относителната стойност е 0,6 % (0,61) от договорите за СМР.</w:t>
            </w:r>
          </w:p>
          <w:p w14:paraId="64BE1D2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в АОП за всички обекти (като обособени позиции):</w:t>
            </w:r>
            <w:r w:rsidRPr="00AA54FE">
              <w:rPr>
                <w:rFonts w:ascii="Times New Roman" w:eastAsia="Calibri" w:hAnsi="Times New Roman" w:cs="Times New Roman"/>
                <w:sz w:val="18"/>
                <w:szCs w:val="18"/>
                <w:shd w:val="clear" w:color="auto" w:fill="FFFFFF"/>
                <w:lang w:eastAsia="en-US"/>
              </w:rPr>
              <w:t xml:space="preserve">  </w:t>
            </w:r>
            <w:hyperlink r:id="rId84" w:tgtFrame="_blank" w:history="1">
              <w:r w:rsidRPr="00AA54FE">
                <w:rPr>
                  <w:rFonts w:ascii="Times New Roman" w:eastAsia="Calibri" w:hAnsi="Times New Roman" w:cs="Times New Roman"/>
                  <w:sz w:val="18"/>
                  <w:szCs w:val="18"/>
                  <w:u w:val="single"/>
                  <w:lang w:eastAsia="en-US"/>
                </w:rPr>
                <w:t>00233-2019-0008</w:t>
              </w:r>
            </w:hyperlink>
          </w:p>
          <w:p w14:paraId="6C70EBE1"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85" w:history="1">
              <w:r w:rsidRPr="00AA54FE">
                <w:rPr>
                  <w:rFonts w:ascii="Times New Roman" w:eastAsia="Calibri" w:hAnsi="Times New Roman" w:cs="Times New Roman"/>
                  <w:color w:val="0563C1"/>
                  <w:sz w:val="18"/>
                  <w:szCs w:val="18"/>
                  <w:u w:val="single"/>
                  <w:lang w:eastAsia="en-US"/>
                </w:rPr>
                <w:t>https://zop.rail-infra.bg:3737/DocumentList.aspx?SXHmTXofHwCqF6Xmi28LY5m1gS7nGEkd</w:t>
              </w:r>
            </w:hyperlink>
          </w:p>
          <w:p w14:paraId="431615F7" w14:textId="77777777" w:rsidR="00AA54FE" w:rsidRPr="00AA54FE" w:rsidRDefault="00AA54FE" w:rsidP="00AA54FE">
            <w:pPr>
              <w:numPr>
                <w:ilvl w:val="0"/>
                <w:numId w:val="18"/>
              </w:numPr>
              <w:spacing w:after="160" w:line="259" w:lineRule="auto"/>
              <w:ind w:left="0" w:firstLine="360"/>
              <w:jc w:val="both"/>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Полученият относителния дял се коригира с обхвата и обема на договора за строителство. Обемът на работа на консултанта е свързан главно с оценка на риска за пътниците в гаровия комплекс (приемно здание, подлези, перони, подход към тях и </w:t>
            </w:r>
            <w:proofErr w:type="spellStart"/>
            <w:r w:rsidRPr="00AA54FE">
              <w:rPr>
                <w:rFonts w:ascii="Times New Roman" w:eastAsia="Calibri" w:hAnsi="Times New Roman" w:cs="Times New Roman"/>
                <w:sz w:val="18"/>
                <w:szCs w:val="18"/>
                <w:lang w:eastAsia="en-US"/>
              </w:rPr>
              <w:t>т.н</w:t>
            </w:r>
            <w:proofErr w:type="spellEnd"/>
            <w:r w:rsidRPr="00AA54FE">
              <w:rPr>
                <w:rFonts w:ascii="Times New Roman" w:eastAsia="Calibri" w:hAnsi="Times New Roman" w:cs="Times New Roman"/>
                <w:sz w:val="18"/>
                <w:szCs w:val="18"/>
                <w:lang w:eastAsia="en-US"/>
              </w:rPr>
              <w:t>,). За трите посочени референтни договора СМР са изключително за тези дейности, свързани с подхода на пътниците, докато по експертна оценка стойността на СМР за гаровия комплекс Червен бряг, в която се засяга инфраструктура свързана с подхода на пътниците до превозното средство е около 30 % от общата стойност на работи по обекта (Червен бряг). За нуждите на изчисляване на индикативната стойност се използва определения коефициент от 0,3 (30 %)</w:t>
            </w:r>
            <w:r w:rsidRPr="00AA54FE">
              <w:rPr>
                <w:rFonts w:ascii="Times New Roman" w:eastAsia="Calibri" w:hAnsi="Times New Roman" w:cs="Times New Roman"/>
                <w:b/>
                <w:sz w:val="18"/>
                <w:szCs w:val="18"/>
                <w:lang w:eastAsia="en-US"/>
              </w:rPr>
              <w:t xml:space="preserve"> за да коригираме получената относителна стойност от 0,6 % или:</w:t>
            </w:r>
          </w:p>
          <w:p w14:paraId="41558F0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0,3 * 0,6% = 0,18 %;</w:t>
            </w:r>
          </w:p>
          <w:p w14:paraId="0A5DDC43" w14:textId="77777777" w:rsidR="00AA54FE" w:rsidRPr="00AA54FE" w:rsidRDefault="00AA54FE" w:rsidP="00AA54FE">
            <w:pPr>
              <w:spacing w:line="259" w:lineRule="auto"/>
              <w:jc w:val="both"/>
              <w:rPr>
                <w:rFonts w:ascii="Times New Roman" w:eastAsia="Calibri" w:hAnsi="Times New Roman" w:cs="Times New Roman"/>
                <w:color w:val="FF0000"/>
                <w:sz w:val="18"/>
                <w:szCs w:val="18"/>
                <w:lang w:eastAsia="en-US"/>
              </w:rPr>
            </w:pPr>
            <w:r w:rsidRPr="00AA54FE">
              <w:rPr>
                <w:rFonts w:ascii="Times New Roman" w:eastAsia="Calibri" w:hAnsi="Times New Roman" w:cs="Times New Roman"/>
                <w:sz w:val="18"/>
                <w:szCs w:val="18"/>
                <w:lang w:eastAsia="en-US"/>
              </w:rPr>
              <w:t>22</w:t>
            </w:r>
            <w:r w:rsidRPr="00AA54FE">
              <w:rPr>
                <w:rFonts w:ascii="Times New Roman" w:eastAsia="Calibri" w:hAnsi="Times New Roman" w:cs="Times New Roman"/>
                <w:sz w:val="18"/>
                <w:szCs w:val="18"/>
                <w:lang w:val="en-US" w:eastAsia="en-US"/>
              </w:rPr>
              <w:t> </w:t>
            </w:r>
            <w:r w:rsidRPr="00AA54FE">
              <w:rPr>
                <w:rFonts w:ascii="Times New Roman" w:eastAsia="Calibri" w:hAnsi="Times New Roman" w:cs="Times New Roman"/>
                <w:sz w:val="18"/>
                <w:szCs w:val="18"/>
                <w:lang w:eastAsia="en-US"/>
              </w:rPr>
              <w:t>003</w:t>
            </w:r>
            <w:r w:rsidRPr="00AA54FE">
              <w:rPr>
                <w:rFonts w:ascii="Times New Roman" w:eastAsia="Calibri" w:hAnsi="Times New Roman" w:cs="Times New Roman"/>
                <w:sz w:val="18"/>
                <w:szCs w:val="18"/>
                <w:lang w:val="en-US" w:eastAsia="en-US"/>
              </w:rPr>
              <w:t> </w:t>
            </w:r>
            <w:r w:rsidRPr="00AA54FE">
              <w:rPr>
                <w:rFonts w:ascii="Times New Roman" w:eastAsia="Calibri" w:hAnsi="Times New Roman" w:cs="Times New Roman"/>
                <w:sz w:val="18"/>
                <w:szCs w:val="18"/>
                <w:lang w:eastAsia="en-US"/>
              </w:rPr>
              <w:t>812,15 * 0,18% = 39 606,86 лв. без ДДС.</w:t>
            </w:r>
          </w:p>
          <w:p w14:paraId="4DD7B77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независима оценка на пригодността на прилагането на процедурата за управление на риска за проекта.</w:t>
            </w:r>
          </w:p>
          <w:p w14:paraId="67A5B10F" w14:textId="77777777" w:rsidR="00AA54FE" w:rsidRPr="00AA54FE" w:rsidRDefault="00AA54FE" w:rsidP="00AA54FE">
            <w:pPr>
              <w:spacing w:line="259" w:lineRule="auto"/>
              <w:rPr>
                <w:rFonts w:ascii="Times New Roman" w:eastAsia="Calibri" w:hAnsi="Times New Roman" w:cs="Times New Roman"/>
                <w:sz w:val="18"/>
                <w:szCs w:val="18"/>
                <w:lang w:eastAsia="en-US"/>
              </w:rPr>
            </w:pP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5A867712"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73DF8DC4" w14:textId="77777777" w:rsidTr="000D243F">
        <w:trPr>
          <w:gridAfter w:val="1"/>
          <w:wAfter w:w="6" w:type="dxa"/>
          <w:trHeight w:val="441"/>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2267B"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Техническа помощ </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7B388A"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val="en-US" w:eastAsia="en-US"/>
              </w:rPr>
            </w:pPr>
            <w:r w:rsidRPr="00AA54FE">
              <w:rPr>
                <w:rFonts w:ascii="Times New Roman" w:eastAsia="Calibri" w:hAnsi="Times New Roman" w:cs="Times New Roman"/>
                <w:color w:val="000000"/>
                <w:sz w:val="18"/>
                <w:szCs w:val="18"/>
                <w:lang w:eastAsia="en-US"/>
              </w:rPr>
              <w:t>1 3</w:t>
            </w:r>
            <w:r w:rsidRPr="00AA54FE">
              <w:rPr>
                <w:rFonts w:ascii="Times New Roman" w:eastAsia="Calibri" w:hAnsi="Times New Roman" w:cs="Times New Roman"/>
                <w:color w:val="000000"/>
                <w:sz w:val="18"/>
                <w:szCs w:val="18"/>
                <w:lang w:val="en-US" w:eastAsia="en-US"/>
              </w:rPr>
              <w:t>0</w:t>
            </w:r>
            <w:r w:rsidRPr="00AA54FE">
              <w:rPr>
                <w:rFonts w:ascii="Times New Roman" w:eastAsia="Calibri" w:hAnsi="Times New Roman" w:cs="Times New Roman"/>
                <w:color w:val="000000"/>
                <w:sz w:val="18"/>
                <w:szCs w:val="18"/>
                <w:lang w:eastAsia="en-US"/>
              </w:rPr>
              <w:t>6 </w:t>
            </w:r>
            <w:r w:rsidRPr="00AA54FE">
              <w:rPr>
                <w:rFonts w:ascii="Times New Roman" w:eastAsia="Calibri" w:hAnsi="Times New Roman" w:cs="Times New Roman"/>
                <w:color w:val="000000"/>
                <w:sz w:val="18"/>
                <w:szCs w:val="18"/>
                <w:lang w:val="en-US" w:eastAsia="en-US"/>
              </w:rPr>
              <w:t>295,08</w:t>
            </w:r>
          </w:p>
        </w:tc>
        <w:tc>
          <w:tcPr>
            <w:tcW w:w="666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4634E9A3"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Моля да се види текстът за Обект 1 и Обект 4 – Обект 12 от програмния фиш „Цифровизация в железопътния транспорт чрез модернизация на системите за безопасност и енергийната ефективност по жп направления от основната и широкообхватната TEN-T мрежа“.</w:t>
            </w:r>
          </w:p>
          <w:p w14:paraId="76F3F471"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Реф. файл „</w:t>
            </w:r>
            <w:proofErr w:type="spellStart"/>
            <w:r w:rsidRPr="00AA54FE">
              <w:rPr>
                <w:rFonts w:ascii="Times New Roman" w:eastAsia="Calibri" w:hAnsi="Times New Roman" w:cs="Times New Roman"/>
                <w:color w:val="000000"/>
                <w:sz w:val="18"/>
                <w:szCs w:val="18"/>
                <w:lang w:eastAsia="en-US"/>
              </w:rPr>
              <w:t>Budget</w:t>
            </w:r>
            <w:proofErr w:type="spellEnd"/>
            <w:r w:rsidRPr="00AA54FE">
              <w:rPr>
                <w:rFonts w:ascii="Times New Roman" w:eastAsia="Calibri" w:hAnsi="Times New Roman" w:cs="Times New Roman"/>
                <w:color w:val="000000"/>
                <w:sz w:val="18"/>
                <w:szCs w:val="18"/>
                <w:lang w:eastAsia="en-US"/>
              </w:rPr>
              <w:t xml:space="preserve"> </w:t>
            </w:r>
            <w:proofErr w:type="spellStart"/>
            <w:r w:rsidRPr="00AA54FE">
              <w:rPr>
                <w:rFonts w:ascii="Times New Roman" w:eastAsia="Calibri" w:hAnsi="Times New Roman" w:cs="Times New Roman"/>
                <w:color w:val="000000"/>
                <w:sz w:val="18"/>
                <w:szCs w:val="18"/>
                <w:lang w:eastAsia="en-US"/>
              </w:rPr>
              <w:t>ProgramCovid</w:t>
            </w:r>
            <w:proofErr w:type="spellEnd"/>
            <w:r w:rsidRPr="00AA54FE">
              <w:rPr>
                <w:rFonts w:ascii="Times New Roman" w:eastAsia="Calibri" w:hAnsi="Times New Roman" w:cs="Times New Roman"/>
                <w:color w:val="000000"/>
                <w:sz w:val="18"/>
                <w:szCs w:val="18"/>
                <w:lang w:eastAsia="en-US"/>
              </w:rPr>
              <w:t xml:space="preserve"> ZPUIP-02.2021-r4“ – Обект 2</w:t>
            </w:r>
          </w:p>
        </w:tc>
        <w:tc>
          <w:tcPr>
            <w:tcW w:w="1146" w:type="dxa"/>
            <w:vMerge/>
            <w:tcBorders>
              <w:top w:val="single" w:sz="4" w:space="0" w:color="auto"/>
              <w:left w:val="single" w:sz="4" w:space="0" w:color="auto"/>
              <w:bottom w:val="single" w:sz="8" w:space="0" w:color="000000"/>
              <w:right w:val="single" w:sz="8" w:space="0" w:color="auto"/>
            </w:tcBorders>
            <w:vAlign w:val="center"/>
            <w:hideMark/>
          </w:tcPr>
          <w:p w14:paraId="07F59847"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7D1CB562" w14:textId="77777777" w:rsidTr="000D243F">
        <w:trPr>
          <w:trHeight w:val="300"/>
        </w:trPr>
        <w:tc>
          <w:tcPr>
            <w:tcW w:w="10367" w:type="dxa"/>
            <w:gridSpan w:val="8"/>
            <w:tcBorders>
              <w:top w:val="single" w:sz="8" w:space="0" w:color="auto"/>
              <w:left w:val="single" w:sz="8" w:space="0" w:color="auto"/>
              <w:bottom w:val="single" w:sz="4" w:space="0" w:color="auto"/>
              <w:right w:val="single" w:sz="8" w:space="0" w:color="000000"/>
            </w:tcBorders>
            <w:shd w:val="clear" w:color="auto" w:fill="auto"/>
            <w:tcMar>
              <w:top w:w="15" w:type="dxa"/>
              <w:left w:w="15" w:type="dxa"/>
              <w:bottom w:w="0" w:type="dxa"/>
              <w:right w:w="15" w:type="dxa"/>
            </w:tcMar>
            <w:vAlign w:val="bottom"/>
            <w:hideMark/>
          </w:tcPr>
          <w:p w14:paraId="624E9E53"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t>Обект 3 - Подготовка и изпълнение на обект - Изграждане на интермодален терминал в Горна Оряховица</w:t>
            </w:r>
          </w:p>
        </w:tc>
      </w:tr>
      <w:tr w:rsidR="00AA54FE" w:rsidRPr="00AA54FE" w14:paraId="6A31D126" w14:textId="77777777" w:rsidTr="000D243F">
        <w:trPr>
          <w:gridAfter w:val="1"/>
          <w:wAfter w:w="6" w:type="dxa"/>
          <w:trHeight w:val="956"/>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676BA2"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строителство (техническо проектиране и строителство)</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990996" w14:textId="77777777" w:rsidR="00AA54FE" w:rsidRPr="00AA54FE" w:rsidRDefault="00AA54FE" w:rsidP="00AA54FE">
            <w:pPr>
              <w:spacing w:after="160" w:line="259" w:lineRule="auto"/>
              <w:jc w:val="center"/>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20 5</w:t>
            </w:r>
            <w:r w:rsidRPr="00AA54FE">
              <w:rPr>
                <w:rFonts w:ascii="Times New Roman" w:eastAsia="Calibri" w:hAnsi="Times New Roman" w:cs="Times New Roman"/>
                <w:sz w:val="18"/>
                <w:szCs w:val="18"/>
                <w:lang w:val="en-US" w:eastAsia="en-US"/>
              </w:rPr>
              <w:t>15 178,70</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51169E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Стойността за изграждането на съвременен интермодален терминал зависи в голяма степен от теренните условия, състоянието на железопътната и пътната инфраструктура в района, необходимостта от допълнителни работи по довеждащата инфраструктура. Най-близко до параметрите на предложението за изграждане на интермодален терминал (ИМТ) Горна Оряховица са проектите за изграждане на ИМТ Русе и ИМТ Пловдив. За ИМТ Русе има изготвени предпроектни проучвания, индикативна количествено-стойностна сметка на база Идеен проект (Проектите са с един товаро-разтоварен коловоз с възможност за развитие). Проектът за ИМТ Русе беше напълно подготвен за строителни работи през 2015 г., но поради необходимост от допълнителни изследвания за </w:t>
            </w:r>
            <w:proofErr w:type="spellStart"/>
            <w:r w:rsidRPr="00AA54FE">
              <w:rPr>
                <w:rFonts w:ascii="Times New Roman" w:eastAsia="Calibri" w:hAnsi="Times New Roman" w:cs="Times New Roman"/>
                <w:sz w:val="18"/>
                <w:szCs w:val="18"/>
                <w:lang w:eastAsia="en-US"/>
              </w:rPr>
              <w:t>товаро</w:t>
            </w:r>
            <w:proofErr w:type="spellEnd"/>
            <w:r w:rsidRPr="00AA54FE">
              <w:rPr>
                <w:rFonts w:ascii="Times New Roman" w:eastAsia="Calibri" w:hAnsi="Times New Roman" w:cs="Times New Roman"/>
                <w:sz w:val="18"/>
                <w:szCs w:val="18"/>
                <w:lang w:eastAsia="en-US"/>
              </w:rPr>
              <w:t xml:space="preserve">-потоците, то беше временно преустановено. </w:t>
            </w:r>
            <w:r w:rsidRPr="00AA54FE">
              <w:rPr>
                <w:rFonts w:ascii="Times New Roman" w:eastAsia="Calibri" w:hAnsi="Times New Roman" w:cs="Times New Roman"/>
                <w:sz w:val="18"/>
                <w:szCs w:val="18"/>
                <w:lang w:eastAsia="en-US"/>
              </w:rPr>
              <w:br/>
              <w:t xml:space="preserve">Изчислени индикативни стойности на ИМТ Русе (цени 2015 г.) - 42 млн. лева. След извършването на пълната подготовка на обекта и подготовка на документация за възлагане на обществената поръчка, проектът беше стопиран за извършването на допълнителни анализи за </w:t>
            </w:r>
            <w:proofErr w:type="spellStart"/>
            <w:r w:rsidRPr="00AA54FE">
              <w:rPr>
                <w:rFonts w:ascii="Times New Roman" w:eastAsia="Calibri" w:hAnsi="Times New Roman" w:cs="Times New Roman"/>
                <w:sz w:val="18"/>
                <w:szCs w:val="18"/>
                <w:lang w:eastAsia="en-US"/>
              </w:rPr>
              <w:t>товаропотоци</w:t>
            </w:r>
            <w:proofErr w:type="spellEnd"/>
            <w:r w:rsidRPr="00AA54FE">
              <w:rPr>
                <w:rFonts w:ascii="Times New Roman" w:eastAsia="Calibri" w:hAnsi="Times New Roman" w:cs="Times New Roman"/>
                <w:sz w:val="18"/>
                <w:szCs w:val="18"/>
                <w:lang w:eastAsia="en-US"/>
              </w:rPr>
              <w:t xml:space="preserve"> и към настоящия момент не са извършвани други действия за подготовка за процедура за възлагане на договор за инженеринг за строителство на ИМТ Русе.</w:t>
            </w:r>
          </w:p>
          <w:p w14:paraId="5818956A"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Друг релевантен проект е проекта за изграждане на ИМТ Пловдив. При него има особеност, че за работата на ИМТ се използва инфраструктура, реконструирана по други проекти на НКЖИ, за които по този проект не са правени разходи - за </w:t>
            </w:r>
            <w:proofErr w:type="spellStart"/>
            <w:r w:rsidRPr="00AA54FE">
              <w:rPr>
                <w:rFonts w:ascii="Times New Roman" w:eastAsia="Calibri" w:hAnsi="Times New Roman" w:cs="Times New Roman"/>
                <w:sz w:val="18"/>
                <w:szCs w:val="18"/>
                <w:lang w:eastAsia="en-US"/>
              </w:rPr>
              <w:t>приемо</w:t>
            </w:r>
            <w:proofErr w:type="spellEnd"/>
            <w:r w:rsidRPr="00AA54FE">
              <w:rPr>
                <w:rFonts w:ascii="Times New Roman" w:eastAsia="Calibri" w:hAnsi="Times New Roman" w:cs="Times New Roman"/>
                <w:sz w:val="18"/>
                <w:szCs w:val="18"/>
                <w:lang w:eastAsia="en-US"/>
              </w:rPr>
              <w:t>-отправен парк се използва инфраструктурата на гара Тодор Каблешков. Изпълнен договор за техническо проектиране и строителство № 4655/23.05.2014 г. - 11,343 млн. лв. по цени от 2012 г. от които 8 570 541,45 основна цена по договор и 2 773 006,47 лв. непредвидени и допълнителни дейности.</w:t>
            </w:r>
          </w:p>
          <w:p w14:paraId="4228DCD3" w14:textId="77777777" w:rsidR="00AA54FE" w:rsidRPr="00AA54FE" w:rsidRDefault="00AA54FE" w:rsidP="00AA54FE">
            <w:pPr>
              <w:spacing w:line="259" w:lineRule="auto"/>
              <w:jc w:val="both"/>
              <w:rPr>
                <w:rFonts w:ascii="Calibri" w:eastAsia="Calibri" w:hAnsi="Calibri" w:cs="Times New Roman"/>
                <w:lang w:eastAsia="en-US"/>
              </w:rPr>
            </w:pPr>
            <w:r w:rsidRPr="00AA54FE">
              <w:rPr>
                <w:rFonts w:ascii="Times New Roman" w:eastAsia="Calibri" w:hAnsi="Times New Roman" w:cs="Times New Roman"/>
                <w:sz w:val="18"/>
                <w:szCs w:val="18"/>
                <w:lang w:eastAsia="en-US"/>
              </w:rPr>
              <w:t>Съгласно обявлението за възложена поръчка 00233-2012-0062 общата крайна стойност за ИМТ Пловдив е  8 570 541,45 лв. без ДДС, част от проект "Изграждане на интермодален терминал в Южен централен район на планиране в България" финансиран по Оперативна програма „Транспорт“ 2007 -2013. УИН на преписката в АОП:</w:t>
            </w:r>
            <w:r w:rsidRPr="00AA54FE">
              <w:rPr>
                <w:rFonts w:ascii="Times New Roman" w:eastAsia="Calibri" w:hAnsi="Times New Roman" w:cs="Times New Roman"/>
                <w:sz w:val="18"/>
                <w:szCs w:val="18"/>
                <w:shd w:val="clear" w:color="auto" w:fill="FFFFFF"/>
                <w:lang w:eastAsia="en-US"/>
              </w:rPr>
              <w:t xml:space="preserve">  </w:t>
            </w:r>
            <w:r w:rsidRPr="00AA54FE">
              <w:rPr>
                <w:rFonts w:ascii="Times New Roman" w:eastAsia="Calibri" w:hAnsi="Times New Roman" w:cs="Times New Roman"/>
                <w:sz w:val="18"/>
                <w:szCs w:val="18"/>
                <w:lang w:eastAsia="en-US"/>
              </w:rPr>
              <w:t>00233-2012-0062</w:t>
            </w:r>
          </w:p>
          <w:p w14:paraId="34AC51E9"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86" w:history="1">
              <w:r w:rsidRPr="00AA54FE">
                <w:rPr>
                  <w:rFonts w:ascii="Times New Roman" w:eastAsia="Calibri" w:hAnsi="Times New Roman" w:cs="Times New Roman"/>
                  <w:color w:val="0563C1"/>
                  <w:sz w:val="18"/>
                  <w:szCs w:val="18"/>
                  <w:u w:val="single"/>
                  <w:lang w:eastAsia="en-US"/>
                </w:rPr>
                <w:t>https://zop.rail-infra.bg:3737/DocumentList.aspx?SXHmTXofHwBgMuvjQYvwEstxlvhvw9KG</w:t>
              </w:r>
            </w:hyperlink>
            <w:r w:rsidRPr="00AA54FE">
              <w:rPr>
                <w:rFonts w:ascii="Times New Roman" w:eastAsia="Calibri" w:hAnsi="Times New Roman" w:cs="Times New Roman"/>
                <w:sz w:val="18"/>
                <w:szCs w:val="18"/>
                <w:lang w:eastAsia="en-US"/>
              </w:rPr>
              <w:t xml:space="preserve"> </w:t>
            </w:r>
          </w:p>
          <w:p w14:paraId="51CF278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Приложен е файл </w:t>
            </w:r>
            <w:proofErr w:type="spellStart"/>
            <w:r w:rsidRPr="00AA54FE">
              <w:rPr>
                <w:rFonts w:ascii="Times New Roman" w:eastAsia="Calibri" w:hAnsi="Times New Roman" w:cs="Times New Roman"/>
                <w:i/>
                <w:sz w:val="18"/>
                <w:szCs w:val="18"/>
                <w:lang w:eastAsia="en-US"/>
              </w:rPr>
              <w:t>IndicPrice</w:t>
            </w:r>
            <w:proofErr w:type="spellEnd"/>
            <w:r w:rsidRPr="00AA54FE">
              <w:rPr>
                <w:rFonts w:ascii="Times New Roman" w:eastAsia="Calibri" w:hAnsi="Times New Roman" w:cs="Times New Roman"/>
                <w:i/>
                <w:sz w:val="18"/>
                <w:szCs w:val="18"/>
                <w:lang w:eastAsia="en-US"/>
              </w:rPr>
              <w:t>-IMT GO.</w:t>
            </w:r>
            <w:proofErr w:type="spellStart"/>
            <w:r w:rsidRPr="00AA54FE">
              <w:rPr>
                <w:rFonts w:ascii="Times New Roman" w:eastAsia="Calibri" w:hAnsi="Times New Roman" w:cs="Times New Roman"/>
                <w:i/>
                <w:sz w:val="18"/>
                <w:szCs w:val="18"/>
                <w:lang w:val="en-US" w:eastAsia="en-US"/>
              </w:rPr>
              <w:t>xlxs</w:t>
            </w:r>
            <w:proofErr w:type="spellEnd"/>
            <w:r w:rsidRPr="00AA54FE">
              <w:rPr>
                <w:rFonts w:ascii="Times New Roman" w:eastAsia="Calibri" w:hAnsi="Times New Roman" w:cs="Times New Roman"/>
                <w:sz w:val="18"/>
                <w:szCs w:val="18"/>
                <w:lang w:eastAsia="en-US"/>
              </w:rPr>
              <w:t xml:space="preserve">, в който е дадена калкулация на индикативната стойност на договора, изчислен на база реализиран договор за ИМТ Пловдив (таблица с официалното въвеждане в експлоатация на ДМА за ИМТ Пловдив) и определени от него единични цени, осъвременени с </w:t>
            </w:r>
            <w:proofErr w:type="spellStart"/>
            <w:r w:rsidRPr="00AA54FE">
              <w:rPr>
                <w:rFonts w:ascii="Times New Roman" w:eastAsia="Calibri" w:hAnsi="Times New Roman" w:cs="Times New Roman"/>
                <w:sz w:val="18"/>
                <w:szCs w:val="18"/>
                <w:lang w:eastAsia="en-US"/>
              </w:rPr>
              <w:t>коеф</w:t>
            </w:r>
            <w:proofErr w:type="spellEnd"/>
            <w:r w:rsidRPr="00AA54FE">
              <w:rPr>
                <w:rFonts w:ascii="Times New Roman" w:eastAsia="Calibri" w:hAnsi="Times New Roman" w:cs="Times New Roman"/>
                <w:sz w:val="18"/>
                <w:szCs w:val="18"/>
                <w:lang w:eastAsia="en-US"/>
              </w:rPr>
              <w:t xml:space="preserve">. на инфлация и индикативни количества на работите за ИМТ ГО. </w:t>
            </w:r>
          </w:p>
          <w:p w14:paraId="132BE4E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Аргумент за приложената по-долу схема на изчисление е, че се предвижда на този етап ИМТ ГО да има същия капацитет, като първоначалния на ИМТ Пловдив – 57 600 ТЕУ/год.</w:t>
            </w:r>
          </w:p>
          <w:p w14:paraId="15F9EFC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3070680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Използвана е следната методология. От официалния протокол за въвеждане в експлоатация на ДМА (</w:t>
            </w:r>
            <w:r w:rsidRPr="00AA54FE">
              <w:rPr>
                <w:rFonts w:ascii="Times New Roman" w:eastAsia="Calibri" w:hAnsi="Times New Roman" w:cs="Times New Roman"/>
                <w:sz w:val="18"/>
                <w:szCs w:val="18"/>
                <w:lang w:val="ru-RU" w:eastAsia="en-US"/>
              </w:rPr>
              <w:t xml:space="preserve">файл </w:t>
            </w:r>
            <w:r w:rsidRPr="00AA54FE">
              <w:rPr>
                <w:rFonts w:ascii="Times New Roman" w:eastAsia="Calibri" w:hAnsi="Times New Roman" w:cs="Times New Roman"/>
                <w:sz w:val="18"/>
                <w:szCs w:val="18"/>
                <w:lang w:eastAsia="en-US"/>
              </w:rPr>
              <w:t>„2017.07.14 - ИМТ По - Протокол комисия ДМА.</w:t>
            </w:r>
            <w:r w:rsidRPr="00AA54FE">
              <w:rPr>
                <w:rFonts w:ascii="Times New Roman" w:eastAsia="Calibri" w:hAnsi="Times New Roman" w:cs="Times New Roman"/>
                <w:sz w:val="18"/>
                <w:szCs w:val="18"/>
                <w:lang w:val="en-US" w:eastAsia="en-US"/>
              </w:rPr>
              <w:t>pdf</w:t>
            </w:r>
            <w:r w:rsidRPr="00AA54FE">
              <w:rPr>
                <w:rFonts w:ascii="Times New Roman" w:eastAsia="Calibri" w:hAnsi="Times New Roman" w:cs="Times New Roman"/>
                <w:sz w:val="18"/>
                <w:szCs w:val="18"/>
                <w:lang w:eastAsia="en-US"/>
              </w:rPr>
              <w:t>“ и файл „</w:t>
            </w:r>
            <w:proofErr w:type="spellStart"/>
            <w:r w:rsidRPr="00AA54FE">
              <w:rPr>
                <w:rFonts w:ascii="Times New Roman" w:eastAsia="Calibri" w:hAnsi="Times New Roman" w:cs="Times New Roman"/>
                <w:sz w:val="18"/>
                <w:szCs w:val="18"/>
                <w:lang w:eastAsia="en-US"/>
              </w:rPr>
              <w:t>IndicPrice</w:t>
            </w:r>
            <w:proofErr w:type="spellEnd"/>
            <w:r w:rsidRPr="00AA54FE">
              <w:rPr>
                <w:rFonts w:ascii="Times New Roman" w:eastAsia="Calibri" w:hAnsi="Times New Roman" w:cs="Times New Roman"/>
                <w:sz w:val="18"/>
                <w:szCs w:val="18"/>
                <w:lang w:eastAsia="en-US"/>
              </w:rPr>
              <w:t xml:space="preserve">-IMT GO“ – </w:t>
            </w:r>
            <w:r w:rsidRPr="00AA54FE">
              <w:rPr>
                <w:rFonts w:ascii="Times New Roman" w:eastAsia="Calibri" w:hAnsi="Times New Roman" w:cs="Times New Roman"/>
                <w:sz w:val="18"/>
                <w:szCs w:val="18"/>
                <w:lang w:val="en-US" w:eastAsia="en-US"/>
              </w:rPr>
              <w:t>sheet</w:t>
            </w:r>
            <w:r w:rsidRPr="00AA54FE">
              <w:rPr>
                <w:rFonts w:ascii="Times New Roman" w:eastAsia="Calibri" w:hAnsi="Times New Roman" w:cs="Times New Roman"/>
                <w:sz w:val="18"/>
                <w:szCs w:val="18"/>
                <w:lang w:eastAsia="en-US"/>
              </w:rPr>
              <w:t xml:space="preserve"> „</w:t>
            </w:r>
            <w:r w:rsidRPr="00AA54FE">
              <w:rPr>
                <w:rFonts w:ascii="Times New Roman" w:eastAsia="Calibri" w:hAnsi="Times New Roman" w:cs="Times New Roman"/>
                <w:sz w:val="18"/>
                <w:szCs w:val="18"/>
                <w:lang w:val="en-US" w:eastAsia="en-US"/>
              </w:rPr>
              <w:t>IMT</w:t>
            </w:r>
            <w:r w:rsidRPr="00AA54FE">
              <w:rPr>
                <w:rFonts w:ascii="Times New Roman" w:eastAsia="Calibri" w:hAnsi="Times New Roman" w:cs="Times New Roman"/>
                <w:sz w:val="18"/>
                <w:szCs w:val="18"/>
                <w:lang w:eastAsia="en-US"/>
              </w:rPr>
              <w:t xml:space="preserve"> </w:t>
            </w:r>
            <w:proofErr w:type="spellStart"/>
            <w:r w:rsidRPr="00AA54FE">
              <w:rPr>
                <w:rFonts w:ascii="Times New Roman" w:eastAsia="Calibri" w:hAnsi="Times New Roman" w:cs="Times New Roman"/>
                <w:sz w:val="18"/>
                <w:szCs w:val="18"/>
                <w:lang w:val="en-US" w:eastAsia="en-US"/>
              </w:rPr>
              <w:t>Plo</w:t>
            </w:r>
            <w:proofErr w:type="spellEnd"/>
            <w:r w:rsidRPr="00AA54FE">
              <w:rPr>
                <w:rFonts w:ascii="Times New Roman" w:eastAsia="Calibri" w:hAnsi="Times New Roman" w:cs="Times New Roman"/>
                <w:sz w:val="18"/>
                <w:szCs w:val="18"/>
                <w:lang w:eastAsia="en-US"/>
              </w:rPr>
              <w:t>-11-</w:t>
            </w:r>
            <w:r w:rsidRPr="00AA54FE">
              <w:rPr>
                <w:rFonts w:ascii="Times New Roman" w:eastAsia="Calibri" w:hAnsi="Times New Roman" w:cs="Times New Roman"/>
                <w:sz w:val="18"/>
                <w:szCs w:val="18"/>
                <w:lang w:val="en-US" w:eastAsia="en-US"/>
              </w:rPr>
              <w:t>Calculation</w:t>
            </w:r>
            <w:r w:rsidRPr="00AA54FE">
              <w:rPr>
                <w:rFonts w:ascii="Times New Roman" w:eastAsia="Calibri" w:hAnsi="Times New Roman" w:cs="Times New Roman"/>
                <w:sz w:val="18"/>
                <w:szCs w:val="18"/>
                <w:lang w:eastAsia="en-US"/>
              </w:rPr>
              <w:t xml:space="preserve">“), изготвен на база изплатени средства на „ТРЕЙС ГРУП ХОЛД“ (изпълнител по референтния договор) по Дейности по ключови събития (ДКС) по договора, са изведени единични стойности на видовете работа. Единичните стойности са изведени след като всички стойности по дейности/ДКС за съответния вид работа, напр. железен път, се съберат и се разделят на действително направените по проекта метри железен път (в случая 1968 м.) или общо разходи по железен път 1 255 799,84 / 1968 = 638,17 лв. на метър железен път. Аналогично е получена цената на един метър контактна мрежа, един метър общински път и един метър пътна връзка от общинския път до терминала. За улеснение всички </w:t>
            </w:r>
            <w:r w:rsidRPr="00AA54FE">
              <w:rPr>
                <w:rFonts w:ascii="Times New Roman" w:eastAsia="Calibri" w:hAnsi="Times New Roman" w:cs="Times New Roman"/>
                <w:sz w:val="18"/>
                <w:szCs w:val="18"/>
                <w:lang w:eastAsia="en-US"/>
              </w:rPr>
              <w:lastRenderedPageBreak/>
              <w:t xml:space="preserve">позиции, които са променливи (различаващи се за двата проекта за ИМТ ГО и ИМТ Пловдив) са дадени в червен фон. За останалите се приема, че са еднакви и за двата терминала, тъй като това са стандартни дейности, присъщи за всеки един терминал и не зависят от местоположение, др. </w:t>
            </w:r>
          </w:p>
          <w:p w14:paraId="6354B4D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43AB123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 За тези ДМА, които са променливи за двата проекта за ИМТ Пловдив и ИМТ Горна Оряховица, тези единични цени са дадени в съответното измерение (линеен метър, др.). За тези ДМА, които за един ИМТ са сходни и идентични, е използвана единицата мярка брой (1 бр.). </w:t>
            </w:r>
          </w:p>
          <w:p w14:paraId="14E7C8D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Определените на база първични разчети за проекта количества на железен път са 5 750 метра железен път, 5 150 метра контактна мрежа, 2 250 метра рехабилитация на съществуващ автомобилен път и 300 метра връзка на пътя с паркинга на терминала (отбелязани са в червен фон). За останалите позиции са взети същите количества, както ИМТ Пловдив.</w:t>
            </w:r>
          </w:p>
          <w:p w14:paraId="1B0FA9C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Всички единични цени (за метър линеен или бройка) са актуализирани с коефициент на инфлация на НСИ за периода 05.2014÷01.2021 от 9,8% - https://www.nsi.bg/bg/content/2539/%D0%BA%D0%B0%D0%BB%D0%BA%D1%83%D0%BB%D0%B0%D1%82%D0%BE%D1%80-%D0%BD%D0%B0-%D0%B8%D0%BD%D1%84%D0%BB%D0%B0%D1%86%D0%B8%D1%8F%D1%82%D0%B0.</w:t>
            </w:r>
          </w:p>
          <w:p w14:paraId="42F2204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 протокола за ДМА на ИМТ Пловдив, съответно извършените дейности, има и разходи по проекта, които не могат да бъдат причислени към никое от въведените ДМА (специфични дейности – общо проектиране, общи тестове и изпитания и т.н.). В протокола за ДМА те са преразпределени пропорционално към всички ДМА. За нуждите на приетата методология за изчисление на индикативната стойност на ДМА Горна Оряховица тези разходи са изчислени като стойност от всички други дейности – 3,66 %,, като получената индикативна стойност от единичните цени е събрана със стойността на тези допълнителни разходи с получения коефициент.</w:t>
            </w:r>
          </w:p>
          <w:p w14:paraId="5DCDE2F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Към тази стойност е добавена и сумата за изготвяне на шумозаглушителни панели, които в ИМТ Пловдив (тъй като не е в градски условия) не са полагани. Стойността е взета от КСС за гаров комплекс Мездра (виж файл „Гаров комплекс </w:t>
            </w:r>
            <w:proofErr w:type="spellStart"/>
            <w:r w:rsidRPr="00AA54FE">
              <w:rPr>
                <w:rFonts w:ascii="Times New Roman" w:eastAsia="Calibri" w:hAnsi="Times New Roman" w:cs="Times New Roman"/>
                <w:sz w:val="18"/>
                <w:szCs w:val="18"/>
                <w:lang w:eastAsia="en-US"/>
              </w:rPr>
              <w:t>Мездра_КСС</w:t>
            </w:r>
            <w:proofErr w:type="spellEnd"/>
            <w:r w:rsidRPr="00AA54FE">
              <w:rPr>
                <w:rFonts w:ascii="Times New Roman" w:eastAsia="Calibri" w:hAnsi="Times New Roman" w:cs="Times New Roman"/>
                <w:sz w:val="18"/>
                <w:szCs w:val="18"/>
                <w:lang w:eastAsia="en-US"/>
              </w:rPr>
              <w:t>“ от ДКС 4.1 до ДКС 4.11), където местоположението на инфраструктурата е сходно.</w:t>
            </w:r>
          </w:p>
          <w:p w14:paraId="3E8A0CE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На последен ред са предвидени и до 10% непредвидени върху СМР, както е предвидено в ценовото предложение към референтния договор № 4655/23.05.2014 г.</w:t>
            </w:r>
          </w:p>
          <w:p w14:paraId="511CEF1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Посочените променливи количества са индикативни, направени на база заявено намерение за изграждане на ИМТ Горна Оряховица и потенциална площадка за това, по-точни количества могат да бъдат определени само след изготвянето на Идеен проект и Генерален план за развитие на терминала. </w:t>
            </w:r>
          </w:p>
          <w:p w14:paraId="5E0C95D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нуждите на първоначално определяне на приблизителни инвестиционни стойности приложената схема на изчисление на разходите дава инвестиционната стойност с необходимата достоверност за този етап от развитие на проекта за реализация на ИМТ Горна Оряховица.</w:t>
            </w:r>
          </w:p>
          <w:p w14:paraId="23DD9FE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 развитието на проекта, индикативната стойност, респективно бюджета ще бъде прецизиран. Реалната стойност на СМР ще бъде определена по време на провеждането на откритата процедура за възлагане на обществената поръчка с предмет за консултантска услуга за независима оценка на пригодността на прилагането на процедурата за управление на риска за проекта.</w:t>
            </w:r>
          </w:p>
          <w:p w14:paraId="084BC38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color w:val="000000"/>
                <w:sz w:val="18"/>
                <w:szCs w:val="18"/>
                <w:lang w:eastAsia="en-US"/>
              </w:rPr>
              <w:t>Приложени са договор, включително ценово предложение Договор № 4655/23.05.2014 г. – папка „02_Договор №4655 ИМТ Пловдив“</w:t>
            </w:r>
          </w:p>
        </w:tc>
        <w:tc>
          <w:tcPr>
            <w:tcW w:w="1146" w:type="dxa"/>
            <w:vMerge w:val="restart"/>
            <w:tcBorders>
              <w:top w:val="nil"/>
              <w:left w:val="single" w:sz="4" w:space="0" w:color="auto"/>
              <w:bottom w:val="single" w:sz="8" w:space="0" w:color="000000"/>
              <w:right w:val="single" w:sz="8" w:space="0" w:color="auto"/>
            </w:tcBorders>
            <w:shd w:val="clear" w:color="auto" w:fill="auto"/>
            <w:noWrap/>
            <w:tcMar>
              <w:top w:w="15" w:type="dxa"/>
              <w:left w:w="15" w:type="dxa"/>
              <w:bottom w:w="0" w:type="dxa"/>
              <w:right w:w="15" w:type="dxa"/>
            </w:tcMar>
            <w:vAlign w:val="center"/>
            <w:hideMark/>
          </w:tcPr>
          <w:p w14:paraId="5D99A3E8" w14:textId="77777777" w:rsidR="00AA54FE" w:rsidRPr="00AA54FE" w:rsidRDefault="00AA54FE" w:rsidP="00AA54FE">
            <w:pPr>
              <w:spacing w:after="160" w:line="259" w:lineRule="auto"/>
              <w:jc w:val="center"/>
              <w:rPr>
                <w:rFonts w:ascii="Times New Roman" w:eastAsia="Calibri" w:hAnsi="Times New Roman" w:cs="Times New Roman"/>
                <w:b/>
                <w:bCs/>
                <w:color w:val="000000"/>
                <w:sz w:val="18"/>
                <w:szCs w:val="18"/>
                <w:lang w:eastAsia="en-US"/>
              </w:rPr>
            </w:pPr>
            <w:r w:rsidRPr="00AA54FE">
              <w:rPr>
                <w:rFonts w:ascii="Times New Roman" w:eastAsia="Calibri" w:hAnsi="Times New Roman" w:cs="Times New Roman"/>
                <w:b/>
                <w:bCs/>
                <w:color w:val="000000"/>
                <w:sz w:val="18"/>
                <w:szCs w:val="18"/>
                <w:lang w:eastAsia="en-US"/>
              </w:rPr>
              <w:lastRenderedPageBreak/>
              <w:t>25 000 000</w:t>
            </w:r>
          </w:p>
        </w:tc>
      </w:tr>
      <w:tr w:rsidR="00AA54FE" w:rsidRPr="00AA54FE" w14:paraId="56DB8BFB" w14:textId="77777777" w:rsidTr="000D243F">
        <w:trPr>
          <w:gridAfter w:val="1"/>
          <w:wAfter w:w="6" w:type="dxa"/>
          <w:trHeight w:val="546"/>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317ECA"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за строителен надзор по ЗУТ</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D9D902" w14:textId="77777777" w:rsidR="00AA54FE" w:rsidRPr="00AA54FE" w:rsidRDefault="00AA54FE" w:rsidP="00AA54FE">
            <w:pPr>
              <w:spacing w:after="160" w:line="259" w:lineRule="auto"/>
              <w:jc w:val="center"/>
              <w:rPr>
                <w:rFonts w:ascii="Times New Roman" w:eastAsia="Calibri" w:hAnsi="Times New Roman" w:cs="Times New Roman"/>
                <w:sz w:val="18"/>
                <w:szCs w:val="18"/>
                <w:lang w:val="en-US" w:eastAsia="en-US"/>
              </w:rPr>
            </w:pPr>
            <w:r w:rsidRPr="00AA54FE">
              <w:rPr>
                <w:rFonts w:ascii="Times New Roman" w:eastAsia="Calibri" w:hAnsi="Times New Roman" w:cs="Times New Roman"/>
                <w:sz w:val="18"/>
                <w:szCs w:val="18"/>
                <w:lang w:eastAsia="en-US"/>
              </w:rPr>
              <w:t>820 </w:t>
            </w:r>
            <w:r w:rsidRPr="00AA54FE">
              <w:rPr>
                <w:rFonts w:ascii="Times New Roman" w:eastAsia="Calibri" w:hAnsi="Times New Roman" w:cs="Times New Roman"/>
                <w:sz w:val="18"/>
                <w:szCs w:val="18"/>
                <w:lang w:val="en-US" w:eastAsia="en-US"/>
              </w:rPr>
              <w:t>607</w:t>
            </w:r>
            <w:r w:rsidRPr="00AA54FE">
              <w:rPr>
                <w:rFonts w:ascii="Times New Roman" w:eastAsia="Calibri" w:hAnsi="Times New Roman" w:cs="Times New Roman"/>
                <w:sz w:val="18"/>
                <w:szCs w:val="18"/>
                <w:lang w:eastAsia="en-US"/>
              </w:rPr>
              <w:t>,</w:t>
            </w:r>
            <w:r w:rsidRPr="00AA54FE">
              <w:rPr>
                <w:rFonts w:ascii="Times New Roman" w:eastAsia="Calibri" w:hAnsi="Times New Roman" w:cs="Times New Roman"/>
                <w:sz w:val="18"/>
                <w:szCs w:val="18"/>
                <w:lang w:val="en-US" w:eastAsia="en-US"/>
              </w:rPr>
              <w:t>15</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5670275"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Референтни за целите на този договор, както и на предходните обекти са действащите два договора със сходен обхват и идентичен обем работа:</w:t>
            </w:r>
          </w:p>
          <w:p w14:paraId="1BD62F74" w14:textId="77777777" w:rsidR="00AA54FE" w:rsidRPr="00AA54FE" w:rsidRDefault="00AA54FE" w:rsidP="00AA54FE">
            <w:pPr>
              <w:spacing w:line="259" w:lineRule="auto"/>
              <w:rPr>
                <w:rFonts w:ascii="Times New Roman" w:eastAsia="Calibri" w:hAnsi="Times New Roman" w:cs="Times New Roman"/>
                <w:sz w:val="18"/>
                <w:szCs w:val="18"/>
                <w:lang w:val="ru-RU" w:eastAsia="en-US"/>
              </w:rPr>
            </w:pPr>
            <w:r w:rsidRPr="00AA54FE">
              <w:rPr>
                <w:rFonts w:ascii="Times New Roman" w:eastAsia="Calibri" w:hAnsi="Times New Roman" w:cs="Times New Roman"/>
                <w:sz w:val="18"/>
                <w:szCs w:val="18"/>
                <w:lang w:eastAsia="en-US"/>
              </w:rPr>
              <w:t>Договор № 6620/12.11.2019 г. за "Оценка на съответствието и строителен надзор за обект: "Реконструкция на гаров комплекс Стара Загора" на стойност 410 090 лв. без ДДС,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87" w:tgtFrame="_blank" w:history="1">
              <w:r w:rsidRPr="00AA54FE">
                <w:rPr>
                  <w:rFonts w:ascii="Times New Roman" w:eastAsia="Calibri" w:hAnsi="Times New Roman" w:cs="Times New Roman"/>
                  <w:sz w:val="18"/>
                  <w:szCs w:val="18"/>
                  <w:u w:val="single"/>
                  <w:lang w:eastAsia="en-US"/>
                </w:rPr>
                <w:t>00233-2019-0002</w:t>
              </w:r>
            </w:hyperlink>
          </w:p>
          <w:p w14:paraId="02E72CAB"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88" w:history="1">
              <w:r w:rsidRPr="00AA54FE">
                <w:rPr>
                  <w:rFonts w:ascii="Times New Roman" w:eastAsia="Calibri" w:hAnsi="Times New Roman" w:cs="Times New Roman"/>
                  <w:color w:val="0563C1"/>
                  <w:sz w:val="18"/>
                  <w:szCs w:val="18"/>
                  <w:u w:val="single"/>
                  <w:lang w:eastAsia="en-US"/>
                </w:rPr>
                <w:t>https://zop.rail-infra.bg:3737/DocumentList.aspx?SXHmTXofHwAfd6iknHV%2b%2bWtJKC9%2bTe8a</w:t>
              </w:r>
            </w:hyperlink>
          </w:p>
          <w:p w14:paraId="79A94015"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89" w:history="1">
              <w:r w:rsidRPr="00AA54FE">
                <w:rPr>
                  <w:rFonts w:ascii="Times New Roman" w:eastAsia="Calibri" w:hAnsi="Times New Roman" w:cs="Times New Roman"/>
                  <w:color w:val="0563C1"/>
                  <w:sz w:val="18"/>
                  <w:szCs w:val="18"/>
                  <w:u w:val="single"/>
                  <w:lang w:eastAsia="en-US"/>
                </w:rPr>
                <w:t>https://www.aop.bg/ng/form.php?mode=view&amp;class=F02_2014&amp;id=887125</w:t>
              </w:r>
            </w:hyperlink>
            <w:r w:rsidRPr="00AA54FE">
              <w:rPr>
                <w:rFonts w:ascii="Times New Roman" w:eastAsia="Calibri" w:hAnsi="Times New Roman" w:cs="Times New Roman"/>
                <w:color w:val="0563C1"/>
                <w:sz w:val="18"/>
                <w:szCs w:val="18"/>
                <w:u w:val="single"/>
                <w:lang w:eastAsia="en-US"/>
              </w:rPr>
              <w:t>,</w:t>
            </w:r>
          </w:p>
          <w:p w14:paraId="6D0C6D06"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или 4,22 % от договора за изпълнение на строителството на обект: „Реконструкция на гаров комплекс Стара Загора“, договор №6582/25.10.2019 г. на стойност 9 726 944,27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90"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91"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w:t>
              </w:r>
              <w:r w:rsidRPr="00AA54FE">
                <w:rPr>
                  <w:rFonts w:ascii="Times New Roman" w:eastAsia="Calibri" w:hAnsi="Times New Roman" w:cs="Times New Roman"/>
                  <w:color w:val="0563C1"/>
                  <w:sz w:val="18"/>
                  <w:szCs w:val="18"/>
                  <w:u w:val="single"/>
                  <w:lang w:eastAsia="en-US"/>
                </w:rPr>
                <w:lastRenderedPageBreak/>
                <w:t>процедури/?YlvmS1RacnH797zA9WTVFlpL0dmi%2bqX3Z6OXGBhxGmlHuZcK%2buye8e1T%2bYWSFB1j7W8MPEMCQPpkyIMgYTnFqA%3d%3d</w:t>
              </w:r>
            </w:hyperlink>
          </w:p>
          <w:p w14:paraId="10BF78A4"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 Договор № 6653/10.12.2019 г. за "Оценка на съответствието и строителен надзор за обект: "Реконструкция на гаров комплекс Нова Загора" на стойност 109 999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92" w:tgtFrame="_blank" w:history="1">
              <w:r w:rsidRPr="00AA54FE">
                <w:rPr>
                  <w:rFonts w:ascii="Times New Roman" w:eastAsia="Calibri" w:hAnsi="Times New Roman" w:cs="Times New Roman"/>
                  <w:sz w:val="18"/>
                  <w:szCs w:val="18"/>
                  <w:u w:val="single"/>
                  <w:lang w:eastAsia="en-US"/>
                </w:rPr>
                <w:t>00233-2019-0042</w:t>
              </w:r>
            </w:hyperlink>
            <w:r w:rsidRPr="00AA54FE">
              <w:rPr>
                <w:rFonts w:ascii="Times New Roman" w:eastAsia="Calibri" w:hAnsi="Times New Roman" w:cs="Times New Roman"/>
                <w:sz w:val="18"/>
                <w:szCs w:val="18"/>
                <w:u w:val="single"/>
                <w:lang w:eastAsia="en-US"/>
              </w:rPr>
              <w:t xml:space="preserve"> - </w:t>
            </w:r>
            <w:hyperlink r:id="rId93" w:history="1">
              <w:r w:rsidRPr="00AA54FE">
                <w:rPr>
                  <w:rFonts w:ascii="Times New Roman" w:eastAsia="Calibri" w:hAnsi="Times New Roman" w:cs="Times New Roman"/>
                  <w:color w:val="0563C1"/>
                  <w:sz w:val="18"/>
                  <w:szCs w:val="18"/>
                  <w:u w:val="single"/>
                  <w:lang w:eastAsia="en-US"/>
                </w:rPr>
                <w:t>https://zop.rail-infra.bg:3737/DocumentList.aspx?SXHmTXofHwBwkromNcrKf8Y%2f5CsOcY7t</w:t>
              </w:r>
            </w:hyperlink>
            <w:r w:rsidRPr="00AA54FE">
              <w:rPr>
                <w:rFonts w:ascii="Times New Roman" w:eastAsia="Calibri" w:hAnsi="Times New Roman" w:cs="Times New Roman"/>
                <w:sz w:val="18"/>
                <w:szCs w:val="18"/>
                <w:lang w:eastAsia="en-US"/>
              </w:rPr>
              <w:t>,</w:t>
            </w:r>
          </w:p>
          <w:p w14:paraId="1C83EFFD"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или 4,04 % от договора за изпълнение на строителството на обект: „Реконструкция на гаров комплекс Нова Загора“, договор №11164/24.07.2020 на стойност 2 721 279,00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94" w:tgtFrame="_blank" w:history="1">
              <w:r w:rsidRPr="00AA54FE">
                <w:rPr>
                  <w:rFonts w:ascii="Times New Roman" w:eastAsia="Calibri" w:hAnsi="Times New Roman" w:cs="Times New Roman"/>
                  <w:sz w:val="18"/>
                  <w:szCs w:val="18"/>
                  <w:lang w:eastAsia="en-US"/>
                </w:rPr>
                <w:t>00233-2019-0084</w:t>
              </w:r>
            </w:hyperlink>
          </w:p>
          <w:p w14:paraId="0C9A9089" w14:textId="77777777" w:rsidR="00AA54FE" w:rsidRPr="00AA54FE" w:rsidRDefault="00AA54FE" w:rsidP="00AA54FE">
            <w:pPr>
              <w:spacing w:line="259" w:lineRule="auto"/>
              <w:rPr>
                <w:rFonts w:ascii="Calibri" w:eastAsia="Calibri" w:hAnsi="Calibri" w:cs="Times New Roman"/>
                <w:color w:val="0563C1"/>
                <w:u w:val="single"/>
                <w:lang w:eastAsia="en-US"/>
              </w:rPr>
            </w:pPr>
            <w:hyperlink r:id="rId95"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20A7802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Средноаритметично се получава 4,13% ((4,22+4,04)/2=4,13%), като за нуждите на определяне на индикативната стойност е взет закръглено 4% от договорите за изпълнение на съответното строителството. Дейностите в договорите, посочени като референтни са идентични на настоящия договор и включват:</w:t>
            </w:r>
          </w:p>
          <w:p w14:paraId="54EC54B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Извършване оценка съответствието на Техническия проект, изготвяне на доклад за оценка съответствието, дейности по съгласуване и одобряване на проекта във фаза работно проектиране</w:t>
            </w:r>
          </w:p>
          <w:p w14:paraId="097A2C8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Упражняване на строителен надзор, изготвяне на окончателен доклад и дейности по въвеждане на обекта в експлоатация</w:t>
            </w:r>
          </w:p>
          <w:p w14:paraId="2F0ACDD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Координиране и контрол по изпълнението на договора за проектиране и строителство</w:t>
            </w:r>
          </w:p>
          <w:p w14:paraId="4C86D38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Актуализация и изготвяне на технически паспорт.</w:t>
            </w:r>
          </w:p>
          <w:p w14:paraId="6B6D742C"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Обемът на дейностите и стойността на договорите за строителен надзор/консултант са пряко свързани с обема и обхвата, съответно - стойността на договорите за строителство, като за целите на определяне на индикативна стойност може да се използва относителна стойност, получена от референтните договори. </w:t>
            </w:r>
            <w:r w:rsidRPr="00AA54FE">
              <w:rPr>
                <w:rFonts w:ascii="Times New Roman" w:eastAsia="Calibri" w:hAnsi="Times New Roman" w:cs="Times New Roman"/>
                <w:b/>
                <w:sz w:val="18"/>
                <w:szCs w:val="18"/>
                <w:lang w:eastAsia="en-US"/>
              </w:rPr>
              <w:t xml:space="preserve">При изчисляването е взет референтната стойност от 4% от стойността на договора за строителство. </w:t>
            </w:r>
            <w:r w:rsidRPr="00AA54FE">
              <w:rPr>
                <w:rFonts w:ascii="Times New Roman" w:eastAsia="Calibri" w:hAnsi="Times New Roman" w:cs="Times New Roman"/>
                <w:sz w:val="18"/>
                <w:szCs w:val="18"/>
                <w:lang w:eastAsia="en-US"/>
              </w:rPr>
              <w:t>Договорите за строителство са със сходен обхват с настоящия, тъй като съдържат изграждане на железен път, околно пространство, обществена сграда. Има и различия, но за такъв тип смесено обществено-инфраструктурни обекти с необходимата точност може да се използват като референтни проекти за определяне на индикативен процент на консултантските работи по ЗУТ към строителната стойност.</w:t>
            </w:r>
          </w:p>
          <w:p w14:paraId="610EBA8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Предвидените услуги, които ще бъдат възложени на консултанта са с идентичен предмет, обем и срокове, както посочените по-горе два договора. Те са възложени скоро и са достоверен източник/аналог за определяне на индикативната стойност на обществената поръчка/договор. </w:t>
            </w:r>
          </w:p>
          <w:p w14:paraId="0D17120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Дейностите, заложени за изпълнение в обхвата на консултанта в настоящата процедура, както и в посочените по-горе два договора (за гарови комплекси Стара Загора и Нова Загора) обхващат оценка на проектирането и координиране и контрол по изпълнението на договора за проектиране и строителство, които по същество отговарят на общите условия на </w:t>
            </w:r>
            <w:r w:rsidRPr="00AA54FE">
              <w:rPr>
                <w:rFonts w:ascii="Times New Roman" w:eastAsia="Calibri" w:hAnsi="Times New Roman" w:cs="Times New Roman"/>
                <w:sz w:val="18"/>
                <w:szCs w:val="18"/>
                <w:lang w:val="en-US" w:eastAsia="en-US"/>
              </w:rPr>
              <w:t>FIDIC</w:t>
            </w:r>
            <w:r w:rsidRPr="00AA54FE">
              <w:rPr>
                <w:rFonts w:ascii="Times New Roman" w:eastAsia="Calibri" w:hAnsi="Times New Roman" w:cs="Times New Roman"/>
                <w:sz w:val="18"/>
                <w:szCs w:val="18"/>
                <w:lang w:eastAsia="en-US"/>
              </w:rPr>
              <w:t>. Следва да се има предвид, че на фаза подготовка на проектите няма заложени дейности за техническо проектиране.</w:t>
            </w:r>
          </w:p>
          <w:p w14:paraId="491B84D6"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определяне на индикативната стойност може да бъде използван и договора за упражняване на строителен надзор по ЗУТ и консултантски услуги на Инженер по ФИДИК на референтния за строителството договор за изграждане на ИМТ Пловдив. При неговото прилагане отново се получава 4 % от стойността на извършване на СМР - Договор № 4654/23.05.2014 г. (Приложен към документите – папка „04_Договор № 4654 - Рубикон-ТЕСТ“) с предмет „Оценка на съответствието на инвестиционния проект със съществените изисквания към строежите и упражняване на строителен надзор на обект "Изграждане на интермодален терминал в Южен централен район на планиране в България – Пловдив"  448 950,00 лв. без ДДС, част от проект "Изграждане на интермодален терминал в Южен централен район на планиране в България" финансиран по Оперативна програма „Транспорт“ 2007 -2013. Поръчката е с преписка номер в РОП 00233-2013-0001</w:t>
            </w:r>
          </w:p>
          <w:p w14:paraId="3FC3EDF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hyperlink r:id="rId96"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https://www.rail-infra.bg/профил-на-купувача/текущи-процедури/?YlvmS1RacnH797zA9WTVFlpL0dmi%2bqX3Z6OXGBhxGmlHuZcK%2buye8e1T%2bYWSFB1j7W8MPEMCQPo73FglOLenUg%3d%3d</w:t>
              </w:r>
            </w:hyperlink>
          </w:p>
          <w:p w14:paraId="5A8D0FF8"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b/>
                <w:sz w:val="18"/>
                <w:szCs w:val="18"/>
                <w:lang w:eastAsia="en-US"/>
              </w:rPr>
              <w:t>При изчисляването е взет референтната стойност от 4% от стойността на договора за строителство.</w:t>
            </w:r>
          </w:p>
          <w:p w14:paraId="70AA84D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съответствието и упражняване на строителен надзор по ЗУТ.</w:t>
            </w:r>
          </w:p>
          <w:p w14:paraId="58B8287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tc>
        <w:tc>
          <w:tcPr>
            <w:tcW w:w="1146" w:type="dxa"/>
            <w:vMerge/>
            <w:tcBorders>
              <w:top w:val="nil"/>
              <w:left w:val="single" w:sz="4" w:space="0" w:color="auto"/>
              <w:bottom w:val="single" w:sz="8" w:space="0" w:color="000000"/>
              <w:right w:val="single" w:sz="8" w:space="0" w:color="auto"/>
            </w:tcBorders>
            <w:vAlign w:val="center"/>
            <w:hideMark/>
          </w:tcPr>
          <w:p w14:paraId="2BF45131"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57B40331" w14:textId="77777777" w:rsidTr="000D243F">
        <w:trPr>
          <w:gridAfter w:val="1"/>
          <w:wAfter w:w="6" w:type="dxa"/>
          <w:trHeight w:val="825"/>
        </w:trPr>
        <w:tc>
          <w:tcPr>
            <w:tcW w:w="1140" w:type="dxa"/>
            <w:gridSpan w:val="3"/>
            <w:tcBorders>
              <w:top w:val="single" w:sz="4"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960B74"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lastRenderedPageBreak/>
              <w:t>Договор за подготовка на обекта</w:t>
            </w:r>
          </w:p>
        </w:tc>
        <w:tc>
          <w:tcPr>
            <w:tcW w:w="1413"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4230DC" w14:textId="77777777" w:rsidR="00AA54FE" w:rsidRPr="00AA54FE" w:rsidRDefault="00AA54FE" w:rsidP="00AA54FE">
            <w:pPr>
              <w:spacing w:after="160" w:line="259" w:lineRule="auto"/>
              <w:jc w:val="center"/>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1 90</w:t>
            </w:r>
            <w:r w:rsidRPr="00AA54FE">
              <w:rPr>
                <w:rFonts w:ascii="Times New Roman" w:eastAsia="Calibri" w:hAnsi="Times New Roman" w:cs="Times New Roman"/>
                <w:sz w:val="18"/>
                <w:szCs w:val="18"/>
                <w:lang w:val="en-US" w:eastAsia="en-US"/>
              </w:rPr>
              <w:t>3 809</w:t>
            </w:r>
            <w:r w:rsidRPr="00AA54FE">
              <w:rPr>
                <w:rFonts w:ascii="Times New Roman" w:eastAsia="Calibri" w:hAnsi="Times New Roman" w:cs="Times New Roman"/>
                <w:sz w:val="18"/>
                <w:szCs w:val="18"/>
                <w:lang w:eastAsia="en-US"/>
              </w:rPr>
              <w:t>,00</w:t>
            </w:r>
          </w:p>
        </w:tc>
        <w:tc>
          <w:tcPr>
            <w:tcW w:w="66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8597250" w14:textId="77777777" w:rsidR="00AA54FE" w:rsidRPr="00AA54FE" w:rsidRDefault="00AA54FE" w:rsidP="00AA54FE">
            <w:pPr>
              <w:spacing w:line="259" w:lineRule="auto"/>
              <w:jc w:val="both"/>
              <w:rPr>
                <w:rFonts w:ascii="Times New Roman" w:eastAsia="Calibri" w:hAnsi="Times New Roman" w:cs="Times New Roman"/>
                <w:b/>
                <w:color w:val="000000"/>
                <w:sz w:val="18"/>
                <w:szCs w:val="18"/>
                <w:lang w:eastAsia="en-US"/>
              </w:rPr>
            </w:pPr>
            <w:r w:rsidRPr="00AA54FE">
              <w:rPr>
                <w:rFonts w:ascii="Times New Roman" w:eastAsia="Calibri" w:hAnsi="Times New Roman" w:cs="Times New Roman"/>
                <w:color w:val="000000"/>
                <w:sz w:val="18"/>
                <w:szCs w:val="18"/>
                <w:lang w:eastAsia="en-US"/>
              </w:rPr>
              <w:t xml:space="preserve">За референтен договор и стойност може да се използва договор за подготовка на проекта за ИМТ Русе - Договор № 4870/07.01.2015 г. (Приложен към документите – папка „05_Договор №4870 - Дунав“) с предмет “Изготвяне на предпроектни проучвания, идеен проект, ПУП и подготовка на </w:t>
            </w:r>
            <w:proofErr w:type="spellStart"/>
            <w:r w:rsidRPr="00AA54FE">
              <w:rPr>
                <w:rFonts w:ascii="Times New Roman" w:eastAsia="Calibri" w:hAnsi="Times New Roman" w:cs="Times New Roman"/>
                <w:color w:val="000000"/>
                <w:sz w:val="18"/>
                <w:szCs w:val="18"/>
                <w:lang w:eastAsia="en-US"/>
              </w:rPr>
              <w:t>отчуждителни</w:t>
            </w:r>
            <w:proofErr w:type="spellEnd"/>
            <w:r w:rsidRPr="00AA54FE">
              <w:rPr>
                <w:rFonts w:ascii="Times New Roman" w:eastAsia="Calibri" w:hAnsi="Times New Roman" w:cs="Times New Roman"/>
                <w:color w:val="000000"/>
                <w:sz w:val="18"/>
                <w:szCs w:val="18"/>
                <w:lang w:eastAsia="en-US"/>
              </w:rPr>
              <w:t xml:space="preserve"> процедури за проект „Изграждане на интермодален терминал в Северен централен район на планиране в България – Русе” на стойност 3 898 900 лв. без ДДС, част от проект</w:t>
            </w:r>
            <w:r w:rsidRPr="00AA54FE">
              <w:rPr>
                <w:rFonts w:ascii="Calibri" w:eastAsia="Calibri" w:hAnsi="Calibri" w:cs="Times New Roman"/>
                <w:lang w:eastAsia="en-US"/>
              </w:rPr>
              <w:t xml:space="preserve"> </w:t>
            </w:r>
            <w:r w:rsidRPr="00AA54FE">
              <w:rPr>
                <w:rFonts w:ascii="Times New Roman" w:eastAsia="Calibri" w:hAnsi="Times New Roman" w:cs="Times New Roman"/>
                <w:color w:val="000000"/>
                <w:sz w:val="18"/>
                <w:szCs w:val="18"/>
                <w:lang w:eastAsia="en-US"/>
              </w:rPr>
              <w:t xml:space="preserve">"Техническа помощ за изграждане на интермодален терминал в Северен централен район на планиране в България – Русе" финансиран по Оперативна програма „Транспорт“ 2007 -2013 . Или </w:t>
            </w:r>
            <w:r w:rsidRPr="00AA54FE">
              <w:rPr>
                <w:rFonts w:ascii="Times New Roman" w:eastAsia="Calibri" w:hAnsi="Times New Roman" w:cs="Times New Roman"/>
                <w:color w:val="000000"/>
                <w:sz w:val="18"/>
                <w:szCs w:val="18"/>
                <w:lang w:val="ru-RU" w:eastAsia="en-US"/>
              </w:rPr>
              <w:t>9</w:t>
            </w:r>
            <w:r w:rsidRPr="00AA54FE">
              <w:rPr>
                <w:rFonts w:ascii="Times New Roman" w:eastAsia="Calibri" w:hAnsi="Times New Roman" w:cs="Times New Roman"/>
                <w:color w:val="000000"/>
                <w:sz w:val="18"/>
                <w:szCs w:val="18"/>
                <w:lang w:eastAsia="en-US"/>
              </w:rPr>
              <w:t>,</w:t>
            </w:r>
            <w:r w:rsidRPr="00AA54FE">
              <w:rPr>
                <w:rFonts w:ascii="Times New Roman" w:eastAsia="Calibri" w:hAnsi="Times New Roman" w:cs="Times New Roman"/>
                <w:color w:val="000000"/>
                <w:sz w:val="18"/>
                <w:szCs w:val="18"/>
                <w:lang w:val="ru-RU" w:eastAsia="en-US"/>
              </w:rPr>
              <w:t xml:space="preserve">28 % </w:t>
            </w:r>
            <w:r w:rsidRPr="00AA54FE">
              <w:rPr>
                <w:rFonts w:ascii="Times New Roman" w:eastAsia="Calibri" w:hAnsi="Times New Roman" w:cs="Times New Roman"/>
                <w:color w:val="000000"/>
                <w:sz w:val="18"/>
                <w:szCs w:val="18"/>
                <w:lang w:eastAsia="en-US"/>
              </w:rPr>
              <w:t xml:space="preserve">от стойността на СМР, при определени 42 млн. лв. по обобщени количествено-стойностни сметки. </w:t>
            </w:r>
            <w:r w:rsidRPr="00AA54FE">
              <w:rPr>
                <w:rFonts w:ascii="Times New Roman" w:eastAsia="Calibri" w:hAnsi="Times New Roman" w:cs="Times New Roman"/>
                <w:b/>
                <w:color w:val="000000"/>
                <w:sz w:val="18"/>
                <w:szCs w:val="18"/>
                <w:lang w:eastAsia="en-US"/>
              </w:rPr>
              <w:t>Тази стойност 9,28% е използвана и за определяне на индикативната стойност на настоящия договор.</w:t>
            </w:r>
          </w:p>
          <w:p w14:paraId="7A8353C8"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sz w:val="18"/>
                <w:szCs w:val="18"/>
                <w:lang w:eastAsia="en-US"/>
              </w:rPr>
              <w:t xml:space="preserve">Поръчката е с преписка номер в АОП: </w:t>
            </w:r>
            <w:hyperlink r:id="rId97" w:tgtFrame="_blank" w:history="1">
              <w:r w:rsidRPr="00AA54FE">
                <w:rPr>
                  <w:rFonts w:ascii="Times New Roman" w:eastAsia="Calibri" w:hAnsi="Times New Roman" w:cs="Times New Roman"/>
                  <w:sz w:val="18"/>
                  <w:szCs w:val="18"/>
                  <w:lang w:eastAsia="en-US"/>
                </w:rPr>
                <w:t>00233-2013-0012</w:t>
              </w:r>
            </w:hyperlink>
          </w:p>
          <w:p w14:paraId="1B320F01"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98"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https://www.rail-infra.bg/профил-на-купувача/текущи-процедури/?YlvmS1RacnH797zA9WTVFlpL0dmi%2bqX3Z6OXGBhxGmlHuZcK%2buye8e1T%2bYWSFB1j7W8MPEMCQPqPhRlbL%2bGxqA%3d%3d</w:t>
              </w:r>
            </w:hyperlink>
          </w:p>
          <w:p w14:paraId="6A7649D7"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99" w:history="1">
              <w:r w:rsidRPr="00AA54FE">
                <w:rPr>
                  <w:rFonts w:ascii="Times New Roman" w:eastAsia="Calibri" w:hAnsi="Times New Roman" w:cs="Times New Roman"/>
                  <w:color w:val="0563C1"/>
                  <w:sz w:val="18"/>
                  <w:szCs w:val="18"/>
                  <w:u w:val="single"/>
                  <w:lang w:eastAsia="en-US"/>
                </w:rPr>
                <w:t>https://www.aop.bg/case2.php?mode=show_case&amp;case_id=277367</w:t>
              </w:r>
            </w:hyperlink>
          </w:p>
          <w:p w14:paraId="56FBAAF3"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За изграждането на ИМТ Пловдив има сключени няколко договора (един основен) за извършване на подготовка на проекта. Тъй като проектът за подготовка на ИМТ Пловдив е първият за подготовка на точков обект след присъединяването към ЕС, по правилата на програмите, финансирани от Европейските фондове, този договор (около 2 млн. лв.) е с по-обширен обхват, първи в тази област и като вид, разполагащ с по-малко изходна информация за изготвянето на качествени предпроектни проучвания, считаме че по-релевантна към настоящата ситуация е аналогията с договора за ИМТ Русе.</w:t>
            </w:r>
          </w:p>
          <w:p w14:paraId="0FDA110F"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Не сме запознати за реализацията на сходен тип договори за подготовка на проект за интермодален терминал с осъществена последваща реализация на строителството. Ако се използва за референтен проект осъществения за ИМТ Пловдив то за относителна стойност на договора за подготовка към строителството ще се получи:</w:t>
            </w:r>
          </w:p>
          <w:p w14:paraId="3BCD2BB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Изпълнен договор за техническо проектиране и строителство № 4655/23.05.2014 г. - 11,343 млн. лв. по цени от 2012 г. от които 8 570 541,45 основна цена по договор и 2 773 006,47 лв. непредвидени и допълнителни дейности, .</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част от проект "Изграждане на интермодален терминал в Южен централен район на планиране в България" финансиран по Оперативна програма „Транспорт“ 2007 -2013</w:t>
            </w:r>
          </w:p>
          <w:p w14:paraId="4911E477" w14:textId="77777777" w:rsidR="00AA54FE" w:rsidRPr="00AA54FE" w:rsidRDefault="00AA54FE" w:rsidP="00AA54FE">
            <w:pPr>
              <w:spacing w:line="259" w:lineRule="auto"/>
              <w:jc w:val="both"/>
              <w:rPr>
                <w:rFonts w:ascii="Calibri" w:eastAsia="Calibri" w:hAnsi="Calibri" w:cs="Times New Roman"/>
                <w:lang w:eastAsia="en-US"/>
              </w:rPr>
            </w:pPr>
            <w:r w:rsidRPr="00AA54FE">
              <w:rPr>
                <w:rFonts w:ascii="Times New Roman" w:eastAsia="Calibri" w:hAnsi="Times New Roman" w:cs="Times New Roman"/>
                <w:sz w:val="18"/>
                <w:szCs w:val="18"/>
                <w:lang w:eastAsia="en-US"/>
              </w:rPr>
              <w:t>УИН на преписката в АОП:</w:t>
            </w:r>
            <w:r w:rsidRPr="00AA54FE">
              <w:rPr>
                <w:rFonts w:ascii="Times New Roman" w:eastAsia="Calibri" w:hAnsi="Times New Roman" w:cs="Times New Roman"/>
                <w:sz w:val="18"/>
                <w:szCs w:val="18"/>
                <w:shd w:val="clear" w:color="auto" w:fill="FFFFFF"/>
                <w:lang w:eastAsia="en-US"/>
              </w:rPr>
              <w:t xml:space="preserve">  </w:t>
            </w:r>
            <w:r w:rsidRPr="00AA54FE">
              <w:rPr>
                <w:rFonts w:ascii="Times New Roman" w:eastAsia="Calibri" w:hAnsi="Times New Roman" w:cs="Times New Roman"/>
                <w:sz w:val="18"/>
                <w:szCs w:val="18"/>
                <w:lang w:eastAsia="en-US"/>
              </w:rPr>
              <w:t>00233-2012-0062</w:t>
            </w:r>
          </w:p>
          <w:p w14:paraId="4E7687CA"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100" w:history="1">
              <w:r w:rsidRPr="00AA54FE">
                <w:rPr>
                  <w:rFonts w:ascii="Times New Roman" w:eastAsia="Calibri" w:hAnsi="Times New Roman" w:cs="Times New Roman"/>
                  <w:color w:val="0563C1"/>
                  <w:sz w:val="18"/>
                  <w:szCs w:val="18"/>
                  <w:u w:val="single"/>
                  <w:lang w:eastAsia="en-US"/>
                </w:rPr>
                <w:t>https://zop.rail-infra.bg:3737/DocumentList.aspx?SXHmTXofHwBgMuvjQYvwEstxlvhvw9KG</w:t>
              </w:r>
            </w:hyperlink>
          </w:p>
          <w:p w14:paraId="34443310"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Изпълнен договор за подготовка на проекта за изграждане на ИМТ Пловдив, съгласно наличната информация – 2 000 000 лв. без ДДС</w:t>
            </w:r>
          </w:p>
          <w:p w14:paraId="3767CF1F"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color w:val="0563C1"/>
                <w:sz w:val="18"/>
                <w:szCs w:val="18"/>
                <w:u w:val="single"/>
                <w:lang w:eastAsia="en-US"/>
              </w:rPr>
              <w:t xml:space="preserve">УИН на преписката в АОП: 00233-2009-0002 </w:t>
            </w:r>
          </w:p>
          <w:p w14:paraId="248197BA"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101" w:history="1">
              <w:r w:rsidRPr="00AA54FE">
                <w:rPr>
                  <w:rFonts w:ascii="Times New Roman" w:eastAsia="Calibri" w:hAnsi="Times New Roman" w:cs="Times New Roman"/>
                  <w:color w:val="0563C1"/>
                  <w:sz w:val="18"/>
                  <w:szCs w:val="18"/>
                  <w:u w:val="single"/>
                  <w:lang w:eastAsia="en-US"/>
                </w:rPr>
                <w:t>https://www.aop.bg/case2.php?mode=show_case&amp;case_id=87493</w:t>
              </w:r>
            </w:hyperlink>
          </w:p>
          <w:p w14:paraId="1AA68EA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или съответно 23,3 % от договора за СМР с включени непредвидени и допълнителни разходи и 17,6 % от основния договор за СМР. Както се вижда тези проценти не са референтни за настоящия обем, обхват и стратегически етап на развитие на проекта. Затова и определения за ИМТ Русе е единственият релевантен подобен договор, който дава една приблизителна относителност индикативната стойност на договора за подготовка.</w:t>
            </w:r>
          </w:p>
          <w:p w14:paraId="02BAFBC7"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Изпълнението по тази обществена поръчка (дейност) ще включва:</w:t>
            </w:r>
          </w:p>
          <w:p w14:paraId="5A59BEBC"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 xml:space="preserve">Изработване на предпроектни проучвания за перспективите за изграждане на ИМТ Горна Оряховица; Изготвяне на обосновка и препоръка за избор на технически и икономически най-ефективен вариант, идеен проект, финансов и икономически АРП (анализ на разходите и ползите) за изграждане на ИМТ Горна Оряховица; Разработване и съгласуване на Подробен устройствен план - План за регулация и застрояване и </w:t>
            </w:r>
            <w:proofErr w:type="spellStart"/>
            <w:r w:rsidRPr="00AA54FE">
              <w:rPr>
                <w:rFonts w:ascii="Times New Roman" w:eastAsia="Calibri" w:hAnsi="Times New Roman" w:cs="Times New Roman"/>
                <w:color w:val="000000"/>
                <w:sz w:val="18"/>
                <w:szCs w:val="18"/>
                <w:lang w:eastAsia="en-US"/>
              </w:rPr>
              <w:t>Парцеларен</w:t>
            </w:r>
            <w:proofErr w:type="spellEnd"/>
            <w:r w:rsidRPr="00AA54FE">
              <w:rPr>
                <w:rFonts w:ascii="Times New Roman" w:eastAsia="Calibri" w:hAnsi="Times New Roman" w:cs="Times New Roman"/>
                <w:color w:val="000000"/>
                <w:sz w:val="18"/>
                <w:szCs w:val="18"/>
                <w:lang w:eastAsia="en-US"/>
              </w:rPr>
              <w:t xml:space="preserve"> план на терена; Извършване на екологичните процедури. Изработване на стратегия за изграждане и функциониране на интермодален терминал Горна Оряховица, с включено проучване на възможностите за съвместно финансиране и стопанисване с други държавни предприятия и/или публично-частно партньорство в реалния сектор; Изработване на Стратегия за етапна реализация на проекта за изграждане на ИМТ Горна Оряховица и изготвяне на Техническо задание и проект на договори за всички дейности по изграждането на ИМТ Горна Оряховица.</w:t>
            </w:r>
          </w:p>
          <w:p w14:paraId="3FF70A0A"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подготовка на проекта.</w:t>
            </w:r>
          </w:p>
          <w:p w14:paraId="03490704"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239ECEB7" w14:textId="77777777" w:rsidR="00AA54FE" w:rsidRPr="00AA54FE" w:rsidRDefault="00AA54FE" w:rsidP="00AA54FE">
            <w:pPr>
              <w:spacing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sz w:val="18"/>
                <w:szCs w:val="18"/>
                <w:lang w:eastAsia="en-US"/>
              </w:rPr>
              <w:t xml:space="preserve">Приложено е КСС за изграждане на ИМТ Русе, подготвено по </w:t>
            </w:r>
            <w:r w:rsidRPr="00AA54FE">
              <w:rPr>
                <w:rFonts w:ascii="Times New Roman" w:eastAsia="Calibri" w:hAnsi="Times New Roman" w:cs="Times New Roman"/>
                <w:color w:val="000000"/>
                <w:sz w:val="18"/>
                <w:szCs w:val="18"/>
                <w:lang w:eastAsia="en-US"/>
              </w:rPr>
              <w:t>Договор № 4870/07.01.2015 г. – приложени са два файла във формат *.</w:t>
            </w:r>
            <w:proofErr w:type="spellStart"/>
            <w:r w:rsidRPr="00AA54FE">
              <w:rPr>
                <w:rFonts w:ascii="Times New Roman" w:eastAsia="Calibri" w:hAnsi="Times New Roman" w:cs="Times New Roman"/>
                <w:color w:val="000000"/>
                <w:sz w:val="18"/>
                <w:szCs w:val="18"/>
                <w:lang w:val="en-US" w:eastAsia="en-US"/>
              </w:rPr>
              <w:t>xls</w:t>
            </w:r>
            <w:proofErr w:type="spellEnd"/>
            <w:r w:rsidRPr="00AA54FE">
              <w:rPr>
                <w:rFonts w:ascii="Times New Roman" w:eastAsia="Calibri" w:hAnsi="Times New Roman" w:cs="Times New Roman"/>
                <w:color w:val="000000"/>
                <w:sz w:val="18"/>
                <w:szCs w:val="18"/>
                <w:lang w:eastAsia="en-US"/>
              </w:rPr>
              <w:t xml:space="preserve">: </w:t>
            </w:r>
            <w:r w:rsidRPr="00AA54FE">
              <w:rPr>
                <w:rFonts w:ascii="Times New Roman" w:eastAsia="Calibri" w:hAnsi="Times New Roman" w:cs="Times New Roman"/>
                <w:i/>
                <w:color w:val="000000"/>
                <w:sz w:val="18"/>
                <w:szCs w:val="18"/>
                <w:lang w:eastAsia="en-US"/>
              </w:rPr>
              <w:t xml:space="preserve">ИМТ Русе </w:t>
            </w:r>
            <w:r w:rsidRPr="00AA54FE">
              <w:rPr>
                <w:rFonts w:ascii="Times New Roman" w:eastAsia="Calibri" w:hAnsi="Times New Roman" w:cs="Times New Roman"/>
                <w:i/>
                <w:color w:val="000000"/>
                <w:sz w:val="18"/>
                <w:szCs w:val="18"/>
                <w:lang w:val="en-US" w:eastAsia="en-US"/>
              </w:rPr>
              <w:t>C</w:t>
            </w:r>
            <w:r w:rsidRPr="00AA54FE">
              <w:rPr>
                <w:rFonts w:ascii="Times New Roman" w:eastAsia="Calibri" w:hAnsi="Times New Roman" w:cs="Times New Roman"/>
                <w:i/>
                <w:color w:val="000000"/>
                <w:sz w:val="18"/>
                <w:szCs w:val="18"/>
                <w:lang w:eastAsia="en-US"/>
              </w:rPr>
              <w:t>-1-1-10092015-01-</w:t>
            </w:r>
            <w:r w:rsidRPr="00AA54FE">
              <w:rPr>
                <w:rFonts w:ascii="Times New Roman" w:eastAsia="Calibri" w:hAnsi="Times New Roman" w:cs="Times New Roman"/>
                <w:i/>
                <w:color w:val="000000"/>
                <w:sz w:val="18"/>
                <w:szCs w:val="18"/>
                <w:lang w:val="en-US" w:eastAsia="en-US"/>
              </w:rPr>
              <w:t>Rev</w:t>
            </w:r>
            <w:r w:rsidRPr="00AA54FE">
              <w:rPr>
                <w:rFonts w:ascii="Times New Roman" w:eastAsia="Calibri" w:hAnsi="Times New Roman" w:cs="Times New Roman"/>
                <w:i/>
                <w:color w:val="000000"/>
                <w:sz w:val="18"/>
                <w:szCs w:val="18"/>
                <w:lang w:eastAsia="en-US"/>
              </w:rPr>
              <w:t>.3.</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i/>
                <w:color w:val="000000"/>
                <w:sz w:val="18"/>
                <w:szCs w:val="18"/>
                <w:lang w:eastAsia="en-US"/>
              </w:rPr>
              <w:t xml:space="preserve"> </w:t>
            </w:r>
            <w:r w:rsidRPr="00AA54FE">
              <w:rPr>
                <w:rFonts w:ascii="Times New Roman" w:eastAsia="Calibri" w:hAnsi="Times New Roman" w:cs="Times New Roman"/>
                <w:color w:val="000000"/>
                <w:sz w:val="18"/>
                <w:szCs w:val="18"/>
                <w:lang w:eastAsia="en-US"/>
              </w:rPr>
              <w:t xml:space="preserve">(Анализ „Разходи ползи“ за инвестиционния проект, таблица „Инвестиции“ – вариант С-1); </w:t>
            </w:r>
            <w:r w:rsidRPr="00AA54FE">
              <w:rPr>
                <w:rFonts w:ascii="Times New Roman" w:eastAsia="Calibri" w:hAnsi="Times New Roman" w:cs="Times New Roman"/>
                <w:i/>
                <w:color w:val="000000"/>
                <w:sz w:val="18"/>
                <w:szCs w:val="18"/>
                <w:lang w:eastAsia="en-US"/>
              </w:rPr>
              <w:t>04 ITR-0-GPQ-01-0P.</w:t>
            </w:r>
            <w:proofErr w:type="spellStart"/>
            <w:r w:rsidRPr="00AA54FE">
              <w:rPr>
                <w:rFonts w:ascii="Times New Roman" w:eastAsia="Calibri" w:hAnsi="Times New Roman" w:cs="Times New Roman"/>
                <w:i/>
                <w:color w:val="000000"/>
                <w:sz w:val="18"/>
                <w:szCs w:val="18"/>
                <w:lang w:val="en-US" w:eastAsia="en-US"/>
              </w:rPr>
              <w:t>xls</w:t>
            </w:r>
            <w:proofErr w:type="spellEnd"/>
            <w:r w:rsidRPr="00AA54FE">
              <w:rPr>
                <w:rFonts w:ascii="Times New Roman" w:eastAsia="Calibri" w:hAnsi="Times New Roman" w:cs="Times New Roman"/>
                <w:color w:val="000000"/>
                <w:sz w:val="18"/>
                <w:szCs w:val="18"/>
                <w:lang w:eastAsia="en-US"/>
              </w:rPr>
              <w:t xml:space="preserve"> (сравнителна КСС за различните варианти – избран е вариант С-1)</w:t>
            </w:r>
          </w:p>
        </w:tc>
        <w:tc>
          <w:tcPr>
            <w:tcW w:w="1146" w:type="dxa"/>
            <w:vMerge/>
            <w:tcBorders>
              <w:top w:val="nil"/>
              <w:left w:val="single" w:sz="4" w:space="0" w:color="auto"/>
              <w:bottom w:val="single" w:sz="8" w:space="0" w:color="000000"/>
              <w:right w:val="single" w:sz="8" w:space="0" w:color="auto"/>
            </w:tcBorders>
            <w:vAlign w:val="center"/>
            <w:hideMark/>
          </w:tcPr>
          <w:p w14:paraId="1E6D070B"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1F2D460F" w14:textId="77777777" w:rsidTr="000D243F">
        <w:trPr>
          <w:gridAfter w:val="1"/>
          <w:wAfter w:w="6" w:type="dxa"/>
          <w:trHeight w:val="688"/>
        </w:trPr>
        <w:tc>
          <w:tcPr>
            <w:tcW w:w="1140" w:type="dxa"/>
            <w:gridSpan w:val="3"/>
            <w:tcBorders>
              <w:top w:val="single" w:sz="4"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14:paraId="2FEB529B"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Оценка ТСОС</w:t>
            </w:r>
          </w:p>
        </w:tc>
        <w:tc>
          <w:tcPr>
            <w:tcW w:w="1413" w:type="dxa"/>
            <w:gridSpan w:val="2"/>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p w14:paraId="71CCDC0C" w14:textId="77777777" w:rsidR="00AA54FE" w:rsidRPr="00AA54FE" w:rsidRDefault="00AA54FE" w:rsidP="00AA54FE">
            <w:pPr>
              <w:spacing w:after="160" w:line="259" w:lineRule="auto"/>
              <w:jc w:val="center"/>
              <w:rPr>
                <w:rFonts w:ascii="Times New Roman" w:eastAsia="Calibri" w:hAnsi="Times New Roman" w:cs="Times New Roman"/>
                <w:sz w:val="18"/>
                <w:szCs w:val="18"/>
                <w:lang w:eastAsia="en-US"/>
              </w:rPr>
            </w:pPr>
            <w:r w:rsidRPr="00AA54FE">
              <w:rPr>
                <w:rFonts w:ascii="Times New Roman" w:eastAsia="Calibri" w:hAnsi="Times New Roman" w:cs="Times New Roman"/>
                <w:color w:val="000000"/>
                <w:sz w:val="18"/>
                <w:szCs w:val="18"/>
                <w:lang w:eastAsia="en-US"/>
              </w:rPr>
              <w:t>430 </w:t>
            </w:r>
            <w:r w:rsidRPr="00AA54FE">
              <w:rPr>
                <w:rFonts w:ascii="Times New Roman" w:eastAsia="Calibri" w:hAnsi="Times New Roman" w:cs="Times New Roman"/>
                <w:color w:val="000000"/>
                <w:sz w:val="18"/>
                <w:szCs w:val="18"/>
                <w:lang w:val="en-US" w:eastAsia="en-US"/>
              </w:rPr>
              <w:t>818,75</w:t>
            </w:r>
          </w:p>
        </w:tc>
        <w:tc>
          <w:tcPr>
            <w:tcW w:w="666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p w14:paraId="5B22AD1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Обемът на дейностите и стойността на договора за консултант са пряко свързани с обхвата и стойността на договорите за строителство, като за целите на определяне на индикативната стойност са използвани действащи договори. Концепцията на реализация на ИМТ Пловдив беше с възлагане на строителя на дейностите по оценка на ТСОС, нямаме наличен референтен отделен договор за оценка на съответствието с ТСОС. </w:t>
            </w:r>
          </w:p>
          <w:p w14:paraId="5C5771E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 този случай с необходимата достоверност, поради сходността в обема на работа на консултанта могат да се използват вече посочените референции.</w:t>
            </w:r>
          </w:p>
          <w:p w14:paraId="21BA3C69"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Договор №6369/29.01.2019 г. за "Оценка на съответствието с изискванията за оперативна съвместимост на проект за реконструкция на гаров комплекс Стара Загора" на стойност 249 307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без ДДС - 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00AC3B2D"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hyperlink r:id="rId102" w:history="1">
              <w:r w:rsidRPr="00AA54FE">
                <w:rPr>
                  <w:rFonts w:ascii="Times New Roman" w:eastAsia="Calibri" w:hAnsi="Times New Roman" w:cs="Times New Roman"/>
                  <w:color w:val="0563C1"/>
                  <w:sz w:val="18"/>
                  <w:szCs w:val="18"/>
                  <w:u w:val="single"/>
                  <w:lang w:eastAsia="en-US"/>
                </w:rPr>
                <w:t>https://zop.rail-infra.bg:3737/BuyerProfile/Contract/id_1046/ОП%204-6369_Redacted.pdf</w:t>
              </w:r>
            </w:hyperlink>
            <w:r w:rsidRPr="00AA54FE">
              <w:rPr>
                <w:rFonts w:ascii="Times New Roman" w:eastAsia="Calibri" w:hAnsi="Times New Roman" w:cs="Times New Roman"/>
                <w:sz w:val="18"/>
                <w:szCs w:val="18"/>
                <w:lang w:eastAsia="en-US"/>
              </w:rPr>
              <w:t xml:space="preserve"> </w:t>
            </w:r>
          </w:p>
          <w:p w14:paraId="6A66D53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p>
          <w:p w14:paraId="060E4460"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103"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https://www.rail-infra.bg/профил-на-купувача/текущи-процедури/?YlvmS1RacnH797zA9WTVFlpL0dmi%2bqX3Z6OXGBhxGmlHuZcK%2buye8e1T%2bYWSFB1j7W8MPEMCQPqmSmhjzpdAKg%3d%3d</w:t>
              </w:r>
            </w:hyperlink>
          </w:p>
          <w:p w14:paraId="6C61C7F3"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или 2,56 % от договора за изпълнение на строителството на обект: „Реконструкция на гаров комплекс Стара Загора“, договор №6582/25.10.2019 г. на стойност 9 726 944,27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104" w:tgtFrame="_blank" w:history="1">
              <w:r w:rsidRPr="00AA54FE">
                <w:rPr>
                  <w:rFonts w:ascii="Times New Roman" w:eastAsia="Calibri" w:hAnsi="Times New Roman" w:cs="Times New Roman"/>
                  <w:sz w:val="18"/>
                  <w:szCs w:val="18"/>
                  <w:lang w:eastAsia="en-US"/>
                </w:rPr>
                <w:t>00233-2019-0001</w:t>
              </w:r>
            </w:hyperlink>
            <w:r w:rsidRPr="00AA54FE">
              <w:rPr>
                <w:rFonts w:ascii="Times New Roman" w:eastAsia="Calibri" w:hAnsi="Times New Roman" w:cs="Times New Roman"/>
                <w:sz w:val="18"/>
                <w:szCs w:val="18"/>
                <w:lang w:eastAsia="en-US"/>
              </w:rPr>
              <w:t xml:space="preserve"> - </w:t>
            </w:r>
            <w:hyperlink r:id="rId105"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p>
          <w:p w14:paraId="7E40B48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 </w:t>
            </w:r>
          </w:p>
          <w:p w14:paraId="1359A33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Договор №6354/15.01.2019 г. за "Оценка на съответствието с изискванията за оперативна съвместимост на проект за реконструкция на гаров комплекс Нова Загора" на стойност 44 858 лв.</w:t>
            </w:r>
            <w:r w:rsidRPr="00AA54FE">
              <w:rPr>
                <w:rFonts w:ascii="Calibri" w:eastAsia="Calibri" w:hAnsi="Calibri" w:cs="Times New Roman"/>
                <w:lang w:eastAsia="en-US"/>
              </w:rPr>
              <w:t xml:space="preserve"> </w:t>
            </w:r>
            <w:r w:rsidRPr="00AA54FE">
              <w:rPr>
                <w:rFonts w:ascii="Times New Roman" w:eastAsia="Calibri" w:hAnsi="Times New Roman" w:cs="Times New Roman"/>
                <w:sz w:val="18"/>
                <w:szCs w:val="18"/>
                <w:lang w:eastAsia="en-US"/>
              </w:rPr>
              <w:t xml:space="preserve">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p>
          <w:p w14:paraId="70D638AF"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гаров комплекс Стара Загора и Нова Загора УИН на преписката в АОП:</w:t>
            </w:r>
            <w:r w:rsidRPr="00AA54FE">
              <w:rPr>
                <w:rFonts w:ascii="Times New Roman" w:eastAsia="Calibri" w:hAnsi="Times New Roman" w:cs="Times New Roman"/>
                <w:sz w:val="18"/>
                <w:szCs w:val="18"/>
                <w:shd w:val="clear" w:color="auto" w:fill="FFFFFF"/>
                <w:lang w:eastAsia="en-US"/>
              </w:rPr>
              <w:t xml:space="preserve">  </w:t>
            </w:r>
            <w:hyperlink r:id="rId106" w:tgtFrame="_blank" w:history="1">
              <w:r w:rsidRPr="00AA54FE">
                <w:rPr>
                  <w:rFonts w:ascii="Times New Roman" w:eastAsia="Calibri" w:hAnsi="Times New Roman" w:cs="Times New Roman"/>
                  <w:sz w:val="18"/>
                  <w:szCs w:val="18"/>
                  <w:u w:val="single"/>
                  <w:lang w:eastAsia="en-US"/>
                </w:rPr>
                <w:t>00233-2018-0065</w:t>
              </w:r>
            </w:hyperlink>
          </w:p>
          <w:p w14:paraId="65498004" w14:textId="77777777" w:rsidR="00AA54FE" w:rsidRPr="00AA54FE" w:rsidRDefault="00AA54FE" w:rsidP="00AA54FE">
            <w:pPr>
              <w:spacing w:line="259" w:lineRule="auto"/>
              <w:rPr>
                <w:rFonts w:ascii="Times New Roman" w:eastAsia="Calibri" w:hAnsi="Times New Roman" w:cs="Times New Roman"/>
                <w:sz w:val="18"/>
                <w:szCs w:val="18"/>
                <w:lang w:eastAsia="en-US"/>
              </w:rPr>
            </w:pPr>
            <w:hyperlink r:id="rId107" w:history="1">
              <w:r w:rsidRPr="00AA54FE">
                <w:rPr>
                  <w:rFonts w:ascii="Times New Roman" w:eastAsia="Calibri" w:hAnsi="Times New Roman" w:cs="Times New Roman"/>
                  <w:color w:val="0563C1"/>
                  <w:sz w:val="18"/>
                  <w:szCs w:val="18"/>
                  <w:u w:val="single"/>
                  <w:lang w:eastAsia="en-US"/>
                </w:rPr>
                <w:t>https://zop.rail-infra.bg:3737/DocumentList.aspx?SXHmTXofHwCkfKl9g%2fXf2%2b2jUA9GZi7O</w:t>
              </w:r>
            </w:hyperlink>
            <w:r w:rsidRPr="00AA54FE">
              <w:rPr>
                <w:rFonts w:ascii="Times New Roman" w:eastAsia="Calibri" w:hAnsi="Times New Roman" w:cs="Times New Roman"/>
                <w:sz w:val="18"/>
                <w:szCs w:val="18"/>
                <w:lang w:eastAsia="en-US"/>
              </w:rPr>
              <w:t xml:space="preserve"> </w:t>
            </w:r>
          </w:p>
          <w:p w14:paraId="4FC10FC4"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или 1,65 % от договора за изпълнение на строителството на обект: „Реконструкция на гаров комплекс Нова Загора“, договор №11164/24.07.2020 на стойност 2 721 279,00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УИН на преписката в АОП: </w:t>
            </w:r>
            <w:hyperlink r:id="rId108" w:tgtFrame="_blank" w:history="1">
              <w:r w:rsidRPr="00AA54FE">
                <w:rPr>
                  <w:rFonts w:ascii="Times New Roman" w:eastAsia="Calibri" w:hAnsi="Times New Roman" w:cs="Times New Roman"/>
                  <w:sz w:val="18"/>
                  <w:szCs w:val="18"/>
                  <w:lang w:eastAsia="en-US"/>
                </w:rPr>
                <w:t>00233-2019-0084</w:t>
              </w:r>
            </w:hyperlink>
          </w:p>
          <w:p w14:paraId="3C86A4C6" w14:textId="77777777" w:rsidR="00AA54FE" w:rsidRPr="00AA54FE" w:rsidRDefault="00AA54FE" w:rsidP="00AA54FE">
            <w:pPr>
              <w:spacing w:line="259" w:lineRule="auto"/>
              <w:rPr>
                <w:rFonts w:ascii="Times New Roman" w:eastAsia="Calibri" w:hAnsi="Times New Roman" w:cs="Times New Roman"/>
                <w:color w:val="0563C1"/>
                <w:sz w:val="18"/>
                <w:szCs w:val="18"/>
                <w:u w:val="single"/>
                <w:lang w:eastAsia="en-US"/>
              </w:rPr>
            </w:pPr>
            <w:hyperlink r:id="rId109"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p>
          <w:p w14:paraId="146C2037" w14:textId="77777777" w:rsidR="00AA54FE" w:rsidRPr="00AA54FE" w:rsidRDefault="00AA54FE" w:rsidP="00AA54FE">
            <w:pPr>
              <w:spacing w:line="259" w:lineRule="auto"/>
              <w:rPr>
                <w:rFonts w:ascii="Times New Roman" w:eastAsia="Calibri" w:hAnsi="Times New Roman" w:cs="Times New Roman"/>
                <w:b/>
                <w:sz w:val="18"/>
                <w:szCs w:val="18"/>
                <w:lang w:eastAsia="en-US"/>
              </w:rPr>
            </w:pPr>
            <w:r w:rsidRPr="00AA54FE">
              <w:rPr>
                <w:rFonts w:ascii="Times New Roman" w:eastAsia="Calibri" w:hAnsi="Times New Roman" w:cs="Times New Roman"/>
                <w:sz w:val="18"/>
                <w:szCs w:val="18"/>
                <w:lang w:eastAsia="en-US"/>
              </w:rPr>
              <w:t xml:space="preserve">Получената средноаритметична стойност – (2,56 + 1,65)/2 = </w:t>
            </w:r>
            <w:r w:rsidRPr="00AA54FE">
              <w:rPr>
                <w:rFonts w:ascii="Times New Roman" w:eastAsia="Calibri" w:hAnsi="Times New Roman" w:cs="Times New Roman"/>
                <w:b/>
                <w:sz w:val="18"/>
                <w:szCs w:val="18"/>
                <w:lang w:eastAsia="en-US"/>
              </w:rPr>
              <w:t>2,1 % е използвана за определяне на индикативната стойност на договора за оценка на съвместимостта ТСОС за обекта.</w:t>
            </w:r>
          </w:p>
          <w:p w14:paraId="131CA11F"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Обхватите на строителните договорите за реконструкция на гарови комплекси Стара Загора и Нова Загора могат с необходимата увереност да се използват като референтни за определяне на индикативна стойност на договорите за оценка за оперативна съвместимост. И двата договора включват извършването на дейности по железопътната инфраструктура (Приемното здание и околното пространство също са част от разглежданата инфраструктура), които подлежат на задължителна оценка за оперативна съвместимост на железопътната инфраструктура в рамките на ЕС - Директива 2008/57/ЕО, която е транспонирана в българското законодателство в Закона за железопътния транспорт и Наредба № 57 от 09.06.2004 г. На такава оценка подлежи и проектът за интермодален терминал Горна Оряховица. </w:t>
            </w:r>
          </w:p>
          <w:p w14:paraId="4C5DCC25"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 xml:space="preserve">Точна коя подсистема и коя ТСОС (техническа спецификация за оперативна съвместимост) ще се засегне може със сигурност да се каже чак във фазата на техническото проектиране и това е точно задължение на консултанта, който ще бъде избран с тази обществена поръчка. </w:t>
            </w:r>
          </w:p>
          <w:p w14:paraId="456D95E3"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Дейностите по проект „Изграждане на интермодален терминал Горна Оряховица“ ще засегнат железопътната инфраструктура и съответно ТСОС „Инфраструктура“, ТСОС „Енергия“ и др., както е в проекта за реконструкция на гаров комплекс Нова Загора, може и други технически спецификации, но крайната оценка е на </w:t>
            </w:r>
            <w:proofErr w:type="spellStart"/>
            <w:r w:rsidRPr="00AA54FE">
              <w:rPr>
                <w:rFonts w:ascii="Times New Roman" w:eastAsia="Calibri" w:hAnsi="Times New Roman" w:cs="Times New Roman"/>
                <w:sz w:val="18"/>
                <w:szCs w:val="18"/>
                <w:lang w:eastAsia="en-US"/>
              </w:rPr>
              <w:t>Нотифициращия</w:t>
            </w:r>
            <w:proofErr w:type="spellEnd"/>
            <w:r w:rsidRPr="00AA54FE">
              <w:rPr>
                <w:rFonts w:ascii="Times New Roman" w:eastAsia="Calibri" w:hAnsi="Times New Roman" w:cs="Times New Roman"/>
                <w:sz w:val="18"/>
                <w:szCs w:val="18"/>
                <w:lang w:eastAsia="en-US"/>
              </w:rPr>
              <w:t xml:space="preserve"> орган (Консултантът, който ще бъде избран с настоящата обществена поръчка).</w:t>
            </w:r>
          </w:p>
          <w:p w14:paraId="181BF544" w14:textId="77777777" w:rsidR="00AA54FE" w:rsidRPr="00AA54FE" w:rsidRDefault="00AA54FE" w:rsidP="00AA54FE">
            <w:pPr>
              <w:spacing w:line="259" w:lineRule="auto"/>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Консултантът (</w:t>
            </w:r>
            <w:proofErr w:type="spellStart"/>
            <w:r w:rsidRPr="00AA54FE">
              <w:rPr>
                <w:rFonts w:ascii="Times New Roman" w:eastAsia="Calibri" w:hAnsi="Times New Roman" w:cs="Times New Roman"/>
                <w:sz w:val="18"/>
                <w:szCs w:val="18"/>
                <w:lang w:val="en-US" w:eastAsia="en-US"/>
              </w:rPr>
              <w:t>NoBo</w:t>
            </w:r>
            <w:proofErr w:type="spellEnd"/>
            <w:r w:rsidRPr="00AA54FE">
              <w:rPr>
                <w:rFonts w:ascii="Times New Roman" w:eastAsia="Calibri" w:hAnsi="Times New Roman" w:cs="Times New Roman"/>
                <w:sz w:val="18"/>
                <w:szCs w:val="18"/>
                <w:lang w:eastAsia="en-US"/>
              </w:rPr>
              <w:t>) по настоящия проект ще изпълни идентични видове дейности, както посочените като референтните договори, които включват:</w:t>
            </w:r>
          </w:p>
          <w:p w14:paraId="039CF657"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Доклад за оценка на съответствието на проекта с изискванията на ТСОС.</w:t>
            </w:r>
          </w:p>
          <w:p w14:paraId="37A329C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Доклад за съответствието със съществените изисквания за оперативна съвместимост за етапите на проектиране, строителство и окончателно тестване на подсистемата.</w:t>
            </w:r>
          </w:p>
          <w:p w14:paraId="09862CF5"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„ЕО сертификат за проверка“ по отношение на ТСОС.</w:t>
            </w:r>
          </w:p>
          <w:p w14:paraId="7B7763EE"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Техническо досие по отношение на ТСОС.</w:t>
            </w:r>
          </w:p>
          <w:p w14:paraId="2E4192C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Окончателен доклад.</w:t>
            </w:r>
          </w:p>
          <w:p w14:paraId="24A7C22B" w14:textId="77777777" w:rsidR="00AA54FE" w:rsidRPr="00AA54FE" w:rsidRDefault="00AA54FE" w:rsidP="00AA54FE">
            <w:pPr>
              <w:spacing w:line="259" w:lineRule="auto"/>
              <w:jc w:val="both"/>
              <w:rPr>
                <w:rFonts w:ascii="Times New Roman" w:eastAsia="Calibri" w:hAnsi="Times New Roman" w:cs="Times New Roman"/>
                <w:b/>
                <w:sz w:val="18"/>
                <w:szCs w:val="18"/>
                <w:lang w:eastAsia="en-US"/>
              </w:rPr>
            </w:pPr>
            <w:r w:rsidRPr="00AA54FE">
              <w:rPr>
                <w:rFonts w:ascii="Times New Roman" w:eastAsia="Calibri" w:hAnsi="Times New Roman" w:cs="Times New Roman"/>
                <w:b/>
                <w:sz w:val="18"/>
                <w:szCs w:val="18"/>
                <w:lang w:eastAsia="en-US"/>
              </w:rPr>
              <w:t>При изчисляването на индикативната стойност е взета референтната стойност от 2,1 % от индикативната стойност на договора за СМР.</w:t>
            </w:r>
          </w:p>
          <w:p w14:paraId="52D0AD1C" w14:textId="77777777" w:rsidR="00AA54FE" w:rsidRPr="00AA54FE" w:rsidRDefault="00AA54FE" w:rsidP="00AA54FE">
            <w:pPr>
              <w:spacing w:after="160" w:line="259" w:lineRule="auto"/>
              <w:jc w:val="both"/>
              <w:rPr>
                <w:rFonts w:ascii="Times New Roman" w:eastAsia="Times New Roman"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оценка на оперативната съвместимост с железопътната система на ЕС.</w:t>
            </w:r>
          </w:p>
        </w:tc>
        <w:tc>
          <w:tcPr>
            <w:tcW w:w="1146" w:type="dxa"/>
            <w:vMerge/>
            <w:tcBorders>
              <w:top w:val="nil"/>
              <w:left w:val="single" w:sz="4" w:space="0" w:color="auto"/>
              <w:bottom w:val="single" w:sz="8" w:space="0" w:color="000000"/>
              <w:right w:val="single" w:sz="8" w:space="0" w:color="auto"/>
            </w:tcBorders>
            <w:vAlign w:val="center"/>
          </w:tcPr>
          <w:p w14:paraId="2A8DDB92"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4FD05300" w14:textId="77777777" w:rsidTr="000D243F">
        <w:trPr>
          <w:gridAfter w:val="1"/>
          <w:wAfter w:w="6" w:type="dxa"/>
          <w:trHeight w:val="688"/>
        </w:trPr>
        <w:tc>
          <w:tcPr>
            <w:tcW w:w="1140" w:type="dxa"/>
            <w:gridSpan w:val="3"/>
            <w:tcBorders>
              <w:top w:val="single" w:sz="4"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14:paraId="26E57502"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Договор Оценка Риск</w:t>
            </w:r>
          </w:p>
        </w:tc>
        <w:tc>
          <w:tcPr>
            <w:tcW w:w="1413" w:type="dxa"/>
            <w:gridSpan w:val="2"/>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p w14:paraId="4BC6931C" w14:textId="77777777" w:rsidR="00AA54FE" w:rsidRPr="00AA54FE" w:rsidRDefault="00AA54FE" w:rsidP="00AA54FE">
            <w:pPr>
              <w:spacing w:after="160" w:line="259" w:lineRule="auto"/>
              <w:jc w:val="center"/>
              <w:rPr>
                <w:rFonts w:ascii="Times New Roman" w:eastAsia="Calibri" w:hAnsi="Times New Roman" w:cs="Times New Roman"/>
                <w:sz w:val="18"/>
                <w:szCs w:val="18"/>
                <w:lang w:eastAsia="en-US"/>
              </w:rPr>
            </w:pPr>
            <w:r w:rsidRPr="00AA54FE">
              <w:rPr>
                <w:rFonts w:ascii="Times New Roman" w:eastAsia="Calibri" w:hAnsi="Times New Roman" w:cs="Times New Roman"/>
                <w:color w:val="000000"/>
                <w:sz w:val="18"/>
                <w:szCs w:val="18"/>
                <w:lang w:eastAsia="en-US"/>
              </w:rPr>
              <w:t>36 9</w:t>
            </w:r>
            <w:r w:rsidRPr="00AA54FE">
              <w:rPr>
                <w:rFonts w:ascii="Times New Roman" w:eastAsia="Calibri" w:hAnsi="Times New Roman" w:cs="Times New Roman"/>
                <w:color w:val="000000"/>
                <w:sz w:val="18"/>
                <w:szCs w:val="18"/>
                <w:lang w:val="en-US" w:eastAsia="en-US"/>
              </w:rPr>
              <w:t>27</w:t>
            </w:r>
            <w:r w:rsidRPr="00AA54FE">
              <w:rPr>
                <w:rFonts w:ascii="Times New Roman" w:eastAsia="Calibri" w:hAnsi="Times New Roman" w:cs="Times New Roman"/>
                <w:color w:val="000000"/>
                <w:sz w:val="18"/>
                <w:szCs w:val="18"/>
                <w:lang w:eastAsia="en-US"/>
              </w:rPr>
              <w:t>,</w:t>
            </w:r>
            <w:r w:rsidRPr="00AA54FE">
              <w:rPr>
                <w:rFonts w:ascii="Times New Roman" w:eastAsia="Calibri" w:hAnsi="Times New Roman" w:cs="Times New Roman"/>
                <w:color w:val="000000"/>
                <w:sz w:val="18"/>
                <w:szCs w:val="18"/>
                <w:lang w:val="en-US" w:eastAsia="en-US"/>
              </w:rPr>
              <w:t>32</w:t>
            </w:r>
          </w:p>
        </w:tc>
        <w:tc>
          <w:tcPr>
            <w:tcW w:w="666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p w14:paraId="1C067AA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Концепцията на реализация на ИМТ Пловдив беше с възлагане на строителя на дейностите по оценка на ТСОС и оценка на пригодността на системата за управление на риска. Поради това не е наличен референтен отделен договор за оценка на управлението на риска.</w:t>
            </w:r>
          </w:p>
          <w:p w14:paraId="3F9C3E9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За определяне на индикативната стойност може да се използва приложената вече по-горе схема.</w:t>
            </w:r>
          </w:p>
          <w:p w14:paraId="68194213"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Стойността на договора за консултант за тази услуга са свързани в по-голямата си част с обхвата на договора за строителство и в по-малка степен от стойността на строителството (проектиране и строителство). Това е така, защото независимо от стойността на СМР, процедурата при един точков обект (интермодален терминал) е идентична. При интермодалния терминал системата на управление на риска е от малко по-различен порядък (риск за работещите от аварии при претоварването, от премазване на хора от тежка механизация и т.н.), но обема на работа на Консултанта по този договор, а именно оценката на пригодността на процедурата за управление на риска е идентична, като за гаров комплекс.</w:t>
            </w:r>
          </w:p>
          <w:p w14:paraId="2C08C758"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Процедурата по независима оценка на пригодността на прилагането на процедурата за управление на риска е задължителна процедура за издаване на разрешение за ползване по ЗЖТ. Тя е част от законодателството свързано със съвместимостта на железопътната инфраструктура в рамките на ЕС.</w:t>
            </w:r>
          </w:p>
          <w:p w14:paraId="67D438C8" w14:textId="77777777" w:rsidR="00AA54FE" w:rsidRPr="00AA54FE" w:rsidRDefault="00AA54FE" w:rsidP="00AA54FE">
            <w:pPr>
              <w:numPr>
                <w:ilvl w:val="0"/>
                <w:numId w:val="22"/>
              </w:numPr>
              <w:spacing w:after="160"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В първата си част се използва относителна стойност към СМР. За определянето и се взимат три референтни действащи договора.</w:t>
            </w:r>
          </w:p>
          <w:p w14:paraId="53934B3D"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r w:rsidRPr="00AA54FE">
              <w:rPr>
                <w:rFonts w:ascii="Times New Roman" w:eastAsia="Calibri" w:hAnsi="Times New Roman" w:cs="Times New Roman"/>
                <w:sz w:val="18"/>
                <w:szCs w:val="18"/>
                <w:lang w:eastAsia="en-US"/>
              </w:rPr>
              <w:t xml:space="preserve">Договор №6462/30.05.2019 г. с предмет: „Независима оценка на пригодността на прилагането на процедурата за управление на риска на проект за реконструкция на гаров комплекс Карнобат“ на стойност 31 830 лв. без ДДС, </w:t>
            </w:r>
            <w:r w:rsidRPr="00AA54FE">
              <w:rPr>
                <w:rFonts w:ascii="Times New Roman" w:eastAsia="Calibri" w:hAnsi="Times New Roman" w:cs="Times New Roman"/>
                <w:sz w:val="18"/>
                <w:szCs w:val="18"/>
                <w:u w:val="single"/>
                <w:lang w:eastAsia="en-US"/>
              </w:rPr>
              <w:t>част от проект "Реконструкция на гаров комплекс Карнобат",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(4 142 125 лв. договор за СМР</w:t>
            </w:r>
            <w:r w:rsidRPr="00AA54FE">
              <w:rPr>
                <w:rFonts w:ascii="Calibri" w:eastAsia="Calibri" w:hAnsi="Calibri" w:cs="Times New Roman"/>
                <w:color w:val="0563C1"/>
                <w:u w:val="single"/>
                <w:lang w:eastAsia="en-US"/>
              </w:rPr>
              <w:t xml:space="preserve">- </w:t>
            </w:r>
            <w:r w:rsidRPr="00AA54FE">
              <w:rPr>
                <w:rFonts w:ascii="Times New Roman" w:eastAsia="Calibri" w:hAnsi="Times New Roman" w:cs="Times New Roman"/>
                <w:color w:val="0563C1"/>
                <w:sz w:val="18"/>
                <w:szCs w:val="18"/>
                <w:u w:val="single"/>
                <w:lang w:eastAsia="en-US"/>
              </w:rPr>
              <w:t>УИН на преписката в АОП:  </w:t>
            </w:r>
            <w:hyperlink r:id="rId110" w:tgtFrame="_blank" w:history="1">
              <w:r w:rsidRPr="00AA54FE">
                <w:rPr>
                  <w:rFonts w:ascii="Times New Roman" w:eastAsia="Calibri" w:hAnsi="Times New Roman" w:cs="Times New Roman"/>
                  <w:color w:val="0563C1"/>
                  <w:sz w:val="18"/>
                  <w:szCs w:val="18"/>
                  <w:u w:val="single"/>
                  <w:lang w:eastAsia="en-US"/>
                </w:rPr>
                <w:t>00233-2018-0037</w:t>
              </w:r>
            </w:hyperlink>
            <w:r w:rsidRPr="00AA54FE">
              <w:rPr>
                <w:rFonts w:ascii="Times New Roman" w:eastAsia="Calibri" w:hAnsi="Times New Roman" w:cs="Times New Roman"/>
                <w:color w:val="0563C1"/>
                <w:sz w:val="18"/>
                <w:szCs w:val="18"/>
                <w:u w:val="single"/>
                <w:lang w:eastAsia="en-US"/>
              </w:rPr>
              <w:t xml:space="preserve"> - </w:t>
            </w:r>
            <w:hyperlink r:id="rId111"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https://www.rail-infra.bg/профил-на-купувача/текущи-процедури/?YlvmS1RacnH797zA9WTVFlpL0dmi%2bqX3Z6OXGBhxGmlHuZcK%2buye8e1T%2bYWSFB1j7W8MPEMCQPr1JqUhXYL%2bfQ%3d%3d</w:t>
              </w:r>
            </w:hyperlink>
            <w:r w:rsidRPr="00AA54FE">
              <w:rPr>
                <w:rFonts w:ascii="Calibri" w:eastAsia="Calibri" w:hAnsi="Calibri" w:cs="Times New Roman"/>
                <w:color w:val="0563C1"/>
                <w:u w:val="single"/>
                <w:lang w:eastAsia="en-US"/>
              </w:rPr>
              <w:t>).</w:t>
            </w:r>
            <w:r w:rsidRPr="00AA54FE">
              <w:rPr>
                <w:rFonts w:ascii="Times New Roman" w:eastAsia="Calibri" w:hAnsi="Times New Roman" w:cs="Times New Roman"/>
                <w:sz w:val="18"/>
                <w:szCs w:val="18"/>
                <w:lang w:eastAsia="en-US"/>
              </w:rPr>
              <w:t xml:space="preserve"> </w:t>
            </w:r>
          </w:p>
          <w:p w14:paraId="54BA434B"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 xml:space="preserve">Договор №6460/30.05.2019 г. „Независима оценка на пригодността на прилагането на процедурата за управление на риска на проект за реконструкция на гаров комплекс Стара Загора“ на стойност 32 250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(9 726 944 лв. договор за СМР </w:t>
            </w:r>
            <w:r w:rsidRPr="00AA54FE">
              <w:rPr>
                <w:rFonts w:ascii="Times New Roman" w:eastAsia="Calibri" w:hAnsi="Times New Roman" w:cs="Times New Roman"/>
                <w:color w:val="0563C1"/>
                <w:sz w:val="18"/>
                <w:szCs w:val="18"/>
                <w:u w:val="single"/>
                <w:lang w:eastAsia="en-US"/>
              </w:rPr>
              <w:t>– УИН на преписката в АОП:</w:t>
            </w:r>
            <w:r w:rsidRPr="00AA54FE">
              <w:rPr>
                <w:rFonts w:ascii="Calibri" w:eastAsia="Calibri" w:hAnsi="Calibri" w:cs="Times New Roman"/>
                <w:color w:val="0563C1"/>
                <w:u w:val="single"/>
                <w:lang w:eastAsia="en-US"/>
              </w:rPr>
              <w:t xml:space="preserve">  </w:t>
            </w:r>
            <w:hyperlink r:id="rId112"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113"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https://www.rail-infra.bg/профил-на-купувача/текущи-процедури/?YlvmS1RacnH797zA9WTVFlpL0dmi%2bqX3Z6OXGBhxGmlHuZcK%2buye8e1T%2bYWSFB1j7W8MPEMCQPpkyIMgYTnFqA%3d%3d</w:t>
              </w:r>
            </w:hyperlink>
            <w:r w:rsidRPr="00AA54FE">
              <w:rPr>
                <w:rFonts w:ascii="Times New Roman" w:eastAsia="Calibri" w:hAnsi="Times New Roman" w:cs="Times New Roman"/>
                <w:sz w:val="18"/>
                <w:szCs w:val="18"/>
                <w:lang w:eastAsia="en-US"/>
              </w:rPr>
              <w:t xml:space="preserve">). </w:t>
            </w:r>
          </w:p>
          <w:p w14:paraId="08B46FD0"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lastRenderedPageBreak/>
              <w:t xml:space="preserve">Договор №6461/30.05.2019 г. с предмет: „Независима оценка на пригодността на прилагането на процедурата за управление на риска на проект за реконструкция на гаров комплекс Нова Загора“ на стойност 20 000 лв. без ДДС, </w:t>
            </w:r>
            <w:r w:rsidRPr="00AA54FE">
              <w:rPr>
                <w:rFonts w:ascii="Times New Roman" w:eastAsia="Calibri" w:hAnsi="Times New Roman" w:cs="Times New Roman"/>
                <w:sz w:val="18"/>
                <w:szCs w:val="18"/>
                <w:u w:val="single"/>
                <w:lang w:eastAsia="en-US"/>
              </w:rPr>
              <w:t>част от проект "Реконструкция на гарови комплекси Стара Загора и Нова Загора", финансиран по Оперативна програма „Транспорт и транспортна инфраструктура“ 2014 – 2020</w:t>
            </w:r>
            <w:r w:rsidRPr="00AA54FE">
              <w:rPr>
                <w:rFonts w:ascii="Times New Roman" w:eastAsia="Calibri" w:hAnsi="Times New Roman" w:cs="Times New Roman"/>
                <w:sz w:val="18"/>
                <w:szCs w:val="18"/>
                <w:lang w:eastAsia="en-US"/>
              </w:rPr>
              <w:t xml:space="preserve"> (2 721 279 лв. договор за СМР </w:t>
            </w:r>
            <w:r w:rsidRPr="00AA54FE">
              <w:rPr>
                <w:rFonts w:ascii="Times New Roman" w:eastAsia="Calibri" w:hAnsi="Times New Roman" w:cs="Times New Roman"/>
                <w:color w:val="0563C1"/>
                <w:sz w:val="18"/>
                <w:szCs w:val="18"/>
                <w:u w:val="single"/>
                <w:lang w:eastAsia="en-US"/>
              </w:rPr>
              <w:t>– УИН на преписката в АОП:</w:t>
            </w:r>
            <w:r w:rsidRPr="00AA54FE">
              <w:rPr>
                <w:rFonts w:ascii="Calibri" w:eastAsia="Calibri" w:hAnsi="Calibri" w:cs="Times New Roman"/>
                <w:color w:val="0563C1"/>
                <w:u w:val="single"/>
                <w:lang w:eastAsia="en-US"/>
              </w:rPr>
              <w:t xml:space="preserve">  </w:t>
            </w:r>
            <w:hyperlink r:id="rId114" w:tgtFrame="_blank" w:history="1">
              <w:r w:rsidRPr="00AA54FE">
                <w:rPr>
                  <w:rFonts w:ascii="Times New Roman" w:eastAsia="Calibri" w:hAnsi="Times New Roman" w:cs="Times New Roman"/>
                  <w:color w:val="0563C1"/>
                  <w:sz w:val="18"/>
                  <w:szCs w:val="18"/>
                  <w:u w:val="single"/>
                  <w:lang w:eastAsia="en-US"/>
                </w:rPr>
                <w:t>00233-2019-0001</w:t>
              </w:r>
            </w:hyperlink>
            <w:r w:rsidRPr="00AA54FE">
              <w:rPr>
                <w:rFonts w:ascii="Times New Roman" w:eastAsia="Calibri" w:hAnsi="Times New Roman" w:cs="Times New Roman"/>
                <w:color w:val="0563C1"/>
                <w:sz w:val="18"/>
                <w:szCs w:val="18"/>
                <w:u w:val="single"/>
                <w:lang w:eastAsia="en-US"/>
              </w:rPr>
              <w:t xml:space="preserve"> - </w:t>
            </w:r>
            <w:hyperlink r:id="rId115" w:tgtFrame="_blank" w:history="1">
              <w:r w:rsidRPr="00AA54FE">
                <w:rPr>
                  <w:rFonts w:ascii="Times New Roman" w:eastAsia="Calibri" w:hAnsi="Times New Roman" w:cs="Times New Roman"/>
                  <w:color w:val="0563C1"/>
                  <w:sz w:val="18"/>
                  <w:szCs w:val="18"/>
                  <w:u w:val="single"/>
                  <w:lang w:eastAsia="en-US"/>
                </w:rPr>
                <w:t>https://www.rail-infra.bg/профил-на-купувача/текущи-процедури/?YlvmS1RacnH797zA9WTVFlpL0dmi%2bqX3Z6OXGBhxGmlHuZcK%2buye8e1T%2bYWSFB1j7W8MPEMCQPq3RdQtbabjtg%3d%3d</w:t>
              </w:r>
            </w:hyperlink>
            <w:r w:rsidRPr="00AA54FE">
              <w:rPr>
                <w:rFonts w:ascii="Times New Roman" w:eastAsia="Calibri" w:hAnsi="Times New Roman" w:cs="Times New Roman"/>
                <w:sz w:val="18"/>
                <w:szCs w:val="18"/>
                <w:lang w:eastAsia="en-US"/>
              </w:rPr>
              <w:t xml:space="preserve">). </w:t>
            </w:r>
          </w:p>
          <w:p w14:paraId="0D3230B1"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Средната аритметична стойност на относителната стойност е 0,6 % (0,61) от договорите за СМР.</w:t>
            </w:r>
          </w:p>
          <w:p w14:paraId="5982BDA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УИН на преписката в АОП за всички обекти (като обособени позиции):</w:t>
            </w:r>
            <w:r w:rsidRPr="00AA54FE">
              <w:rPr>
                <w:rFonts w:ascii="Times New Roman" w:eastAsia="Calibri" w:hAnsi="Times New Roman" w:cs="Times New Roman"/>
                <w:sz w:val="18"/>
                <w:szCs w:val="18"/>
                <w:shd w:val="clear" w:color="auto" w:fill="FFFFFF"/>
                <w:lang w:eastAsia="en-US"/>
              </w:rPr>
              <w:t xml:space="preserve">  </w:t>
            </w:r>
            <w:hyperlink r:id="rId116" w:tgtFrame="_blank" w:history="1">
              <w:r w:rsidRPr="00AA54FE">
                <w:rPr>
                  <w:rFonts w:ascii="Times New Roman" w:eastAsia="Calibri" w:hAnsi="Times New Roman" w:cs="Times New Roman"/>
                  <w:sz w:val="18"/>
                  <w:szCs w:val="18"/>
                  <w:u w:val="single"/>
                  <w:lang w:eastAsia="en-US"/>
                </w:rPr>
                <w:t>00233-2019-0008</w:t>
              </w:r>
            </w:hyperlink>
          </w:p>
          <w:p w14:paraId="07B1C6B2"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hyperlink r:id="rId117" w:history="1">
              <w:r w:rsidRPr="00AA54FE">
                <w:rPr>
                  <w:rFonts w:ascii="Times New Roman" w:eastAsia="Calibri" w:hAnsi="Times New Roman" w:cs="Times New Roman"/>
                  <w:color w:val="0563C1"/>
                  <w:sz w:val="18"/>
                  <w:szCs w:val="18"/>
                  <w:u w:val="single"/>
                  <w:lang w:eastAsia="en-US"/>
                </w:rPr>
                <w:t>https://zop.rail-infra.bg:3737/DocumentList.aspx?SXHmTXofHwCqF6Xmi28LY5m1gS7nGEkd</w:t>
              </w:r>
            </w:hyperlink>
          </w:p>
          <w:p w14:paraId="4A206225" w14:textId="77777777" w:rsidR="00AA54FE" w:rsidRPr="00AA54FE" w:rsidRDefault="00AA54FE" w:rsidP="00AA54FE">
            <w:pPr>
              <w:spacing w:line="259" w:lineRule="auto"/>
              <w:jc w:val="both"/>
              <w:rPr>
                <w:rFonts w:ascii="Times New Roman" w:eastAsia="Calibri" w:hAnsi="Times New Roman" w:cs="Times New Roman"/>
                <w:color w:val="0563C1"/>
                <w:sz w:val="18"/>
                <w:szCs w:val="18"/>
                <w:u w:val="single"/>
                <w:lang w:eastAsia="en-US"/>
              </w:rPr>
            </w:pPr>
          </w:p>
          <w:p w14:paraId="57620A38" w14:textId="77777777" w:rsidR="00AA54FE" w:rsidRPr="00AA54FE" w:rsidRDefault="00AA54FE" w:rsidP="00AA54FE">
            <w:pPr>
              <w:numPr>
                <w:ilvl w:val="0"/>
                <w:numId w:val="22"/>
              </w:numPr>
              <w:spacing w:after="160" w:line="259" w:lineRule="auto"/>
              <w:ind w:left="0" w:firstLine="360"/>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Полученият относителния дял се коригира</w:t>
            </w:r>
            <w:r w:rsidRPr="00AA54FE" w:rsidDel="00DA60ED">
              <w:rPr>
                <w:rFonts w:ascii="Times New Roman" w:eastAsia="Calibri" w:hAnsi="Times New Roman" w:cs="Times New Roman"/>
                <w:sz w:val="18"/>
                <w:szCs w:val="18"/>
                <w:lang w:eastAsia="en-US"/>
              </w:rPr>
              <w:t xml:space="preserve"> </w:t>
            </w:r>
            <w:r w:rsidRPr="00AA54FE">
              <w:rPr>
                <w:rFonts w:ascii="Times New Roman" w:eastAsia="Calibri" w:hAnsi="Times New Roman" w:cs="Times New Roman"/>
                <w:sz w:val="18"/>
                <w:szCs w:val="18"/>
                <w:lang w:eastAsia="en-US"/>
              </w:rPr>
              <w:t xml:space="preserve">с обхвата и обема на договора за строителство. Тъй като обема на работа на консултанта е свързан главно с оценка на риска за ползвателите в административната сграда на терминала и работниците при товаро-разтоварните дейности (перони и </w:t>
            </w:r>
            <w:proofErr w:type="spellStart"/>
            <w:r w:rsidRPr="00AA54FE">
              <w:rPr>
                <w:rFonts w:ascii="Times New Roman" w:eastAsia="Calibri" w:hAnsi="Times New Roman" w:cs="Times New Roman"/>
                <w:sz w:val="18"/>
                <w:szCs w:val="18"/>
                <w:lang w:eastAsia="en-US"/>
              </w:rPr>
              <w:t>т.н</w:t>
            </w:r>
            <w:proofErr w:type="spellEnd"/>
            <w:r w:rsidRPr="00AA54FE">
              <w:rPr>
                <w:rFonts w:ascii="Times New Roman" w:eastAsia="Calibri" w:hAnsi="Times New Roman" w:cs="Times New Roman"/>
                <w:sz w:val="18"/>
                <w:szCs w:val="18"/>
                <w:lang w:eastAsia="en-US"/>
              </w:rPr>
              <w:t>,), както е и за трите по-горе посочени референтни договори, то по експертна оценка стойността на СМР за административната сграда и товаро-разтоварната площадка с товаро-разтоварния коловоз е около 30 % от общата стойност на работи по проекта. Използваме коефициента 0,3 за да коригираме получената относителна стойност от 0,6 % или:</w:t>
            </w:r>
          </w:p>
          <w:p w14:paraId="672EEBF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0,3 * 0,6% = 0,18 %;</w:t>
            </w:r>
          </w:p>
          <w:p w14:paraId="0E1E8872" w14:textId="77777777" w:rsidR="00AA54FE" w:rsidRPr="00AA54FE" w:rsidRDefault="00AA54FE" w:rsidP="00AA54FE">
            <w:pPr>
              <w:spacing w:line="259" w:lineRule="auto"/>
              <w:jc w:val="both"/>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20  515</w:t>
            </w:r>
            <w:r w:rsidRPr="00AA54FE">
              <w:rPr>
                <w:rFonts w:ascii="Times New Roman" w:eastAsia="Calibri" w:hAnsi="Times New Roman" w:cs="Times New Roman"/>
                <w:sz w:val="18"/>
                <w:szCs w:val="18"/>
                <w:lang w:val="en-US" w:eastAsia="en-US"/>
              </w:rPr>
              <w:t> </w:t>
            </w:r>
            <w:r w:rsidRPr="00AA54FE">
              <w:rPr>
                <w:rFonts w:ascii="Times New Roman" w:eastAsia="Calibri" w:hAnsi="Times New Roman" w:cs="Times New Roman"/>
                <w:sz w:val="18"/>
                <w:szCs w:val="18"/>
                <w:lang w:eastAsia="en-US"/>
              </w:rPr>
              <w:t>178,70 * 0,18% = 36 927,32 лв. без ДДС.</w:t>
            </w:r>
          </w:p>
          <w:p w14:paraId="4465359C" w14:textId="77777777" w:rsidR="00AA54FE" w:rsidRPr="00AA54FE" w:rsidRDefault="00AA54FE" w:rsidP="00AA54FE">
            <w:pPr>
              <w:spacing w:line="259" w:lineRule="auto"/>
              <w:jc w:val="both"/>
              <w:rPr>
                <w:rFonts w:ascii="Times New Roman" w:eastAsia="Times New Roman" w:hAnsi="Times New Roman" w:cs="Times New Roman"/>
                <w:sz w:val="18"/>
                <w:szCs w:val="18"/>
                <w:lang w:eastAsia="en-US"/>
              </w:rPr>
            </w:pPr>
            <w:r w:rsidRPr="00AA54FE">
              <w:rPr>
                <w:rFonts w:ascii="Times New Roman" w:eastAsia="Calibri" w:hAnsi="Times New Roman" w:cs="Times New Roman"/>
                <w:sz w:val="18"/>
                <w:szCs w:val="18"/>
                <w:lang w:eastAsia="en-US"/>
              </w:rPr>
              <w:t>Това е индикативна стойност на услугата, реалната стойност на услугата може да бъде определена само по време на провеждането на откритата процедура за възлагане на обществената поръчка с предмет за консултантска услуга за независима оценка на пригодността на прилагането на процедурата за управление на риска за проекта.</w:t>
            </w:r>
          </w:p>
        </w:tc>
        <w:tc>
          <w:tcPr>
            <w:tcW w:w="1146" w:type="dxa"/>
            <w:vMerge/>
            <w:tcBorders>
              <w:top w:val="nil"/>
              <w:left w:val="single" w:sz="4" w:space="0" w:color="auto"/>
              <w:bottom w:val="single" w:sz="8" w:space="0" w:color="000000"/>
              <w:right w:val="single" w:sz="8" w:space="0" w:color="auto"/>
            </w:tcBorders>
            <w:vAlign w:val="center"/>
          </w:tcPr>
          <w:p w14:paraId="79C68459"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r w:rsidR="00AA54FE" w:rsidRPr="00AA54FE" w14:paraId="6D0F7127" w14:textId="77777777" w:rsidTr="000D243F">
        <w:trPr>
          <w:gridAfter w:val="1"/>
          <w:wAfter w:w="6" w:type="dxa"/>
          <w:trHeight w:val="688"/>
        </w:trPr>
        <w:tc>
          <w:tcPr>
            <w:tcW w:w="1140" w:type="dxa"/>
            <w:gridSpan w:val="3"/>
            <w:tcBorders>
              <w:top w:val="single" w:sz="4"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14:paraId="060D0CD5" w14:textId="77777777" w:rsidR="00AA54FE" w:rsidRPr="00AA54FE" w:rsidRDefault="00AA54FE" w:rsidP="00AA54FE">
            <w:pPr>
              <w:spacing w:after="160" w:line="259" w:lineRule="auto"/>
              <w:jc w:val="center"/>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Техническа помощ</w:t>
            </w:r>
          </w:p>
        </w:tc>
        <w:tc>
          <w:tcPr>
            <w:tcW w:w="1413" w:type="dxa"/>
            <w:gridSpan w:val="2"/>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DB1F516" w14:textId="77777777" w:rsidR="00AA54FE" w:rsidRPr="00AA54FE" w:rsidRDefault="00AA54FE" w:rsidP="00AA54FE">
            <w:pPr>
              <w:spacing w:after="160" w:line="259" w:lineRule="auto"/>
              <w:jc w:val="center"/>
              <w:rPr>
                <w:rFonts w:ascii="Times New Roman" w:eastAsia="Calibri" w:hAnsi="Times New Roman" w:cs="Times New Roman"/>
                <w:sz w:val="18"/>
                <w:szCs w:val="18"/>
                <w:lang w:eastAsia="en-US"/>
              </w:rPr>
            </w:pPr>
            <w:r w:rsidRPr="00AA54FE">
              <w:rPr>
                <w:rFonts w:ascii="Times New Roman" w:eastAsia="Calibri" w:hAnsi="Times New Roman" w:cs="Times New Roman"/>
                <w:sz w:val="18"/>
                <w:szCs w:val="18"/>
                <w:lang w:eastAsia="en-US"/>
              </w:rPr>
              <w:t>1 </w:t>
            </w:r>
            <w:r w:rsidRPr="00AA54FE">
              <w:rPr>
                <w:rFonts w:ascii="Times New Roman" w:eastAsia="Calibri" w:hAnsi="Times New Roman" w:cs="Times New Roman"/>
                <w:sz w:val="18"/>
                <w:szCs w:val="18"/>
                <w:lang w:val="en-US" w:eastAsia="en-US"/>
              </w:rPr>
              <w:t>292 659,08</w:t>
            </w:r>
          </w:p>
        </w:tc>
        <w:tc>
          <w:tcPr>
            <w:tcW w:w="666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6F141F30"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Моля да се види текстът за Обект 1 и Обект 4 – Обект 12 от програмния фиш „Цифровизация в железопътния транспорт чрез модернизация на системите за безопасност и енергийната ефективност по жп направления от основната и широкообхватната TEN-T мрежа“.</w:t>
            </w:r>
          </w:p>
          <w:p w14:paraId="71FD583D" w14:textId="77777777" w:rsidR="00AA54FE" w:rsidRPr="00AA54FE" w:rsidRDefault="00AA54FE" w:rsidP="00AA54FE">
            <w:pPr>
              <w:spacing w:after="160" w:line="259" w:lineRule="auto"/>
              <w:jc w:val="both"/>
              <w:rPr>
                <w:rFonts w:ascii="Times New Roman" w:eastAsia="Calibri" w:hAnsi="Times New Roman" w:cs="Times New Roman"/>
                <w:color w:val="000000"/>
                <w:sz w:val="18"/>
                <w:szCs w:val="18"/>
                <w:lang w:eastAsia="en-US"/>
              </w:rPr>
            </w:pPr>
            <w:r w:rsidRPr="00AA54FE">
              <w:rPr>
                <w:rFonts w:ascii="Times New Roman" w:eastAsia="Calibri" w:hAnsi="Times New Roman" w:cs="Times New Roman"/>
                <w:color w:val="000000"/>
                <w:sz w:val="18"/>
                <w:szCs w:val="18"/>
                <w:lang w:eastAsia="en-US"/>
              </w:rPr>
              <w:t>Реф. файл „</w:t>
            </w:r>
            <w:proofErr w:type="spellStart"/>
            <w:r w:rsidRPr="00AA54FE">
              <w:rPr>
                <w:rFonts w:ascii="Times New Roman" w:eastAsia="Calibri" w:hAnsi="Times New Roman" w:cs="Times New Roman"/>
                <w:color w:val="000000"/>
                <w:sz w:val="18"/>
                <w:szCs w:val="18"/>
                <w:lang w:eastAsia="en-US"/>
              </w:rPr>
              <w:t>Budget</w:t>
            </w:r>
            <w:proofErr w:type="spellEnd"/>
            <w:r w:rsidRPr="00AA54FE">
              <w:rPr>
                <w:rFonts w:ascii="Times New Roman" w:eastAsia="Calibri" w:hAnsi="Times New Roman" w:cs="Times New Roman"/>
                <w:color w:val="000000"/>
                <w:sz w:val="18"/>
                <w:szCs w:val="18"/>
                <w:lang w:eastAsia="en-US"/>
              </w:rPr>
              <w:t xml:space="preserve"> </w:t>
            </w:r>
            <w:proofErr w:type="spellStart"/>
            <w:r w:rsidRPr="00AA54FE">
              <w:rPr>
                <w:rFonts w:ascii="Times New Roman" w:eastAsia="Calibri" w:hAnsi="Times New Roman" w:cs="Times New Roman"/>
                <w:color w:val="000000"/>
                <w:sz w:val="18"/>
                <w:szCs w:val="18"/>
                <w:lang w:eastAsia="en-US"/>
              </w:rPr>
              <w:t>ProgramCovid</w:t>
            </w:r>
            <w:proofErr w:type="spellEnd"/>
            <w:r w:rsidRPr="00AA54FE">
              <w:rPr>
                <w:rFonts w:ascii="Times New Roman" w:eastAsia="Calibri" w:hAnsi="Times New Roman" w:cs="Times New Roman"/>
                <w:color w:val="000000"/>
                <w:sz w:val="18"/>
                <w:szCs w:val="18"/>
                <w:lang w:eastAsia="en-US"/>
              </w:rPr>
              <w:t xml:space="preserve"> ZPUIP-02.2021-r4“ – Обект 3</w:t>
            </w:r>
          </w:p>
        </w:tc>
        <w:tc>
          <w:tcPr>
            <w:tcW w:w="1146" w:type="dxa"/>
            <w:vMerge/>
            <w:tcBorders>
              <w:top w:val="nil"/>
              <w:left w:val="single" w:sz="4" w:space="0" w:color="auto"/>
              <w:bottom w:val="single" w:sz="8" w:space="0" w:color="000000"/>
              <w:right w:val="single" w:sz="8" w:space="0" w:color="auto"/>
            </w:tcBorders>
            <w:vAlign w:val="center"/>
            <w:hideMark/>
          </w:tcPr>
          <w:p w14:paraId="1F2F1A44" w14:textId="77777777" w:rsidR="00AA54FE" w:rsidRPr="00AA54FE" w:rsidRDefault="00AA54FE" w:rsidP="00AA54FE">
            <w:pPr>
              <w:spacing w:after="160" w:line="259" w:lineRule="auto"/>
              <w:rPr>
                <w:rFonts w:ascii="Times New Roman" w:eastAsia="Calibri" w:hAnsi="Times New Roman" w:cs="Times New Roman"/>
                <w:b/>
                <w:bCs/>
                <w:color w:val="000000"/>
                <w:sz w:val="18"/>
                <w:szCs w:val="18"/>
                <w:lang w:eastAsia="en-US"/>
              </w:rPr>
            </w:pPr>
          </w:p>
        </w:tc>
      </w:tr>
    </w:tbl>
    <w:p w14:paraId="6111886E" w14:textId="78ABD027" w:rsidR="00D8548D" w:rsidRDefault="00D8548D"/>
    <w:p w14:paraId="62AFC3E4" w14:textId="77777777" w:rsidR="00F72140" w:rsidRDefault="00F72140"/>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10734" w:rsidRPr="009110E9" w14:paraId="1648058F" w14:textId="77777777">
        <w:tc>
          <w:tcPr>
            <w:tcW w:w="9029" w:type="dxa"/>
            <w:shd w:val="clear" w:color="auto" w:fill="auto"/>
            <w:tcMar>
              <w:top w:w="100" w:type="dxa"/>
              <w:left w:w="100" w:type="dxa"/>
              <w:bottom w:w="100" w:type="dxa"/>
              <w:right w:w="100" w:type="dxa"/>
            </w:tcMar>
          </w:tcPr>
          <w:p w14:paraId="2A5B93F6" w14:textId="2BCDD8AC" w:rsidR="00810734" w:rsidRPr="009110E9"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9110E9">
              <w:rPr>
                <w:b/>
              </w:rPr>
              <w:t>Разпределете индикативно финансовия ресурс, според типа разход:</w:t>
            </w:r>
          </w:p>
        </w:tc>
      </w:tr>
      <w:tr w:rsidR="00810734" w:rsidRPr="009110E9" w14:paraId="12D41742" w14:textId="77777777">
        <w:tc>
          <w:tcPr>
            <w:tcW w:w="9029" w:type="dxa"/>
            <w:shd w:val="clear" w:color="auto" w:fill="auto"/>
            <w:tcMar>
              <w:top w:w="100" w:type="dxa"/>
              <w:left w:w="100" w:type="dxa"/>
              <w:bottom w:w="100" w:type="dxa"/>
              <w:right w:w="100" w:type="dxa"/>
            </w:tcMar>
          </w:tcPr>
          <w:p w14:paraId="174CA400" w14:textId="3117F44E" w:rsidR="008C4B54" w:rsidRPr="009110E9" w:rsidRDefault="008C4B54" w:rsidP="008C4B54">
            <w:pPr>
              <w:widowControl w:val="0"/>
              <w:pBdr>
                <w:top w:val="nil"/>
                <w:left w:val="nil"/>
                <w:bottom w:val="nil"/>
                <w:right w:val="nil"/>
                <w:between w:val="nil"/>
              </w:pBdr>
              <w:spacing w:line="240" w:lineRule="auto"/>
              <w:jc w:val="both"/>
              <w:rPr>
                <w:b/>
                <w:bCs/>
              </w:rPr>
            </w:pPr>
            <w:r w:rsidRPr="009110E9">
              <w:rPr>
                <w:b/>
                <w:bCs/>
              </w:rPr>
              <w:t>За гарови комплекси:</w:t>
            </w:r>
          </w:p>
          <w:p w14:paraId="6409F379" w14:textId="2809B40A" w:rsidR="00810734" w:rsidRPr="009110E9" w:rsidRDefault="000F4B69" w:rsidP="008C4B54">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 xml:space="preserve">Изграждане/рехабилитация на инфраструктура (СМР) - </w:t>
            </w:r>
            <w:r w:rsidR="0037041B" w:rsidRPr="009110E9">
              <w:t>90</w:t>
            </w:r>
            <w:r w:rsidRPr="009110E9">
              <w:t>%</w:t>
            </w:r>
          </w:p>
          <w:p w14:paraId="6CCE4F75" w14:textId="77777777" w:rsidR="000F4B69" w:rsidRPr="009110E9" w:rsidRDefault="000F4B69" w:rsidP="008C4B54">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 xml:space="preserve">Физически капитал (закупване на машини и съоръжения) - </w:t>
            </w:r>
            <w:r w:rsidR="0037041B" w:rsidRPr="009110E9">
              <w:t>…</w:t>
            </w:r>
            <w:r w:rsidRPr="009110E9">
              <w:t>%</w:t>
            </w:r>
          </w:p>
          <w:p w14:paraId="41CB27ED" w14:textId="77777777" w:rsidR="000F4B69" w:rsidRPr="009110E9" w:rsidRDefault="000F4B69" w:rsidP="008C4B54">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Човешки капитал (повишаване на умения, преквалификация…) - …%</w:t>
            </w:r>
          </w:p>
          <w:p w14:paraId="29C782A5" w14:textId="77777777" w:rsidR="000F4B69" w:rsidRPr="009110E9" w:rsidRDefault="000F4B69" w:rsidP="008C4B54">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 xml:space="preserve">Труд (разходи за трудови възнаграждения, консултантски услуги …) - </w:t>
            </w:r>
            <w:r w:rsidR="002B34D7" w:rsidRPr="009110E9">
              <w:t>1</w:t>
            </w:r>
            <w:r w:rsidR="00FC0B4F" w:rsidRPr="009110E9">
              <w:t>0</w:t>
            </w:r>
            <w:r w:rsidRPr="009110E9">
              <w:t>%</w:t>
            </w:r>
          </w:p>
          <w:p w14:paraId="65EBBBB9" w14:textId="77777777" w:rsidR="000F4B69" w:rsidRPr="009110E9" w:rsidRDefault="000F4B69" w:rsidP="008C4B54">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 xml:space="preserve">Технология (разходи за придобиване на НМДА – патенти, софтуер…) - </w:t>
            </w:r>
            <w:r w:rsidR="0037041B" w:rsidRPr="009110E9">
              <w:t>…</w:t>
            </w:r>
            <w:r w:rsidRPr="009110E9">
              <w:t>%</w:t>
            </w:r>
          </w:p>
          <w:p w14:paraId="057A8A91" w14:textId="77777777" w:rsidR="000808CA" w:rsidRPr="009110E9" w:rsidRDefault="000808CA" w:rsidP="00194F9C">
            <w:pPr>
              <w:pStyle w:val="ListParagraph"/>
              <w:widowControl w:val="0"/>
              <w:pBdr>
                <w:top w:val="nil"/>
                <w:left w:val="nil"/>
                <w:bottom w:val="nil"/>
                <w:right w:val="nil"/>
                <w:between w:val="nil"/>
              </w:pBdr>
              <w:tabs>
                <w:tab w:val="left" w:pos="174"/>
              </w:tabs>
              <w:spacing w:line="240" w:lineRule="auto"/>
              <w:ind w:left="316"/>
              <w:jc w:val="both"/>
            </w:pPr>
          </w:p>
          <w:p w14:paraId="3F3C6254" w14:textId="3B0F0956" w:rsidR="00382A73" w:rsidRPr="009110E9" w:rsidRDefault="00382A73" w:rsidP="00382A73">
            <w:pPr>
              <w:widowControl w:val="0"/>
              <w:pBdr>
                <w:top w:val="nil"/>
                <w:left w:val="nil"/>
                <w:bottom w:val="nil"/>
                <w:right w:val="nil"/>
                <w:between w:val="nil"/>
              </w:pBdr>
              <w:spacing w:line="240" w:lineRule="auto"/>
              <w:jc w:val="both"/>
              <w:rPr>
                <w:b/>
                <w:bCs/>
              </w:rPr>
            </w:pPr>
            <w:r w:rsidRPr="009110E9">
              <w:rPr>
                <w:b/>
                <w:bCs/>
              </w:rPr>
              <w:t xml:space="preserve">За </w:t>
            </w:r>
            <w:r w:rsidR="000A11AE" w:rsidRPr="009110E9">
              <w:rPr>
                <w:b/>
                <w:bCs/>
              </w:rPr>
              <w:t xml:space="preserve">подготовка и изпълнение на ИМТ </w:t>
            </w:r>
            <w:r w:rsidR="000F08DB" w:rsidRPr="009110E9">
              <w:rPr>
                <w:b/>
                <w:bCs/>
              </w:rPr>
              <w:t>Горна Оряховица</w:t>
            </w:r>
            <w:r w:rsidRPr="009110E9">
              <w:rPr>
                <w:b/>
                <w:bCs/>
              </w:rPr>
              <w:t>:</w:t>
            </w:r>
          </w:p>
          <w:p w14:paraId="1FBE335E" w14:textId="1C434AD5"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Планиране и проектиране – 8 %</w:t>
            </w:r>
          </w:p>
          <w:p w14:paraId="0A95117A" w14:textId="5C199445"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Изграждане/рехабилитация на инфраструктура (СМР) - 6</w:t>
            </w:r>
            <w:r w:rsidR="008A793F" w:rsidRPr="009110E9">
              <w:t>0</w:t>
            </w:r>
            <w:r w:rsidRPr="009110E9">
              <w:t>%</w:t>
            </w:r>
          </w:p>
          <w:p w14:paraId="13CC2A73" w14:textId="063FA9FA"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Физически капитал (закупване на машини и съоръжения) - 2</w:t>
            </w:r>
            <w:r w:rsidR="008A793F" w:rsidRPr="009110E9">
              <w:t>2</w:t>
            </w:r>
            <w:r w:rsidRPr="009110E9">
              <w:t>%</w:t>
            </w:r>
          </w:p>
          <w:p w14:paraId="1A8528F0" w14:textId="77777777"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Човешки капитал (повишаване на умения, преквалификация…) – 0 %</w:t>
            </w:r>
          </w:p>
          <w:p w14:paraId="01804AA5" w14:textId="77777777"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Труд (разходи за трудови възнаграждения, консултантски услуги …) - 10%</w:t>
            </w:r>
          </w:p>
          <w:p w14:paraId="31BC4C0C" w14:textId="77777777" w:rsidR="00382A73" w:rsidRPr="009110E9" w:rsidRDefault="00382A73" w:rsidP="00382A73">
            <w:pPr>
              <w:pStyle w:val="ListParagraph"/>
              <w:widowControl w:val="0"/>
              <w:numPr>
                <w:ilvl w:val="0"/>
                <w:numId w:val="1"/>
              </w:numPr>
              <w:pBdr>
                <w:top w:val="nil"/>
                <w:left w:val="nil"/>
                <w:bottom w:val="nil"/>
                <w:right w:val="nil"/>
                <w:between w:val="nil"/>
              </w:pBdr>
              <w:tabs>
                <w:tab w:val="left" w:pos="158"/>
              </w:tabs>
              <w:spacing w:line="240" w:lineRule="auto"/>
              <w:ind w:left="316"/>
              <w:jc w:val="both"/>
            </w:pPr>
            <w:r w:rsidRPr="009110E9">
              <w:t>Технология (разходи за придобиване на НМДА – патенти, софтуер…) - %</w:t>
            </w:r>
          </w:p>
          <w:p w14:paraId="1F8D827F" w14:textId="24DB5283" w:rsidR="008A0FB1" w:rsidRPr="009110E9" w:rsidRDefault="008A0FB1" w:rsidP="008C4B54">
            <w:pPr>
              <w:widowControl w:val="0"/>
              <w:pBdr>
                <w:top w:val="nil"/>
                <w:left w:val="nil"/>
                <w:bottom w:val="nil"/>
                <w:right w:val="nil"/>
                <w:between w:val="nil"/>
              </w:pBdr>
              <w:tabs>
                <w:tab w:val="left" w:pos="174"/>
              </w:tabs>
              <w:spacing w:line="240" w:lineRule="auto"/>
              <w:jc w:val="both"/>
            </w:pPr>
          </w:p>
        </w:tc>
      </w:tr>
      <w:tr w:rsidR="00A2531D" w:rsidRPr="009110E9" w14:paraId="5538070D" w14:textId="77777777">
        <w:tc>
          <w:tcPr>
            <w:tcW w:w="9029" w:type="dxa"/>
            <w:shd w:val="clear" w:color="auto" w:fill="auto"/>
            <w:tcMar>
              <w:top w:w="100" w:type="dxa"/>
              <w:left w:w="100" w:type="dxa"/>
              <w:bottom w:w="100" w:type="dxa"/>
              <w:right w:w="100" w:type="dxa"/>
            </w:tcMar>
          </w:tcPr>
          <w:p w14:paraId="6D8CFFA3" w14:textId="77777777" w:rsidR="00A2531D" w:rsidRPr="009110E9" w:rsidRDefault="00A2531D" w:rsidP="000750BB">
            <w:pPr>
              <w:pStyle w:val="ListParagraph"/>
              <w:widowControl w:val="0"/>
              <w:numPr>
                <w:ilvl w:val="0"/>
                <w:numId w:val="2"/>
              </w:numPr>
              <w:pBdr>
                <w:top w:val="nil"/>
                <w:left w:val="nil"/>
                <w:bottom w:val="nil"/>
                <w:right w:val="nil"/>
                <w:between w:val="nil"/>
              </w:pBdr>
              <w:spacing w:line="240" w:lineRule="auto"/>
              <w:jc w:val="both"/>
              <w:rPr>
                <w:b/>
              </w:rPr>
            </w:pPr>
            <w:r w:rsidRPr="009110E9">
              <w:rPr>
                <w:b/>
              </w:rPr>
              <w:t>Индикатори</w:t>
            </w:r>
          </w:p>
        </w:tc>
      </w:tr>
      <w:tr w:rsidR="00A2531D" w:rsidRPr="009110E9" w14:paraId="21717B4C" w14:textId="77777777">
        <w:tc>
          <w:tcPr>
            <w:tcW w:w="9029" w:type="dxa"/>
            <w:shd w:val="clear" w:color="auto" w:fill="auto"/>
            <w:tcMar>
              <w:top w:w="100" w:type="dxa"/>
              <w:left w:w="100" w:type="dxa"/>
              <w:bottom w:w="100" w:type="dxa"/>
              <w:right w:w="100" w:type="dxa"/>
            </w:tcMar>
          </w:tcPr>
          <w:p w14:paraId="61735ADB" w14:textId="77777777" w:rsidR="000750BB" w:rsidRPr="009110E9"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9110E9">
              <w:rPr>
                <w:b/>
              </w:rPr>
              <w:t>Индикатор/и за резултат</w:t>
            </w:r>
          </w:p>
        </w:tc>
      </w:tr>
      <w:tr w:rsidR="00E345CF" w:rsidRPr="009110E9" w14:paraId="18DB640F" w14:textId="77777777">
        <w:tc>
          <w:tcPr>
            <w:tcW w:w="9029" w:type="dxa"/>
            <w:shd w:val="clear" w:color="auto" w:fill="auto"/>
            <w:tcMar>
              <w:top w:w="100" w:type="dxa"/>
              <w:left w:w="100" w:type="dxa"/>
              <w:bottom w:w="100" w:type="dxa"/>
              <w:right w:w="100" w:type="dxa"/>
            </w:tcMar>
          </w:tcPr>
          <w:p w14:paraId="27D7B22E" w14:textId="458687C5" w:rsidR="00E345CF" w:rsidRPr="009110E9" w:rsidRDefault="00E345CF" w:rsidP="00E345CF">
            <w:pPr>
              <w:widowControl w:val="0"/>
              <w:pBdr>
                <w:top w:val="nil"/>
                <w:left w:val="nil"/>
                <w:bottom w:val="nil"/>
                <w:right w:val="nil"/>
                <w:between w:val="nil"/>
              </w:pBdr>
              <w:spacing w:line="240" w:lineRule="auto"/>
              <w:jc w:val="both"/>
              <w:rPr>
                <w:b/>
              </w:rPr>
            </w:pPr>
            <w:r w:rsidRPr="00127C38">
              <w:rPr>
                <w:bCs/>
              </w:rPr>
              <w:t xml:space="preserve">Брой </w:t>
            </w:r>
            <w:r>
              <w:rPr>
                <w:bCs/>
              </w:rPr>
              <w:t>обявени тръжни процедури</w:t>
            </w:r>
          </w:p>
        </w:tc>
      </w:tr>
      <w:tr w:rsidR="00E345CF" w:rsidRPr="009110E9" w14:paraId="3FFBEB24" w14:textId="77777777">
        <w:tc>
          <w:tcPr>
            <w:tcW w:w="9029" w:type="dxa"/>
            <w:shd w:val="clear" w:color="auto" w:fill="auto"/>
            <w:tcMar>
              <w:top w:w="100" w:type="dxa"/>
              <w:left w:w="100" w:type="dxa"/>
              <w:bottom w:w="100" w:type="dxa"/>
              <w:right w:w="100" w:type="dxa"/>
            </w:tcMar>
          </w:tcPr>
          <w:p w14:paraId="1BAAEC45" w14:textId="77777777" w:rsidR="00E345CF" w:rsidRPr="00127C38"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lastRenderedPageBreak/>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1282DED2" w14:textId="6EF12847"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2</w:t>
            </w:r>
            <w:r w:rsidRPr="00127C38">
              <w:t xml:space="preserve"> </w:t>
            </w:r>
            <w:r w:rsidRPr="00DA6629">
              <w:t>[</w:t>
            </w:r>
            <w:r>
              <w:rPr>
                <w:lang w:val="en-US"/>
              </w:rPr>
              <w:t>I</w:t>
            </w:r>
            <w:r>
              <w:rPr>
                <w:lang w:val="en-GB"/>
              </w:rPr>
              <w:t>I</w:t>
            </w:r>
            <w:r w:rsidRPr="00DA6629">
              <w:t>-</w:t>
            </w:r>
            <w:proofErr w:type="spellStart"/>
            <w:r>
              <w:t>ро</w:t>
            </w:r>
            <w:proofErr w:type="spellEnd"/>
            <w:r>
              <w:t xml:space="preserve"> шестмесечие на </w:t>
            </w:r>
            <w:r w:rsidRPr="00127C38">
              <w:t>202</w:t>
            </w:r>
            <w:r>
              <w:t>1</w:t>
            </w:r>
            <w:r w:rsidRPr="00127C38">
              <w:t xml:space="preserve"> година</w:t>
            </w:r>
            <w:r w:rsidRPr="00DA6629">
              <w:t>]</w:t>
            </w:r>
            <w:r w:rsidRPr="00127C38">
              <w:t xml:space="preserve">; </w:t>
            </w:r>
          </w:p>
          <w:p w14:paraId="503E4962" w14:textId="7FE14452"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4</w:t>
            </w:r>
            <w:r w:rsidRPr="00127C38">
              <w:t xml:space="preserve"> </w:t>
            </w:r>
            <w:r w:rsidRPr="00DA6629">
              <w:t>[</w:t>
            </w:r>
            <w:r>
              <w:rPr>
                <w:lang w:val="en-US"/>
              </w:rPr>
              <w:t>I</w:t>
            </w:r>
            <w:r>
              <w:rPr>
                <w:lang w:val="en-GB"/>
              </w:rPr>
              <w:t>I</w:t>
            </w:r>
            <w:r w:rsidRPr="00DA6629">
              <w:t>-</w:t>
            </w:r>
            <w:proofErr w:type="spellStart"/>
            <w:r>
              <w:t>ро</w:t>
            </w:r>
            <w:proofErr w:type="spellEnd"/>
            <w:r>
              <w:t xml:space="preserve"> шестмесечие на </w:t>
            </w:r>
            <w:r w:rsidRPr="00127C38">
              <w:t>202</w:t>
            </w:r>
            <w:r>
              <w:t>2</w:t>
            </w:r>
            <w:r w:rsidRPr="00127C38">
              <w:t xml:space="preserve"> година</w:t>
            </w:r>
            <w:r w:rsidRPr="00DA6629">
              <w:t>]</w:t>
            </w:r>
            <w:r w:rsidRPr="00127C38">
              <w:t xml:space="preserve">; </w:t>
            </w:r>
          </w:p>
          <w:p w14:paraId="00922380" w14:textId="292DB54C"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2</w:t>
            </w:r>
            <w:r w:rsidRPr="00127C38">
              <w:t xml:space="preserve"> </w:t>
            </w:r>
            <w:r w:rsidRPr="00DA6629">
              <w:t>[</w:t>
            </w:r>
            <w:r>
              <w:rPr>
                <w:lang w:val="en-GB"/>
              </w:rPr>
              <w:t>I</w:t>
            </w:r>
            <w:r w:rsidRPr="00DA6629">
              <w:t>-</w:t>
            </w:r>
            <w:r>
              <w:t xml:space="preserve">во шестмесечие на </w:t>
            </w:r>
            <w:r w:rsidRPr="00127C38">
              <w:t>202</w:t>
            </w:r>
            <w:r>
              <w:t>3</w:t>
            </w:r>
            <w:r w:rsidRPr="00127C38">
              <w:t xml:space="preserve"> година</w:t>
            </w:r>
            <w:r w:rsidRPr="00DA6629">
              <w:t>]</w:t>
            </w:r>
            <w:r w:rsidRPr="00127C38">
              <w:t xml:space="preserve">; </w:t>
            </w:r>
          </w:p>
          <w:p w14:paraId="339A42A8" w14:textId="63DFABB8" w:rsidR="00E345CF" w:rsidRPr="009110E9" w:rsidRDefault="00E345CF" w:rsidP="00E46C2F">
            <w:pPr>
              <w:pStyle w:val="ListParagraph"/>
              <w:widowControl w:val="0"/>
              <w:numPr>
                <w:ilvl w:val="0"/>
                <w:numId w:val="1"/>
              </w:numPr>
              <w:pBdr>
                <w:top w:val="nil"/>
                <w:left w:val="nil"/>
                <w:bottom w:val="nil"/>
                <w:right w:val="nil"/>
                <w:between w:val="nil"/>
              </w:pBdr>
              <w:spacing w:line="240" w:lineRule="auto"/>
              <w:jc w:val="both"/>
              <w:rPr>
                <w:b/>
              </w:rPr>
            </w:pPr>
            <w:r w:rsidRPr="00127C38">
              <w:t>Крайна стойност</w:t>
            </w:r>
            <w:r w:rsidRPr="00DA6629">
              <w:rPr>
                <w:lang w:val="en-US"/>
              </w:rPr>
              <w:t xml:space="preserve"> - </w:t>
            </w:r>
            <w:r w:rsidR="00590867">
              <w:t>8</w:t>
            </w:r>
            <w:r w:rsidRPr="00127C38">
              <w:t xml:space="preserve"> </w:t>
            </w:r>
            <w:r w:rsidRPr="00DA6629">
              <w:rPr>
                <w:lang w:val="en-US"/>
              </w:rPr>
              <w:t>[</w:t>
            </w:r>
            <w:r w:rsidRPr="00127C38">
              <w:t>202</w:t>
            </w:r>
            <w:r w:rsidR="00824D16">
              <w:t>3</w:t>
            </w:r>
            <w:r w:rsidRPr="00127C38">
              <w:t xml:space="preserve"> година</w:t>
            </w:r>
            <w:r w:rsidRPr="00DA6629">
              <w:rPr>
                <w:lang w:val="en-US"/>
              </w:rPr>
              <w:t>]</w:t>
            </w:r>
          </w:p>
        </w:tc>
      </w:tr>
      <w:tr w:rsidR="00E345CF" w:rsidRPr="009110E9" w14:paraId="34F2EAAC" w14:textId="77777777">
        <w:tc>
          <w:tcPr>
            <w:tcW w:w="9029" w:type="dxa"/>
            <w:shd w:val="clear" w:color="auto" w:fill="auto"/>
            <w:tcMar>
              <w:top w:w="100" w:type="dxa"/>
              <w:left w:w="100" w:type="dxa"/>
              <w:bottom w:w="100" w:type="dxa"/>
              <w:right w:w="100" w:type="dxa"/>
            </w:tcMar>
          </w:tcPr>
          <w:p w14:paraId="3E78A230" w14:textId="3D01C649" w:rsidR="00E345CF" w:rsidRPr="009110E9" w:rsidRDefault="00E345CF" w:rsidP="00E345CF">
            <w:pPr>
              <w:widowControl w:val="0"/>
              <w:pBdr>
                <w:top w:val="nil"/>
                <w:left w:val="nil"/>
                <w:bottom w:val="nil"/>
                <w:right w:val="nil"/>
                <w:between w:val="nil"/>
              </w:pBdr>
              <w:spacing w:line="240" w:lineRule="auto"/>
              <w:jc w:val="both"/>
              <w:rPr>
                <w:b/>
              </w:rPr>
            </w:pPr>
            <w:r w:rsidRPr="00127C38">
              <w:rPr>
                <w:bCs/>
              </w:rPr>
              <w:t xml:space="preserve">Брой </w:t>
            </w:r>
            <w:r>
              <w:rPr>
                <w:bCs/>
              </w:rPr>
              <w:t>сключени договори с избрани изпълнители след проведени ОП</w:t>
            </w:r>
          </w:p>
        </w:tc>
      </w:tr>
      <w:tr w:rsidR="00E345CF" w:rsidRPr="009110E9" w14:paraId="3296C4C0" w14:textId="77777777">
        <w:tc>
          <w:tcPr>
            <w:tcW w:w="9029" w:type="dxa"/>
            <w:shd w:val="clear" w:color="auto" w:fill="auto"/>
            <w:tcMar>
              <w:top w:w="100" w:type="dxa"/>
              <w:left w:w="100" w:type="dxa"/>
              <w:bottom w:w="100" w:type="dxa"/>
              <w:right w:w="100" w:type="dxa"/>
            </w:tcMar>
          </w:tcPr>
          <w:p w14:paraId="0820B750" w14:textId="77777777" w:rsidR="00E345CF" w:rsidRPr="00127C38"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3B8338C7" w14:textId="1E1B97D0" w:rsidR="008E4021"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2</w:t>
            </w:r>
            <w:r w:rsidRPr="00127C38">
              <w:t xml:space="preserve"> </w:t>
            </w:r>
            <w:r w:rsidRPr="00DA6629">
              <w:t>[</w:t>
            </w:r>
            <w:r>
              <w:rPr>
                <w:lang w:val="en-US"/>
              </w:rPr>
              <w:t>I</w:t>
            </w:r>
            <w:r>
              <w:rPr>
                <w:lang w:val="en-GB"/>
              </w:rPr>
              <w:t>I</w:t>
            </w:r>
            <w:r w:rsidRPr="00DA6629">
              <w:t>-</w:t>
            </w:r>
            <w:proofErr w:type="spellStart"/>
            <w:r>
              <w:t>ро</w:t>
            </w:r>
            <w:proofErr w:type="spellEnd"/>
            <w:r>
              <w:t xml:space="preserve"> шестмесечие на </w:t>
            </w:r>
            <w:r w:rsidRPr="00127C38">
              <w:t>202</w:t>
            </w:r>
            <w:r>
              <w:t>1</w:t>
            </w:r>
            <w:r w:rsidRPr="00127C38">
              <w:t xml:space="preserve"> година</w:t>
            </w:r>
            <w:r w:rsidRPr="00DA6629">
              <w:t>]</w:t>
            </w:r>
            <w:r w:rsidRPr="00127C38">
              <w:t>;</w:t>
            </w:r>
          </w:p>
          <w:p w14:paraId="69EC0EA4" w14:textId="701CDB7A" w:rsidR="00E345CF" w:rsidRDefault="00E345CF" w:rsidP="008E4021">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4</w:t>
            </w:r>
            <w:r w:rsidRPr="00127C38">
              <w:t xml:space="preserve"> </w:t>
            </w:r>
            <w:r w:rsidRPr="00DA6629">
              <w:t>[</w:t>
            </w:r>
            <w:r w:rsidRPr="008E4021">
              <w:rPr>
                <w:lang w:val="en-US"/>
              </w:rPr>
              <w:t>I</w:t>
            </w:r>
            <w:r w:rsidRPr="00DA6629">
              <w:t>-</w:t>
            </w:r>
            <w:r w:rsidR="008E4021">
              <w:t>во</w:t>
            </w:r>
            <w:r>
              <w:t xml:space="preserve"> шестмесечие на </w:t>
            </w:r>
            <w:r w:rsidRPr="00127C38">
              <w:t>202</w:t>
            </w:r>
            <w:r>
              <w:t>3</w:t>
            </w:r>
            <w:r w:rsidRPr="00127C38">
              <w:t xml:space="preserve"> година</w:t>
            </w:r>
            <w:r w:rsidRPr="00DA6629">
              <w:t>]</w:t>
            </w:r>
            <w:r w:rsidRPr="00127C38">
              <w:t xml:space="preserve">; </w:t>
            </w:r>
          </w:p>
          <w:p w14:paraId="13B61E60" w14:textId="26F54BC5" w:rsidR="008E4021" w:rsidRDefault="008E4021" w:rsidP="008E4021">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t>2</w:t>
            </w:r>
            <w:r w:rsidRPr="00127C38">
              <w:t xml:space="preserve"> </w:t>
            </w:r>
            <w:r w:rsidRPr="00DA6629">
              <w:t>[</w:t>
            </w:r>
            <w:r w:rsidRPr="008E4021">
              <w:rPr>
                <w:lang w:val="en-US"/>
              </w:rPr>
              <w:t>I</w:t>
            </w:r>
            <w:r>
              <w:rPr>
                <w:lang w:val="en-US"/>
              </w:rPr>
              <w:t>I</w:t>
            </w:r>
            <w:r w:rsidRPr="00DA6629">
              <w:t>-</w:t>
            </w:r>
            <w:proofErr w:type="spellStart"/>
            <w:r>
              <w:t>ро</w:t>
            </w:r>
            <w:proofErr w:type="spellEnd"/>
            <w:r>
              <w:t xml:space="preserve"> шестмесечие на </w:t>
            </w:r>
            <w:r w:rsidRPr="00127C38">
              <w:t>202</w:t>
            </w:r>
            <w:r>
              <w:t>3</w:t>
            </w:r>
            <w:r w:rsidRPr="00127C38">
              <w:t xml:space="preserve"> година</w:t>
            </w:r>
            <w:r w:rsidRPr="00DA6629">
              <w:t>]</w:t>
            </w:r>
            <w:r w:rsidRPr="00127C38">
              <w:t xml:space="preserve">; </w:t>
            </w:r>
          </w:p>
          <w:p w14:paraId="66219D27" w14:textId="411F13C6" w:rsidR="00E345CF" w:rsidRPr="009110E9" w:rsidRDefault="00E345CF" w:rsidP="00E46C2F">
            <w:pPr>
              <w:pStyle w:val="ListParagraph"/>
              <w:widowControl w:val="0"/>
              <w:numPr>
                <w:ilvl w:val="0"/>
                <w:numId w:val="1"/>
              </w:numPr>
              <w:pBdr>
                <w:top w:val="nil"/>
                <w:left w:val="nil"/>
                <w:bottom w:val="nil"/>
                <w:right w:val="nil"/>
                <w:between w:val="nil"/>
              </w:pBdr>
              <w:spacing w:line="240" w:lineRule="auto"/>
              <w:jc w:val="both"/>
              <w:rPr>
                <w:b/>
              </w:rPr>
            </w:pPr>
            <w:r w:rsidRPr="00127C38">
              <w:t>Крайна стойност</w:t>
            </w:r>
            <w:r w:rsidRPr="008B3B0C">
              <w:rPr>
                <w:lang w:val="en-US"/>
              </w:rPr>
              <w:t xml:space="preserve"> - </w:t>
            </w:r>
            <w:r w:rsidR="00590867">
              <w:t>8</w:t>
            </w:r>
            <w:r w:rsidRPr="00127C38">
              <w:t xml:space="preserve"> </w:t>
            </w:r>
            <w:r w:rsidRPr="008B3B0C">
              <w:rPr>
                <w:lang w:val="en-US"/>
              </w:rPr>
              <w:t>[</w:t>
            </w:r>
            <w:r w:rsidRPr="00127C38">
              <w:t>202</w:t>
            </w:r>
            <w:r w:rsidR="00824D16">
              <w:t>4</w:t>
            </w:r>
            <w:r w:rsidRPr="00127C38">
              <w:t xml:space="preserve"> година</w:t>
            </w:r>
            <w:r w:rsidRPr="008B3B0C">
              <w:rPr>
                <w:lang w:val="en-US"/>
              </w:rPr>
              <w:t>]</w:t>
            </w:r>
          </w:p>
        </w:tc>
      </w:tr>
      <w:tr w:rsidR="008E4021" w:rsidRPr="009110E9" w14:paraId="694162B0" w14:textId="77777777">
        <w:tc>
          <w:tcPr>
            <w:tcW w:w="9029" w:type="dxa"/>
            <w:shd w:val="clear" w:color="auto" w:fill="auto"/>
            <w:tcMar>
              <w:top w:w="100" w:type="dxa"/>
              <w:left w:w="100" w:type="dxa"/>
              <w:bottom w:w="100" w:type="dxa"/>
              <w:right w:w="100" w:type="dxa"/>
            </w:tcMar>
          </w:tcPr>
          <w:p w14:paraId="15F16877" w14:textId="7B8171BC" w:rsidR="008E4021" w:rsidRPr="00127C38" w:rsidRDefault="008E4021" w:rsidP="00E345CF">
            <w:pPr>
              <w:widowControl w:val="0"/>
              <w:pBdr>
                <w:top w:val="nil"/>
                <w:left w:val="nil"/>
                <w:bottom w:val="nil"/>
                <w:right w:val="nil"/>
                <w:between w:val="nil"/>
              </w:pBdr>
              <w:spacing w:line="240" w:lineRule="auto"/>
              <w:jc w:val="both"/>
              <w:rPr>
                <w:bCs/>
              </w:rPr>
            </w:pPr>
            <w:r>
              <w:rPr>
                <w:bCs/>
              </w:rPr>
              <w:t xml:space="preserve">Брой подготвени </w:t>
            </w:r>
            <w:r w:rsidR="007A1EE0">
              <w:rPr>
                <w:bCs/>
              </w:rPr>
              <w:t>обекти</w:t>
            </w:r>
          </w:p>
        </w:tc>
      </w:tr>
      <w:tr w:rsidR="008E4021" w:rsidRPr="009110E9" w14:paraId="54C0D1BF" w14:textId="77777777">
        <w:tc>
          <w:tcPr>
            <w:tcW w:w="9029" w:type="dxa"/>
            <w:shd w:val="clear" w:color="auto" w:fill="auto"/>
            <w:tcMar>
              <w:top w:w="100" w:type="dxa"/>
              <w:left w:w="100" w:type="dxa"/>
              <w:bottom w:w="100" w:type="dxa"/>
              <w:right w:w="100" w:type="dxa"/>
            </w:tcMar>
          </w:tcPr>
          <w:p w14:paraId="3FC6122D" w14:textId="77777777" w:rsidR="008E4021" w:rsidRPr="00127C38" w:rsidRDefault="008E4021" w:rsidP="008E4021">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6DE753E1" w14:textId="3F52590B" w:rsidR="008E4021" w:rsidRDefault="008E4021" w:rsidP="008E4021">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t>1</w:t>
            </w:r>
            <w:r w:rsidRPr="00127C38">
              <w:t xml:space="preserve"> </w:t>
            </w:r>
            <w:r w:rsidRPr="00DA6629">
              <w:t>[</w:t>
            </w:r>
            <w:r>
              <w:rPr>
                <w:lang w:val="en-GB"/>
              </w:rPr>
              <w:t>I</w:t>
            </w:r>
            <w:r w:rsidRPr="00DA6629">
              <w:t>-</w:t>
            </w:r>
            <w:r>
              <w:t xml:space="preserve">во шестмесечие на </w:t>
            </w:r>
            <w:r w:rsidRPr="00127C38">
              <w:t>202</w:t>
            </w:r>
            <w:r w:rsidR="00590867">
              <w:t>2</w:t>
            </w:r>
            <w:r w:rsidRPr="00127C38">
              <w:t xml:space="preserve"> година</w:t>
            </w:r>
            <w:r w:rsidRPr="00DA6629">
              <w:t>]</w:t>
            </w:r>
            <w:r w:rsidRPr="00127C38">
              <w:t xml:space="preserve">; </w:t>
            </w:r>
          </w:p>
          <w:p w14:paraId="527D4098" w14:textId="146208CE" w:rsidR="00590867" w:rsidRDefault="00590867" w:rsidP="00590867">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t>1</w:t>
            </w:r>
            <w:r w:rsidRPr="00127C38">
              <w:t xml:space="preserve"> </w:t>
            </w:r>
            <w:r w:rsidRPr="00DA6629">
              <w:t>[</w:t>
            </w:r>
            <w:r w:rsidRPr="008E4021">
              <w:rPr>
                <w:lang w:val="en-US"/>
              </w:rPr>
              <w:t>I</w:t>
            </w:r>
            <w:r>
              <w:rPr>
                <w:lang w:val="en-US"/>
              </w:rPr>
              <w:t>I</w:t>
            </w:r>
            <w:r w:rsidRPr="00DA6629">
              <w:t>-</w:t>
            </w:r>
            <w:proofErr w:type="spellStart"/>
            <w:r>
              <w:t>ро</w:t>
            </w:r>
            <w:proofErr w:type="spellEnd"/>
            <w:r>
              <w:t xml:space="preserve"> шестмесечие на </w:t>
            </w:r>
            <w:r w:rsidRPr="00127C38">
              <w:t>202</w:t>
            </w:r>
            <w:r>
              <w:t>2</w:t>
            </w:r>
            <w:r w:rsidRPr="00127C38">
              <w:t xml:space="preserve"> година</w:t>
            </w:r>
            <w:r w:rsidRPr="00DA6629">
              <w:t>]</w:t>
            </w:r>
            <w:r w:rsidRPr="00127C38">
              <w:t xml:space="preserve">; </w:t>
            </w:r>
          </w:p>
          <w:p w14:paraId="0C73E264" w14:textId="66C5242F" w:rsidR="008E4021" w:rsidRPr="00127C38" w:rsidRDefault="008E4021" w:rsidP="00E46C2F">
            <w:pPr>
              <w:pStyle w:val="ListParagraph"/>
              <w:widowControl w:val="0"/>
              <w:numPr>
                <w:ilvl w:val="0"/>
                <w:numId w:val="1"/>
              </w:numPr>
              <w:pBdr>
                <w:top w:val="nil"/>
                <w:left w:val="nil"/>
                <w:bottom w:val="nil"/>
                <w:right w:val="nil"/>
                <w:between w:val="nil"/>
              </w:pBdr>
              <w:spacing w:line="240" w:lineRule="auto"/>
              <w:jc w:val="both"/>
              <w:rPr>
                <w:bCs/>
              </w:rPr>
            </w:pPr>
            <w:r w:rsidRPr="00127C38">
              <w:t>Крайна стойност</w:t>
            </w:r>
            <w:r w:rsidRPr="00E46C2F">
              <w:t xml:space="preserve"> - </w:t>
            </w:r>
            <w:r w:rsidR="00590867">
              <w:t>2</w:t>
            </w:r>
            <w:r w:rsidRPr="00127C38">
              <w:t xml:space="preserve"> </w:t>
            </w:r>
            <w:r w:rsidRPr="00E46C2F">
              <w:t>[</w:t>
            </w:r>
            <w:r w:rsidR="00590867">
              <w:rPr>
                <w:lang w:val="en-GB"/>
              </w:rPr>
              <w:t>I</w:t>
            </w:r>
            <w:r w:rsidR="00590867" w:rsidRPr="00DA6629">
              <w:t>-</w:t>
            </w:r>
            <w:r w:rsidR="00590867">
              <w:t xml:space="preserve">во </w:t>
            </w:r>
            <w:r>
              <w:t xml:space="preserve">шестмесечие на </w:t>
            </w:r>
            <w:r w:rsidRPr="00127C38">
              <w:t>202</w:t>
            </w:r>
            <w:r>
              <w:t>3</w:t>
            </w:r>
            <w:r w:rsidRPr="00127C38">
              <w:t xml:space="preserve"> година</w:t>
            </w:r>
            <w:r w:rsidRPr="00E46C2F">
              <w:t>]</w:t>
            </w:r>
          </w:p>
        </w:tc>
      </w:tr>
      <w:tr w:rsidR="00E345CF" w:rsidRPr="009110E9" w14:paraId="22D044DE" w14:textId="77777777">
        <w:tc>
          <w:tcPr>
            <w:tcW w:w="9029" w:type="dxa"/>
            <w:shd w:val="clear" w:color="auto" w:fill="auto"/>
            <w:tcMar>
              <w:top w:w="100" w:type="dxa"/>
              <w:left w:w="100" w:type="dxa"/>
              <w:bottom w:w="100" w:type="dxa"/>
              <w:right w:w="100" w:type="dxa"/>
            </w:tcMar>
          </w:tcPr>
          <w:p w14:paraId="3183A7FC" w14:textId="0D13C51E" w:rsidR="00E345CF" w:rsidRPr="009110E9" w:rsidRDefault="00E345CF" w:rsidP="00E345CF">
            <w:pPr>
              <w:widowControl w:val="0"/>
              <w:pBdr>
                <w:top w:val="nil"/>
                <w:left w:val="nil"/>
                <w:bottom w:val="nil"/>
                <w:right w:val="nil"/>
                <w:between w:val="nil"/>
              </w:pBdr>
              <w:spacing w:line="240" w:lineRule="auto"/>
              <w:jc w:val="both"/>
              <w:rPr>
                <w:b/>
              </w:rPr>
            </w:pPr>
            <w:r w:rsidRPr="00127C38">
              <w:rPr>
                <w:bCs/>
              </w:rPr>
              <w:t xml:space="preserve">Брой </w:t>
            </w:r>
            <w:r>
              <w:rPr>
                <w:bCs/>
              </w:rPr>
              <w:t>изготвени технически проекти</w:t>
            </w:r>
          </w:p>
        </w:tc>
      </w:tr>
      <w:tr w:rsidR="00E345CF" w:rsidRPr="009110E9" w14:paraId="22BE08BF" w14:textId="77777777">
        <w:tc>
          <w:tcPr>
            <w:tcW w:w="9029" w:type="dxa"/>
            <w:shd w:val="clear" w:color="auto" w:fill="auto"/>
            <w:tcMar>
              <w:top w:w="100" w:type="dxa"/>
              <w:left w:w="100" w:type="dxa"/>
              <w:bottom w:w="100" w:type="dxa"/>
              <w:right w:w="100" w:type="dxa"/>
            </w:tcMar>
          </w:tcPr>
          <w:p w14:paraId="4A7DCB04" w14:textId="77777777" w:rsidR="00E345CF" w:rsidRPr="00127C38"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4AB23FB6" w14:textId="01D4EA30"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590867">
              <w:t>2</w:t>
            </w:r>
            <w:r w:rsidRPr="00127C38">
              <w:t xml:space="preserve"> </w:t>
            </w:r>
            <w:r w:rsidRPr="00DA6629">
              <w:t>[</w:t>
            </w:r>
            <w:r>
              <w:rPr>
                <w:lang w:val="en-GB"/>
              </w:rPr>
              <w:t>I</w:t>
            </w:r>
            <w:r w:rsidRPr="00DA6629">
              <w:t>-</w:t>
            </w:r>
            <w:r>
              <w:t xml:space="preserve">во шестмесечие на </w:t>
            </w:r>
            <w:r w:rsidRPr="00127C38">
              <w:t>202</w:t>
            </w:r>
            <w:r>
              <w:t>3</w:t>
            </w:r>
            <w:r w:rsidRPr="00127C38">
              <w:t xml:space="preserve"> година</w:t>
            </w:r>
            <w:r w:rsidRPr="00DA6629">
              <w:t>]</w:t>
            </w:r>
            <w:r w:rsidRPr="00127C38">
              <w:t xml:space="preserve">; </w:t>
            </w:r>
          </w:p>
          <w:p w14:paraId="3342FD56" w14:textId="23A43455"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8E4021">
              <w:t>1</w:t>
            </w:r>
            <w:r w:rsidRPr="00127C38">
              <w:t xml:space="preserve"> </w:t>
            </w:r>
            <w:r w:rsidRPr="00DA6629">
              <w:t>[</w:t>
            </w:r>
            <w:r>
              <w:rPr>
                <w:lang w:val="en-US"/>
              </w:rPr>
              <w:t>I</w:t>
            </w:r>
            <w:r>
              <w:rPr>
                <w:lang w:val="en-GB"/>
              </w:rPr>
              <w:t>I</w:t>
            </w:r>
            <w:r w:rsidRPr="00DA6629">
              <w:t>-</w:t>
            </w:r>
            <w:proofErr w:type="spellStart"/>
            <w:r>
              <w:t>ро</w:t>
            </w:r>
            <w:proofErr w:type="spellEnd"/>
            <w:r>
              <w:t xml:space="preserve"> шестмесечие на </w:t>
            </w:r>
            <w:r w:rsidRPr="00127C38">
              <w:t>202</w:t>
            </w:r>
            <w:r>
              <w:t>3</w:t>
            </w:r>
            <w:r w:rsidRPr="00127C38">
              <w:t xml:space="preserve"> година</w:t>
            </w:r>
            <w:r w:rsidRPr="00DA6629">
              <w:t>]</w:t>
            </w:r>
            <w:r w:rsidRPr="00127C38">
              <w:t xml:space="preserve">; </w:t>
            </w:r>
          </w:p>
          <w:p w14:paraId="2AEEB5B7" w14:textId="58725F10" w:rsidR="00E345CF" w:rsidRPr="009110E9" w:rsidRDefault="00E345CF" w:rsidP="00E46C2F">
            <w:pPr>
              <w:pStyle w:val="ListParagraph"/>
              <w:widowControl w:val="0"/>
              <w:numPr>
                <w:ilvl w:val="0"/>
                <w:numId w:val="1"/>
              </w:numPr>
              <w:pBdr>
                <w:top w:val="nil"/>
                <w:left w:val="nil"/>
                <w:bottom w:val="nil"/>
                <w:right w:val="nil"/>
                <w:between w:val="nil"/>
              </w:pBdr>
              <w:spacing w:line="240" w:lineRule="auto"/>
              <w:jc w:val="both"/>
              <w:rPr>
                <w:b/>
              </w:rPr>
            </w:pPr>
            <w:r w:rsidRPr="00127C38">
              <w:t>Крайна стойност</w:t>
            </w:r>
            <w:r w:rsidRPr="008B3B0C">
              <w:rPr>
                <w:lang w:val="en-US"/>
              </w:rPr>
              <w:t xml:space="preserve"> - </w:t>
            </w:r>
            <w:r w:rsidR="00BC3B57">
              <w:t>3</w:t>
            </w:r>
            <w:r w:rsidRPr="00127C38">
              <w:t xml:space="preserve"> </w:t>
            </w:r>
            <w:r w:rsidRPr="008B3B0C">
              <w:rPr>
                <w:lang w:val="en-US"/>
              </w:rPr>
              <w:t>[</w:t>
            </w:r>
            <w:r w:rsidRPr="00127C38">
              <w:t>202</w:t>
            </w:r>
            <w:r w:rsidR="00824D16">
              <w:t>4</w:t>
            </w:r>
            <w:r w:rsidRPr="00127C38">
              <w:t xml:space="preserve"> година</w:t>
            </w:r>
            <w:r w:rsidRPr="008B3B0C">
              <w:rPr>
                <w:lang w:val="en-US"/>
              </w:rPr>
              <w:t>]</w:t>
            </w:r>
          </w:p>
        </w:tc>
      </w:tr>
      <w:tr w:rsidR="00E345CF" w:rsidRPr="009110E9" w14:paraId="6E6F5D2E" w14:textId="77777777">
        <w:tc>
          <w:tcPr>
            <w:tcW w:w="9029" w:type="dxa"/>
            <w:shd w:val="clear" w:color="auto" w:fill="auto"/>
            <w:tcMar>
              <w:top w:w="100" w:type="dxa"/>
              <w:left w:w="100" w:type="dxa"/>
              <w:bottom w:w="100" w:type="dxa"/>
              <w:right w:w="100" w:type="dxa"/>
            </w:tcMar>
          </w:tcPr>
          <w:p w14:paraId="4FD661B6" w14:textId="0A2203D7" w:rsidR="00E345CF" w:rsidRPr="009110E9" w:rsidRDefault="00E345CF" w:rsidP="00E345CF">
            <w:pPr>
              <w:widowControl w:val="0"/>
              <w:pBdr>
                <w:top w:val="nil"/>
                <w:left w:val="nil"/>
                <w:bottom w:val="nil"/>
                <w:right w:val="nil"/>
                <w:between w:val="nil"/>
              </w:pBdr>
              <w:spacing w:line="240" w:lineRule="auto"/>
              <w:jc w:val="both"/>
              <w:rPr>
                <w:b/>
              </w:rPr>
            </w:pPr>
            <w:r w:rsidRPr="00127C38">
              <w:rPr>
                <w:bCs/>
              </w:rPr>
              <w:t xml:space="preserve">Брой </w:t>
            </w:r>
            <w:r>
              <w:rPr>
                <w:bCs/>
              </w:rPr>
              <w:t>издадени разрешения за строеж</w:t>
            </w:r>
          </w:p>
        </w:tc>
      </w:tr>
      <w:tr w:rsidR="00E345CF" w:rsidRPr="009110E9" w14:paraId="6040301F" w14:textId="77777777">
        <w:tc>
          <w:tcPr>
            <w:tcW w:w="9029" w:type="dxa"/>
            <w:shd w:val="clear" w:color="auto" w:fill="auto"/>
            <w:tcMar>
              <w:top w:w="100" w:type="dxa"/>
              <w:left w:w="100" w:type="dxa"/>
              <w:bottom w:w="100" w:type="dxa"/>
              <w:right w:w="100" w:type="dxa"/>
            </w:tcMar>
          </w:tcPr>
          <w:p w14:paraId="55FA1696" w14:textId="4D313502" w:rsidR="00E345CF" w:rsidRPr="00127C38"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sidR="008E4021">
              <w:rPr>
                <w:lang w:val="en-GB"/>
              </w:rPr>
              <w:t>I</w:t>
            </w:r>
            <w:r w:rsidR="008E4021" w:rsidRPr="00DA6629">
              <w:t>-</w:t>
            </w:r>
            <w:r w:rsidR="008E4021">
              <w:t xml:space="preserve">во шестмесечие на </w:t>
            </w:r>
            <w:r w:rsidR="008E4021" w:rsidRPr="00127C38">
              <w:t>202</w:t>
            </w:r>
            <w:r w:rsidR="008E4021">
              <w:t>1</w:t>
            </w:r>
            <w:r w:rsidR="008E4021" w:rsidRPr="00127C38">
              <w:t xml:space="preserve"> година</w:t>
            </w:r>
            <w:r w:rsidRPr="00DA6629">
              <w:t>]</w:t>
            </w:r>
          </w:p>
          <w:p w14:paraId="1DB0B999" w14:textId="7829D91E" w:rsidR="008E4021"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BC3B57">
              <w:t>2</w:t>
            </w:r>
            <w:r w:rsidRPr="00127C38">
              <w:t xml:space="preserve"> </w:t>
            </w:r>
            <w:r w:rsidRPr="00DA6629">
              <w:t>[</w:t>
            </w:r>
            <w:r>
              <w:rPr>
                <w:lang w:val="en-GB"/>
              </w:rPr>
              <w:t>I</w:t>
            </w:r>
            <w:r w:rsidR="008E4021">
              <w:rPr>
                <w:lang w:val="en-US"/>
              </w:rPr>
              <w:t>I</w:t>
            </w:r>
            <w:r w:rsidRPr="00DA6629">
              <w:t>-</w:t>
            </w:r>
            <w:proofErr w:type="spellStart"/>
            <w:r w:rsidR="008E4021">
              <w:t>р</w:t>
            </w:r>
            <w:r>
              <w:t>о</w:t>
            </w:r>
            <w:proofErr w:type="spellEnd"/>
            <w:r>
              <w:t xml:space="preserve"> шестмесечие на </w:t>
            </w:r>
            <w:r w:rsidRPr="00127C38">
              <w:t>202</w:t>
            </w:r>
            <w:r>
              <w:t>3</w:t>
            </w:r>
            <w:r w:rsidRPr="00127C38">
              <w:t xml:space="preserve"> година</w:t>
            </w:r>
            <w:r w:rsidRPr="00DA6629">
              <w:t>]</w:t>
            </w:r>
            <w:r w:rsidRPr="00127C38">
              <w:t>;</w:t>
            </w:r>
          </w:p>
          <w:p w14:paraId="675AFCDD" w14:textId="0D4C0884" w:rsidR="00E345CF" w:rsidRDefault="00E345CF" w:rsidP="00E345CF">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8E4021">
              <w:t>1</w:t>
            </w:r>
            <w:r w:rsidRPr="00127C38">
              <w:t xml:space="preserve"> </w:t>
            </w:r>
            <w:r w:rsidRPr="00DA6629">
              <w:t>[</w:t>
            </w:r>
            <w:r>
              <w:rPr>
                <w:lang w:val="en-GB"/>
              </w:rPr>
              <w:t>I</w:t>
            </w:r>
            <w:r w:rsidRPr="00DA6629">
              <w:t>-</w:t>
            </w:r>
            <w:r>
              <w:t xml:space="preserve">во шестмесечие на </w:t>
            </w:r>
            <w:r w:rsidRPr="00127C38">
              <w:t>202</w:t>
            </w:r>
            <w:r>
              <w:t>4</w:t>
            </w:r>
            <w:r w:rsidRPr="00127C38">
              <w:t xml:space="preserve"> година</w:t>
            </w:r>
            <w:r w:rsidRPr="00DA6629">
              <w:t>]</w:t>
            </w:r>
            <w:r w:rsidRPr="00127C38">
              <w:t xml:space="preserve">; </w:t>
            </w:r>
          </w:p>
          <w:p w14:paraId="1F677D57" w14:textId="2E929867" w:rsidR="00E345CF" w:rsidRPr="009110E9" w:rsidRDefault="00E345CF" w:rsidP="00E46C2F">
            <w:pPr>
              <w:pStyle w:val="ListParagraph"/>
              <w:widowControl w:val="0"/>
              <w:numPr>
                <w:ilvl w:val="0"/>
                <w:numId w:val="1"/>
              </w:numPr>
              <w:pBdr>
                <w:top w:val="nil"/>
                <w:left w:val="nil"/>
                <w:bottom w:val="nil"/>
                <w:right w:val="nil"/>
                <w:between w:val="nil"/>
              </w:pBdr>
              <w:spacing w:line="240" w:lineRule="auto"/>
              <w:jc w:val="both"/>
              <w:rPr>
                <w:b/>
              </w:rPr>
            </w:pPr>
            <w:r w:rsidRPr="00127C38">
              <w:t>Крайна стойност</w:t>
            </w:r>
            <w:r w:rsidRPr="008B3B0C">
              <w:rPr>
                <w:lang w:val="en-US"/>
              </w:rPr>
              <w:t xml:space="preserve"> - </w:t>
            </w:r>
            <w:r w:rsidR="00BC3B57">
              <w:t>3</w:t>
            </w:r>
            <w:r w:rsidRPr="00127C38">
              <w:t xml:space="preserve"> </w:t>
            </w:r>
            <w:r w:rsidRPr="008B3B0C">
              <w:rPr>
                <w:lang w:val="en-US"/>
              </w:rPr>
              <w:t>[</w:t>
            </w:r>
            <w:r w:rsidRPr="00127C38">
              <w:t>202</w:t>
            </w:r>
            <w:r w:rsidR="00824D16">
              <w:t>4</w:t>
            </w:r>
            <w:r w:rsidRPr="00127C38">
              <w:t xml:space="preserve"> година</w:t>
            </w:r>
            <w:r w:rsidRPr="008B3B0C">
              <w:rPr>
                <w:lang w:val="en-US"/>
              </w:rPr>
              <w:t>]</w:t>
            </w:r>
          </w:p>
        </w:tc>
      </w:tr>
      <w:tr w:rsidR="00824D16" w:rsidRPr="009110E9" w14:paraId="62961A4E" w14:textId="77777777">
        <w:tc>
          <w:tcPr>
            <w:tcW w:w="9029" w:type="dxa"/>
            <w:shd w:val="clear" w:color="auto" w:fill="auto"/>
            <w:tcMar>
              <w:top w:w="100" w:type="dxa"/>
              <w:left w:w="100" w:type="dxa"/>
              <w:bottom w:w="100" w:type="dxa"/>
              <w:right w:w="100" w:type="dxa"/>
            </w:tcMar>
          </w:tcPr>
          <w:p w14:paraId="25344DB7" w14:textId="17C7A844" w:rsidR="00824D16" w:rsidRPr="00127C38" w:rsidRDefault="00824D16" w:rsidP="00E46C2F">
            <w:pPr>
              <w:widowControl w:val="0"/>
              <w:pBdr>
                <w:top w:val="nil"/>
                <w:left w:val="nil"/>
                <w:bottom w:val="nil"/>
                <w:right w:val="nil"/>
                <w:between w:val="nil"/>
              </w:pBdr>
              <w:spacing w:line="240" w:lineRule="auto"/>
              <w:jc w:val="both"/>
            </w:pPr>
            <w:r w:rsidRPr="00824D16">
              <w:rPr>
                <w:bCs/>
              </w:rPr>
              <w:t xml:space="preserve">Брой </w:t>
            </w:r>
            <w:r>
              <w:rPr>
                <w:bCs/>
              </w:rPr>
              <w:t>обекти със завършени СМР</w:t>
            </w:r>
          </w:p>
        </w:tc>
      </w:tr>
      <w:tr w:rsidR="00824D16" w:rsidRPr="009110E9" w14:paraId="36D97845" w14:textId="77777777">
        <w:tc>
          <w:tcPr>
            <w:tcW w:w="9029" w:type="dxa"/>
            <w:shd w:val="clear" w:color="auto" w:fill="auto"/>
            <w:tcMar>
              <w:top w:w="100" w:type="dxa"/>
              <w:left w:w="100" w:type="dxa"/>
              <w:bottom w:w="100" w:type="dxa"/>
              <w:right w:w="100" w:type="dxa"/>
            </w:tcMar>
          </w:tcPr>
          <w:p w14:paraId="1804373C" w14:textId="77777777"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76590321" w14:textId="3FAADED8" w:rsidR="00824D16"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BC3B57">
              <w:t>2</w:t>
            </w:r>
            <w:r w:rsidRPr="00127C38">
              <w:t xml:space="preserve"> </w:t>
            </w:r>
            <w:r w:rsidRPr="00DA6629">
              <w:t>[</w:t>
            </w:r>
            <w:r>
              <w:rPr>
                <w:lang w:val="en-GB"/>
              </w:rPr>
              <w:t>I</w:t>
            </w:r>
            <w:r w:rsidRPr="00DA6629">
              <w:t>-</w:t>
            </w:r>
            <w:r>
              <w:t xml:space="preserve">во шестмесечие на </w:t>
            </w:r>
            <w:r w:rsidRPr="00127C38">
              <w:t>202</w:t>
            </w:r>
            <w:r w:rsidRPr="00E46C2F">
              <w:t>5</w:t>
            </w:r>
            <w:r w:rsidRPr="00127C38">
              <w:t xml:space="preserve"> година</w:t>
            </w:r>
            <w:r w:rsidRPr="00DA6629">
              <w:t>]</w:t>
            </w:r>
            <w:r w:rsidRPr="00127C38">
              <w:t xml:space="preserve">; </w:t>
            </w:r>
          </w:p>
          <w:p w14:paraId="005F057A" w14:textId="0883B32F" w:rsidR="00824D16"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Pr="00E46C2F">
              <w:t>1</w:t>
            </w:r>
            <w:r w:rsidRPr="00127C38">
              <w:t xml:space="preserve"> </w:t>
            </w:r>
            <w:r w:rsidRPr="00DA6629">
              <w:t>[</w:t>
            </w:r>
            <w:r>
              <w:rPr>
                <w:lang w:val="en-GB"/>
              </w:rPr>
              <w:t>I</w:t>
            </w:r>
            <w:r>
              <w:rPr>
                <w:lang w:val="en-US"/>
              </w:rPr>
              <w:t>I</w:t>
            </w:r>
            <w:r w:rsidRPr="00DA6629">
              <w:t>-</w:t>
            </w:r>
            <w:proofErr w:type="spellStart"/>
            <w:r>
              <w:t>ро</w:t>
            </w:r>
            <w:proofErr w:type="spellEnd"/>
            <w:r>
              <w:t xml:space="preserve"> шестмесечие на </w:t>
            </w:r>
            <w:r w:rsidRPr="00127C38">
              <w:t>202</w:t>
            </w:r>
            <w:r w:rsidRPr="00E46C2F">
              <w:t>5</w:t>
            </w:r>
            <w:r w:rsidRPr="00127C38">
              <w:t xml:space="preserve"> година</w:t>
            </w:r>
            <w:r w:rsidRPr="00DA6629">
              <w:t>]</w:t>
            </w:r>
            <w:r w:rsidRPr="00127C38">
              <w:t xml:space="preserve">; </w:t>
            </w:r>
          </w:p>
          <w:p w14:paraId="337BFE59" w14:textId="7593D1FD"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Крайна стойност</w:t>
            </w:r>
            <w:r w:rsidRPr="008B3B0C">
              <w:rPr>
                <w:lang w:val="en-US"/>
              </w:rPr>
              <w:t xml:space="preserve"> - </w:t>
            </w:r>
            <w:r w:rsidR="00BC3B57">
              <w:t>3</w:t>
            </w:r>
            <w:r w:rsidRPr="00127C38">
              <w:t xml:space="preserve"> </w:t>
            </w:r>
            <w:r w:rsidRPr="008B3B0C">
              <w:rPr>
                <w:lang w:val="en-US"/>
              </w:rPr>
              <w:t>[</w:t>
            </w:r>
            <w:r w:rsidRPr="00127C38">
              <w:t>202</w:t>
            </w:r>
            <w:r>
              <w:rPr>
                <w:lang w:val="en-US"/>
              </w:rPr>
              <w:t>5</w:t>
            </w:r>
            <w:r w:rsidRPr="00127C38">
              <w:t xml:space="preserve"> година</w:t>
            </w:r>
            <w:r w:rsidRPr="008B3B0C">
              <w:rPr>
                <w:lang w:val="en-US"/>
              </w:rPr>
              <w:t>]</w:t>
            </w:r>
          </w:p>
        </w:tc>
      </w:tr>
      <w:tr w:rsidR="00824D16" w:rsidRPr="009110E9" w14:paraId="5BFD0421" w14:textId="77777777">
        <w:tc>
          <w:tcPr>
            <w:tcW w:w="9029" w:type="dxa"/>
            <w:shd w:val="clear" w:color="auto" w:fill="auto"/>
            <w:tcMar>
              <w:top w:w="100" w:type="dxa"/>
              <w:left w:w="100" w:type="dxa"/>
              <w:bottom w:w="100" w:type="dxa"/>
              <w:right w:w="100" w:type="dxa"/>
            </w:tcMar>
          </w:tcPr>
          <w:p w14:paraId="09A00C1A" w14:textId="14C08233" w:rsidR="00824D16" w:rsidRPr="00127C38" w:rsidRDefault="00824D16" w:rsidP="00E46C2F">
            <w:pPr>
              <w:widowControl w:val="0"/>
              <w:pBdr>
                <w:top w:val="nil"/>
                <w:left w:val="nil"/>
                <w:bottom w:val="nil"/>
                <w:right w:val="nil"/>
                <w:between w:val="nil"/>
              </w:pBdr>
              <w:spacing w:line="240" w:lineRule="auto"/>
              <w:jc w:val="both"/>
            </w:pPr>
            <w:r w:rsidRPr="00824D16">
              <w:rPr>
                <w:bCs/>
              </w:rPr>
              <w:t xml:space="preserve">Брой </w:t>
            </w:r>
            <w:r>
              <w:rPr>
                <w:bCs/>
              </w:rPr>
              <w:t>модернизирани гарови комплекса</w:t>
            </w:r>
          </w:p>
        </w:tc>
      </w:tr>
      <w:tr w:rsidR="00824D16" w:rsidRPr="009110E9" w14:paraId="1A2D0DFA" w14:textId="77777777">
        <w:tc>
          <w:tcPr>
            <w:tcW w:w="9029" w:type="dxa"/>
            <w:shd w:val="clear" w:color="auto" w:fill="auto"/>
            <w:tcMar>
              <w:top w:w="100" w:type="dxa"/>
              <w:left w:w="100" w:type="dxa"/>
              <w:bottom w:w="100" w:type="dxa"/>
              <w:right w:w="100" w:type="dxa"/>
            </w:tcMar>
          </w:tcPr>
          <w:p w14:paraId="6A427F87" w14:textId="77777777"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46B29C31" w14:textId="67A7782B" w:rsidR="00824D16"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Междинна стойност</w:t>
            </w:r>
            <w:r w:rsidRPr="00DA6629">
              <w:t xml:space="preserve"> – </w:t>
            </w:r>
            <w:r w:rsidR="00782FCC">
              <w:t>2</w:t>
            </w:r>
            <w:r w:rsidRPr="00127C38">
              <w:t xml:space="preserve"> </w:t>
            </w:r>
            <w:r w:rsidRPr="00DA6629">
              <w:t>[</w:t>
            </w:r>
            <w:r>
              <w:rPr>
                <w:lang w:val="en-GB"/>
              </w:rPr>
              <w:t>I</w:t>
            </w:r>
            <w:r>
              <w:rPr>
                <w:lang w:val="en-US"/>
              </w:rPr>
              <w:t>I</w:t>
            </w:r>
            <w:r w:rsidRPr="00DA6629">
              <w:t>-</w:t>
            </w:r>
            <w:proofErr w:type="spellStart"/>
            <w:r>
              <w:t>ро</w:t>
            </w:r>
            <w:proofErr w:type="spellEnd"/>
            <w:r>
              <w:t xml:space="preserve"> шестмесечие на </w:t>
            </w:r>
            <w:r w:rsidRPr="00127C38">
              <w:t>202</w:t>
            </w:r>
            <w:r w:rsidRPr="003E3FC3">
              <w:t>5</w:t>
            </w:r>
            <w:r w:rsidRPr="00127C38">
              <w:t xml:space="preserve"> година</w:t>
            </w:r>
            <w:r w:rsidRPr="00DA6629">
              <w:t>]</w:t>
            </w:r>
            <w:r w:rsidRPr="00127C38">
              <w:t xml:space="preserve">; </w:t>
            </w:r>
          </w:p>
          <w:p w14:paraId="14945928" w14:textId="1EBA01A9"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Крайна стойност</w:t>
            </w:r>
            <w:r w:rsidRPr="008B3B0C">
              <w:rPr>
                <w:lang w:val="en-US"/>
              </w:rPr>
              <w:t xml:space="preserve"> - </w:t>
            </w:r>
            <w:r w:rsidR="00782FCC">
              <w:t>2</w:t>
            </w:r>
            <w:r w:rsidRPr="00127C38">
              <w:t xml:space="preserve"> </w:t>
            </w:r>
            <w:r w:rsidRPr="008B3B0C">
              <w:rPr>
                <w:lang w:val="en-US"/>
              </w:rPr>
              <w:t>[</w:t>
            </w:r>
            <w:r w:rsidRPr="00127C38">
              <w:t>202</w:t>
            </w:r>
            <w:r>
              <w:rPr>
                <w:lang w:val="en-US"/>
              </w:rPr>
              <w:t>5</w:t>
            </w:r>
            <w:r w:rsidRPr="00127C38">
              <w:t xml:space="preserve"> година</w:t>
            </w:r>
            <w:r w:rsidRPr="008B3B0C">
              <w:rPr>
                <w:lang w:val="en-US"/>
              </w:rPr>
              <w:t>]</w:t>
            </w:r>
          </w:p>
        </w:tc>
      </w:tr>
      <w:tr w:rsidR="00824D16" w:rsidRPr="009110E9" w14:paraId="415CFB0A" w14:textId="77777777">
        <w:tc>
          <w:tcPr>
            <w:tcW w:w="9029" w:type="dxa"/>
            <w:shd w:val="clear" w:color="auto" w:fill="auto"/>
            <w:tcMar>
              <w:top w:w="100" w:type="dxa"/>
              <w:left w:w="100" w:type="dxa"/>
              <w:bottom w:w="100" w:type="dxa"/>
              <w:right w:w="100" w:type="dxa"/>
            </w:tcMar>
          </w:tcPr>
          <w:p w14:paraId="09A606BB" w14:textId="559CE747" w:rsidR="00824D16" w:rsidRPr="00127C38" w:rsidRDefault="00824D16" w:rsidP="00E46C2F">
            <w:pPr>
              <w:widowControl w:val="0"/>
              <w:pBdr>
                <w:top w:val="nil"/>
                <w:left w:val="nil"/>
                <w:bottom w:val="nil"/>
                <w:right w:val="nil"/>
                <w:between w:val="nil"/>
              </w:pBdr>
              <w:spacing w:line="240" w:lineRule="auto"/>
              <w:jc w:val="both"/>
            </w:pPr>
            <w:r>
              <w:rPr>
                <w:bCs/>
              </w:rPr>
              <w:t>Изграден интермодален терминал</w:t>
            </w:r>
          </w:p>
        </w:tc>
      </w:tr>
      <w:tr w:rsidR="00824D16" w:rsidRPr="009110E9" w14:paraId="4F0622AB" w14:textId="77777777">
        <w:tc>
          <w:tcPr>
            <w:tcW w:w="9029" w:type="dxa"/>
            <w:shd w:val="clear" w:color="auto" w:fill="auto"/>
            <w:tcMar>
              <w:top w:w="100" w:type="dxa"/>
              <w:left w:w="100" w:type="dxa"/>
              <w:bottom w:w="100" w:type="dxa"/>
              <w:right w:w="100" w:type="dxa"/>
            </w:tcMar>
          </w:tcPr>
          <w:p w14:paraId="1FA9C129" w14:textId="77777777"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 xml:space="preserve">Начална стойност – 0 </w:t>
            </w:r>
            <w:r w:rsidRPr="00DA6629">
              <w:t>[</w:t>
            </w:r>
            <w:r>
              <w:rPr>
                <w:lang w:val="en-GB"/>
              </w:rPr>
              <w:t>I</w:t>
            </w:r>
            <w:r w:rsidRPr="00DA6629">
              <w:t>-</w:t>
            </w:r>
            <w:r>
              <w:t xml:space="preserve">во шестмесечие на </w:t>
            </w:r>
            <w:r w:rsidRPr="00127C38">
              <w:t>202</w:t>
            </w:r>
            <w:r>
              <w:t>1</w:t>
            </w:r>
            <w:r w:rsidRPr="00127C38">
              <w:t xml:space="preserve"> година</w:t>
            </w:r>
            <w:r w:rsidRPr="00DA6629">
              <w:t>]</w:t>
            </w:r>
          </w:p>
          <w:p w14:paraId="271796EF" w14:textId="43DBEAB9" w:rsidR="00824D16" w:rsidRPr="00127C38" w:rsidRDefault="00824D16" w:rsidP="00824D16">
            <w:pPr>
              <w:pStyle w:val="ListParagraph"/>
              <w:widowControl w:val="0"/>
              <w:numPr>
                <w:ilvl w:val="0"/>
                <w:numId w:val="1"/>
              </w:numPr>
              <w:pBdr>
                <w:top w:val="nil"/>
                <w:left w:val="nil"/>
                <w:bottom w:val="nil"/>
                <w:right w:val="nil"/>
                <w:between w:val="nil"/>
              </w:pBdr>
              <w:spacing w:line="240" w:lineRule="auto"/>
              <w:jc w:val="both"/>
            </w:pPr>
            <w:r w:rsidRPr="00127C38">
              <w:t>Крайна стойност</w:t>
            </w:r>
            <w:r w:rsidRPr="00E46C2F">
              <w:t xml:space="preserve"> - </w:t>
            </w:r>
            <w:r>
              <w:t>1</w:t>
            </w:r>
            <w:r w:rsidRPr="00127C38">
              <w:t xml:space="preserve"> </w:t>
            </w:r>
            <w:r w:rsidRPr="00DA6629">
              <w:t>[</w:t>
            </w:r>
            <w:r>
              <w:rPr>
                <w:lang w:val="en-GB"/>
              </w:rPr>
              <w:t>I</w:t>
            </w:r>
            <w:r>
              <w:rPr>
                <w:lang w:val="en-US"/>
              </w:rPr>
              <w:t>I</w:t>
            </w:r>
            <w:r w:rsidRPr="00DA6629">
              <w:t>-</w:t>
            </w:r>
            <w:proofErr w:type="spellStart"/>
            <w:r>
              <w:t>ро</w:t>
            </w:r>
            <w:proofErr w:type="spellEnd"/>
            <w:r>
              <w:t xml:space="preserve"> шестмесечие на </w:t>
            </w:r>
            <w:r w:rsidRPr="00127C38">
              <w:t>202</w:t>
            </w:r>
            <w:r w:rsidRPr="003E3FC3">
              <w:t>5</w:t>
            </w:r>
            <w:r w:rsidRPr="00127C38">
              <w:t xml:space="preserve"> година</w:t>
            </w:r>
            <w:r w:rsidRPr="00DA6629">
              <w:t>]</w:t>
            </w:r>
          </w:p>
        </w:tc>
      </w:tr>
      <w:tr w:rsidR="00824D16" w:rsidRPr="009110E9" w14:paraId="382EAB03" w14:textId="77777777">
        <w:tc>
          <w:tcPr>
            <w:tcW w:w="9029" w:type="dxa"/>
            <w:shd w:val="clear" w:color="auto" w:fill="auto"/>
            <w:tcMar>
              <w:top w:w="100" w:type="dxa"/>
              <w:left w:w="100" w:type="dxa"/>
              <w:bottom w:w="100" w:type="dxa"/>
              <w:right w:w="100" w:type="dxa"/>
            </w:tcMar>
          </w:tcPr>
          <w:p w14:paraId="08A4DFE9" w14:textId="77777777" w:rsidR="00824D16" w:rsidRPr="009110E9" w:rsidRDefault="00824D16" w:rsidP="00824D16">
            <w:pPr>
              <w:pStyle w:val="ListParagraph"/>
              <w:widowControl w:val="0"/>
              <w:numPr>
                <w:ilvl w:val="1"/>
                <w:numId w:val="2"/>
              </w:numPr>
              <w:pBdr>
                <w:top w:val="nil"/>
                <w:left w:val="nil"/>
                <w:bottom w:val="nil"/>
                <w:right w:val="nil"/>
                <w:between w:val="nil"/>
              </w:pBdr>
              <w:spacing w:line="240" w:lineRule="auto"/>
              <w:jc w:val="both"/>
              <w:rPr>
                <w:b/>
              </w:rPr>
            </w:pPr>
            <w:r w:rsidRPr="009110E9">
              <w:rPr>
                <w:b/>
              </w:rPr>
              <w:t>Индикатор/и за ефект</w:t>
            </w:r>
          </w:p>
        </w:tc>
      </w:tr>
      <w:tr w:rsidR="00824D16" w:rsidRPr="009110E9" w14:paraId="6E6458DD" w14:textId="77777777">
        <w:tc>
          <w:tcPr>
            <w:tcW w:w="9029" w:type="dxa"/>
            <w:shd w:val="clear" w:color="auto" w:fill="auto"/>
            <w:tcMar>
              <w:top w:w="100" w:type="dxa"/>
              <w:left w:w="100" w:type="dxa"/>
              <w:bottom w:w="100" w:type="dxa"/>
              <w:right w:w="100" w:type="dxa"/>
            </w:tcMar>
          </w:tcPr>
          <w:p w14:paraId="4C7A85DB" w14:textId="77777777" w:rsidR="00824D16" w:rsidRPr="009110E9" w:rsidRDefault="00824D16" w:rsidP="00824D16">
            <w:pPr>
              <w:widowControl w:val="0"/>
              <w:pBdr>
                <w:top w:val="nil"/>
                <w:left w:val="nil"/>
                <w:bottom w:val="nil"/>
                <w:right w:val="nil"/>
                <w:between w:val="nil"/>
              </w:pBdr>
              <w:spacing w:line="240" w:lineRule="auto"/>
              <w:contextualSpacing/>
              <w:jc w:val="both"/>
              <w:rPr>
                <w:b/>
                <w:bCs/>
              </w:rPr>
            </w:pPr>
            <w:r w:rsidRPr="009110E9">
              <w:rPr>
                <w:b/>
                <w:bCs/>
              </w:rPr>
              <w:t>Гарови комплекси:</w:t>
            </w:r>
          </w:p>
          <w:p w14:paraId="0CD48AC9" w14:textId="6D6C0F7B" w:rsidR="00824D16" w:rsidRPr="009110E9" w:rsidRDefault="00824D16" w:rsidP="004B33A8">
            <w:pPr>
              <w:numPr>
                <w:ilvl w:val="0"/>
                <w:numId w:val="3"/>
              </w:numPr>
              <w:tabs>
                <w:tab w:val="left" w:pos="9639"/>
              </w:tabs>
              <w:spacing w:after="60"/>
              <w:contextualSpacing/>
              <w:jc w:val="both"/>
              <w:rPr>
                <w:bCs/>
              </w:rPr>
            </w:pPr>
            <w:r>
              <w:rPr>
                <w:bCs/>
              </w:rPr>
              <w:t>Изградена</w:t>
            </w:r>
            <w:r w:rsidRPr="009110E9">
              <w:rPr>
                <w:bCs/>
              </w:rPr>
              <w:t xml:space="preserve"> достъпна среда за ЛНП</w:t>
            </w:r>
          </w:p>
          <w:p w14:paraId="547293C1" w14:textId="7497D2AD" w:rsidR="00824D16" w:rsidRPr="009110E9" w:rsidRDefault="00824D16" w:rsidP="004B33A8">
            <w:pPr>
              <w:pStyle w:val="ListParagraph"/>
              <w:widowControl w:val="0"/>
              <w:numPr>
                <w:ilvl w:val="0"/>
                <w:numId w:val="5"/>
              </w:numPr>
              <w:pBdr>
                <w:top w:val="nil"/>
                <w:left w:val="nil"/>
                <w:bottom w:val="nil"/>
                <w:right w:val="nil"/>
                <w:between w:val="nil"/>
              </w:pBdr>
              <w:spacing w:line="240" w:lineRule="auto"/>
              <w:jc w:val="both"/>
            </w:pPr>
            <w:r w:rsidRPr="009110E9">
              <w:t xml:space="preserve">Начална стойност - 0% </w:t>
            </w:r>
            <w:r w:rsidRPr="009110E9">
              <w:rPr>
                <w:lang w:val="en-US"/>
              </w:rPr>
              <w:t>[</w:t>
            </w:r>
            <w:r w:rsidRPr="009110E9">
              <w:t>2021</w:t>
            </w:r>
            <w:r w:rsidRPr="009110E9">
              <w:rPr>
                <w:lang w:val="en-US"/>
              </w:rPr>
              <w:t>]</w:t>
            </w:r>
          </w:p>
          <w:p w14:paraId="5D9B7E04" w14:textId="77777777" w:rsidR="00824D16" w:rsidRPr="009110E9" w:rsidRDefault="00824D16" w:rsidP="004B33A8">
            <w:pPr>
              <w:pStyle w:val="ListParagraph"/>
              <w:widowControl w:val="0"/>
              <w:numPr>
                <w:ilvl w:val="0"/>
                <w:numId w:val="5"/>
              </w:numPr>
              <w:pBdr>
                <w:top w:val="nil"/>
                <w:left w:val="nil"/>
                <w:bottom w:val="nil"/>
                <w:right w:val="nil"/>
                <w:between w:val="nil"/>
              </w:pBdr>
              <w:spacing w:line="240" w:lineRule="auto"/>
              <w:jc w:val="both"/>
            </w:pPr>
            <w:r w:rsidRPr="009110E9">
              <w:t>Междинна стойност</w:t>
            </w:r>
            <w:r w:rsidRPr="009110E9">
              <w:rPr>
                <w:lang w:val="en-US"/>
              </w:rPr>
              <w:t xml:space="preserve"> – </w:t>
            </w:r>
            <w:r w:rsidRPr="009110E9">
              <w:rPr>
                <w:lang w:val="en-GB"/>
              </w:rPr>
              <w:t>N/A</w:t>
            </w:r>
          </w:p>
          <w:p w14:paraId="43ECCC3F" w14:textId="1880F33E" w:rsidR="00824D16" w:rsidRPr="009110E9" w:rsidRDefault="00824D16" w:rsidP="004B33A8">
            <w:pPr>
              <w:pStyle w:val="ListParagraph"/>
              <w:widowControl w:val="0"/>
              <w:numPr>
                <w:ilvl w:val="0"/>
                <w:numId w:val="5"/>
              </w:numPr>
              <w:pBdr>
                <w:top w:val="nil"/>
                <w:left w:val="nil"/>
                <w:bottom w:val="nil"/>
                <w:right w:val="nil"/>
                <w:between w:val="nil"/>
              </w:pBdr>
              <w:spacing w:line="240" w:lineRule="auto"/>
              <w:jc w:val="both"/>
            </w:pPr>
            <w:r w:rsidRPr="009110E9">
              <w:lastRenderedPageBreak/>
              <w:t>Крайна стойност</w:t>
            </w:r>
            <w:r w:rsidRPr="009110E9">
              <w:rPr>
                <w:lang w:val="en-US"/>
              </w:rPr>
              <w:t xml:space="preserve"> – </w:t>
            </w:r>
            <w:r w:rsidRPr="009110E9">
              <w:rPr>
                <w:lang w:val="en-GB"/>
              </w:rPr>
              <w:t>100</w:t>
            </w:r>
            <w:r w:rsidRPr="009110E9">
              <w:t xml:space="preserve"> </w:t>
            </w:r>
            <w:r w:rsidRPr="009110E9">
              <w:rPr>
                <w:lang w:val="en-GB"/>
              </w:rPr>
              <w:t>%</w:t>
            </w:r>
            <w:r w:rsidRPr="009110E9">
              <w:t xml:space="preserve"> </w:t>
            </w:r>
            <w:r w:rsidRPr="009110E9">
              <w:rPr>
                <w:lang w:val="en-US"/>
              </w:rPr>
              <w:t>[</w:t>
            </w:r>
            <w:r w:rsidRPr="009110E9">
              <w:rPr>
                <w:lang w:val="en-GB"/>
              </w:rPr>
              <w:t>202</w:t>
            </w:r>
            <w:r w:rsidRPr="009110E9">
              <w:t>5</w:t>
            </w:r>
            <w:r w:rsidRPr="009110E9">
              <w:rPr>
                <w:lang w:val="en-US"/>
              </w:rPr>
              <w:t>]</w:t>
            </w:r>
          </w:p>
        </w:tc>
      </w:tr>
      <w:tr w:rsidR="00824D16" w:rsidRPr="009110E9" w14:paraId="6DEBC92C" w14:textId="77777777">
        <w:tc>
          <w:tcPr>
            <w:tcW w:w="9029" w:type="dxa"/>
            <w:shd w:val="clear" w:color="auto" w:fill="auto"/>
            <w:tcMar>
              <w:top w:w="100" w:type="dxa"/>
              <w:left w:w="100" w:type="dxa"/>
              <w:bottom w:w="100" w:type="dxa"/>
              <w:right w:w="100" w:type="dxa"/>
            </w:tcMar>
          </w:tcPr>
          <w:p w14:paraId="4932A28A" w14:textId="0D407DCE" w:rsidR="00824D16" w:rsidRPr="009110E9" w:rsidRDefault="00824D16" w:rsidP="00824D16">
            <w:pPr>
              <w:widowControl w:val="0"/>
              <w:pBdr>
                <w:top w:val="nil"/>
                <w:left w:val="nil"/>
                <w:bottom w:val="nil"/>
                <w:right w:val="nil"/>
                <w:between w:val="nil"/>
              </w:pBdr>
              <w:spacing w:line="240" w:lineRule="auto"/>
              <w:contextualSpacing/>
              <w:jc w:val="both"/>
              <w:rPr>
                <w:b/>
                <w:bCs/>
              </w:rPr>
            </w:pPr>
            <w:r w:rsidRPr="009110E9">
              <w:rPr>
                <w:b/>
                <w:bCs/>
              </w:rPr>
              <w:lastRenderedPageBreak/>
              <w:t>ИМТ Горна Оряховица:</w:t>
            </w:r>
          </w:p>
          <w:p w14:paraId="369263C5" w14:textId="77777777" w:rsidR="00824D16" w:rsidRPr="009110E9" w:rsidRDefault="00824D16" w:rsidP="004B33A8">
            <w:pPr>
              <w:widowControl w:val="0"/>
              <w:numPr>
                <w:ilvl w:val="0"/>
                <w:numId w:val="9"/>
              </w:numPr>
              <w:pBdr>
                <w:top w:val="nil"/>
                <w:left w:val="nil"/>
                <w:bottom w:val="nil"/>
                <w:right w:val="nil"/>
                <w:between w:val="nil"/>
              </w:pBdr>
              <w:spacing w:line="240" w:lineRule="auto"/>
              <w:jc w:val="both"/>
            </w:pPr>
            <w:r w:rsidRPr="009110E9">
              <w:t>Брой обработени Транспортни еквивалентни единици - ТЕУ</w:t>
            </w:r>
          </w:p>
          <w:p w14:paraId="290A5C07" w14:textId="77777777" w:rsidR="00824D16" w:rsidRPr="009110E9" w:rsidRDefault="00824D16" w:rsidP="004B33A8">
            <w:pPr>
              <w:widowControl w:val="0"/>
              <w:numPr>
                <w:ilvl w:val="0"/>
                <w:numId w:val="9"/>
              </w:numPr>
              <w:pBdr>
                <w:top w:val="nil"/>
                <w:left w:val="nil"/>
                <w:bottom w:val="nil"/>
                <w:right w:val="nil"/>
                <w:between w:val="nil"/>
              </w:pBdr>
              <w:spacing w:line="240" w:lineRule="auto"/>
              <w:jc w:val="both"/>
            </w:pPr>
            <w:r w:rsidRPr="009110E9">
              <w:t>Подобряване на екологичната обстановка - намаляване на шум и замърсяване, чрез пренасочване на товари от автомобилния към железопътния транспорт;</w:t>
            </w:r>
          </w:p>
          <w:p w14:paraId="0D793BC2" w14:textId="77777777" w:rsidR="00824D16" w:rsidRPr="009110E9" w:rsidRDefault="00824D16" w:rsidP="004B33A8">
            <w:pPr>
              <w:widowControl w:val="0"/>
              <w:numPr>
                <w:ilvl w:val="0"/>
                <w:numId w:val="9"/>
              </w:numPr>
              <w:pBdr>
                <w:top w:val="nil"/>
                <w:left w:val="nil"/>
                <w:bottom w:val="nil"/>
                <w:right w:val="nil"/>
                <w:between w:val="nil"/>
              </w:pBdr>
              <w:spacing w:line="240" w:lineRule="auto"/>
              <w:jc w:val="both"/>
            </w:pPr>
            <w:r w:rsidRPr="009110E9">
              <w:t xml:space="preserve">Намаляване на трафика по пътищата и ПТП от пренасочване на движението на товари; </w:t>
            </w:r>
          </w:p>
          <w:p w14:paraId="7EF63254" w14:textId="77777777" w:rsidR="00824D16" w:rsidRPr="009110E9" w:rsidRDefault="00824D16" w:rsidP="004B33A8">
            <w:pPr>
              <w:widowControl w:val="0"/>
              <w:numPr>
                <w:ilvl w:val="0"/>
                <w:numId w:val="9"/>
              </w:numPr>
              <w:pBdr>
                <w:top w:val="nil"/>
                <w:left w:val="nil"/>
                <w:bottom w:val="nil"/>
                <w:right w:val="nil"/>
                <w:between w:val="nil"/>
              </w:pBdr>
              <w:spacing w:line="240" w:lineRule="auto"/>
              <w:jc w:val="both"/>
            </w:pPr>
            <w:r w:rsidRPr="009110E9">
              <w:t>Повишаване стандарта на живот;</w:t>
            </w:r>
          </w:p>
          <w:p w14:paraId="6F8F7797" w14:textId="45F5AAD7" w:rsidR="00824D16" w:rsidRPr="009110E9" w:rsidRDefault="00824D16" w:rsidP="004B33A8">
            <w:pPr>
              <w:widowControl w:val="0"/>
              <w:numPr>
                <w:ilvl w:val="0"/>
                <w:numId w:val="9"/>
              </w:numPr>
              <w:pBdr>
                <w:top w:val="nil"/>
                <w:left w:val="nil"/>
                <w:bottom w:val="nil"/>
                <w:right w:val="nil"/>
                <w:between w:val="nil"/>
              </w:pBdr>
              <w:spacing w:line="240" w:lineRule="auto"/>
              <w:jc w:val="both"/>
            </w:pPr>
            <w:r w:rsidRPr="009110E9">
              <w:t>Създаване на нови работни места.</w:t>
            </w:r>
          </w:p>
        </w:tc>
      </w:tr>
      <w:tr w:rsidR="00824D16" w:rsidRPr="009110E9" w14:paraId="325F0B27" w14:textId="77777777">
        <w:tc>
          <w:tcPr>
            <w:tcW w:w="9029" w:type="dxa"/>
            <w:shd w:val="clear" w:color="auto" w:fill="auto"/>
            <w:tcMar>
              <w:top w:w="100" w:type="dxa"/>
              <w:left w:w="100" w:type="dxa"/>
              <w:bottom w:w="100" w:type="dxa"/>
              <w:right w:w="100" w:type="dxa"/>
            </w:tcMar>
          </w:tcPr>
          <w:p w14:paraId="09919DCA" w14:textId="77777777" w:rsidR="00824D16" w:rsidRPr="009110E9" w:rsidRDefault="00824D16" w:rsidP="00824D16">
            <w:pPr>
              <w:pStyle w:val="ListParagraph"/>
              <w:widowControl w:val="0"/>
              <w:numPr>
                <w:ilvl w:val="0"/>
                <w:numId w:val="2"/>
              </w:numPr>
              <w:pBdr>
                <w:top w:val="nil"/>
                <w:left w:val="nil"/>
                <w:bottom w:val="nil"/>
                <w:right w:val="nil"/>
                <w:between w:val="nil"/>
              </w:pBdr>
              <w:spacing w:line="240" w:lineRule="auto"/>
              <w:jc w:val="both"/>
              <w:rPr>
                <w:b/>
              </w:rPr>
            </w:pPr>
            <w:r w:rsidRPr="009110E9">
              <w:rPr>
                <w:b/>
              </w:rPr>
              <w:t>Изисква ли реализацията на проекта провеждане на процедура по ЗОП?</w:t>
            </w:r>
          </w:p>
        </w:tc>
      </w:tr>
      <w:tr w:rsidR="00824D16" w:rsidRPr="009110E9" w14:paraId="200BB90D" w14:textId="77777777">
        <w:tc>
          <w:tcPr>
            <w:tcW w:w="9029" w:type="dxa"/>
            <w:shd w:val="clear" w:color="auto" w:fill="auto"/>
            <w:tcMar>
              <w:top w:w="100" w:type="dxa"/>
              <w:left w:w="100" w:type="dxa"/>
              <w:bottom w:w="100" w:type="dxa"/>
              <w:right w:w="100" w:type="dxa"/>
            </w:tcMar>
          </w:tcPr>
          <w:p w14:paraId="428E2413" w14:textId="6C26EBFC" w:rsidR="00824D16" w:rsidRPr="009110E9" w:rsidRDefault="00824D16" w:rsidP="00824D16">
            <w:pPr>
              <w:widowControl w:val="0"/>
              <w:pBdr>
                <w:top w:val="nil"/>
                <w:left w:val="nil"/>
                <w:bottom w:val="nil"/>
                <w:right w:val="nil"/>
                <w:between w:val="nil"/>
              </w:pBdr>
              <w:spacing w:line="240" w:lineRule="auto"/>
              <w:jc w:val="both"/>
            </w:pPr>
            <w:r w:rsidRPr="009110E9">
              <w:t>Да</w:t>
            </w:r>
          </w:p>
          <w:p w14:paraId="4EA34249" w14:textId="30721443" w:rsidR="00824D16" w:rsidRPr="009110E9" w:rsidRDefault="00824D16" w:rsidP="00824D16">
            <w:pPr>
              <w:widowControl w:val="0"/>
              <w:pBdr>
                <w:top w:val="nil"/>
                <w:left w:val="nil"/>
                <w:bottom w:val="nil"/>
                <w:right w:val="nil"/>
                <w:between w:val="nil"/>
              </w:pBdr>
              <w:spacing w:line="240" w:lineRule="auto"/>
              <w:jc w:val="both"/>
              <w:rPr>
                <w:b/>
                <w:bCs/>
              </w:rPr>
            </w:pPr>
            <w:r w:rsidRPr="009110E9">
              <w:rPr>
                <w:b/>
                <w:bCs/>
              </w:rPr>
              <w:t>За гарови комплекси Мездра</w:t>
            </w:r>
            <w:r w:rsidR="00783FB3">
              <w:rPr>
                <w:b/>
                <w:bCs/>
              </w:rPr>
              <w:t xml:space="preserve"> и</w:t>
            </w:r>
            <w:r w:rsidRPr="009110E9">
              <w:rPr>
                <w:b/>
                <w:bCs/>
              </w:rPr>
              <w:t xml:space="preserve"> Червен бряг:</w:t>
            </w:r>
          </w:p>
          <w:p w14:paraId="525723D1" w14:textId="0BC3CC2D" w:rsidR="00824D16" w:rsidRPr="009110E9" w:rsidRDefault="00824D16" w:rsidP="00824D16">
            <w:pPr>
              <w:widowControl w:val="0"/>
              <w:pBdr>
                <w:top w:val="nil"/>
                <w:left w:val="nil"/>
                <w:bottom w:val="nil"/>
                <w:right w:val="nil"/>
                <w:between w:val="nil"/>
              </w:pBdr>
              <w:spacing w:line="240" w:lineRule="auto"/>
              <w:jc w:val="both"/>
            </w:pPr>
            <w:r w:rsidRPr="009110E9">
              <w:t xml:space="preserve">Необходимо е провеждане на процедури по ЗОП за изпълнение на следното: </w:t>
            </w:r>
          </w:p>
          <w:p w14:paraId="2AF2D575" w14:textId="4A9F3A01" w:rsidR="00824D16" w:rsidRPr="009110E9" w:rsidRDefault="00824D16" w:rsidP="00824D16">
            <w:pPr>
              <w:widowControl w:val="0"/>
              <w:pBdr>
                <w:top w:val="nil"/>
                <w:left w:val="nil"/>
                <w:bottom w:val="nil"/>
                <w:right w:val="nil"/>
                <w:between w:val="nil"/>
              </w:pBdr>
              <w:spacing w:line="240" w:lineRule="auto"/>
              <w:jc w:val="both"/>
            </w:pPr>
            <w:r w:rsidRPr="009110E9">
              <w:t>- Обследване и изготвяне на инвестиционни проекти.</w:t>
            </w:r>
          </w:p>
          <w:p w14:paraId="513F8B3A" w14:textId="744DCAAD" w:rsidR="00824D16" w:rsidRPr="009110E9" w:rsidRDefault="00824D16" w:rsidP="00824D16">
            <w:pPr>
              <w:widowControl w:val="0"/>
              <w:pBdr>
                <w:top w:val="nil"/>
                <w:left w:val="nil"/>
                <w:bottom w:val="nil"/>
                <w:right w:val="nil"/>
                <w:between w:val="nil"/>
              </w:pBdr>
              <w:spacing w:line="240" w:lineRule="auto"/>
              <w:jc w:val="both"/>
            </w:pPr>
            <w:r w:rsidRPr="009110E9">
              <w:t>- Доставка, СМР и въвеждане в експлоатация на обекти от железопътната инфраструктура</w:t>
            </w:r>
          </w:p>
          <w:p w14:paraId="0FC82CE3" w14:textId="2124590B" w:rsidR="00824D16" w:rsidRPr="009110E9" w:rsidRDefault="00824D16" w:rsidP="00824D16">
            <w:pPr>
              <w:widowControl w:val="0"/>
              <w:pBdr>
                <w:top w:val="nil"/>
                <w:left w:val="nil"/>
                <w:bottom w:val="nil"/>
                <w:right w:val="nil"/>
                <w:between w:val="nil"/>
              </w:pBdr>
              <w:spacing w:line="240" w:lineRule="auto"/>
              <w:jc w:val="both"/>
            </w:pPr>
            <w:r w:rsidRPr="009110E9">
              <w:t>- Оценка на съответствието и осъществяване на строителен надзор по ЗУТ по време на строителство и координация на договора за строителство;</w:t>
            </w:r>
          </w:p>
          <w:p w14:paraId="33AC719E" w14:textId="65D1135E" w:rsidR="00824D16" w:rsidRPr="009110E9" w:rsidRDefault="00824D16" w:rsidP="00824D16">
            <w:pPr>
              <w:widowControl w:val="0"/>
              <w:pBdr>
                <w:top w:val="nil"/>
                <w:left w:val="nil"/>
                <w:bottom w:val="nil"/>
                <w:right w:val="nil"/>
                <w:between w:val="nil"/>
              </w:pBdr>
              <w:spacing w:line="240" w:lineRule="auto"/>
              <w:jc w:val="both"/>
            </w:pPr>
            <w:r w:rsidRPr="009110E9">
              <w:t>- Оценка на съответствието с изискванията за оперативна съвместимост, оценка на съответствието на приложимите национални технически правила и националните правила за безопасност и независима оценка на пригодността на прилагане на процедурата за управление на риска на проекта</w:t>
            </w:r>
          </w:p>
          <w:p w14:paraId="193B8ECF" w14:textId="03ECD15C" w:rsidR="00824D16" w:rsidRPr="009110E9" w:rsidRDefault="00824D16" w:rsidP="00824D16">
            <w:pPr>
              <w:widowControl w:val="0"/>
              <w:pBdr>
                <w:top w:val="nil"/>
                <w:left w:val="nil"/>
                <w:bottom w:val="nil"/>
                <w:right w:val="nil"/>
                <w:between w:val="nil"/>
              </w:pBdr>
              <w:spacing w:line="240" w:lineRule="auto"/>
              <w:jc w:val="both"/>
            </w:pPr>
            <w:r w:rsidRPr="009110E9">
              <w:t>- Изпълнение на мерки по информация и публичност на проекта.</w:t>
            </w:r>
          </w:p>
          <w:p w14:paraId="22B3958A" w14:textId="2997D1EE" w:rsidR="00824D16" w:rsidRPr="009110E9" w:rsidRDefault="00824D16" w:rsidP="00824D16">
            <w:pPr>
              <w:widowControl w:val="0"/>
              <w:pBdr>
                <w:top w:val="nil"/>
                <w:left w:val="nil"/>
                <w:bottom w:val="nil"/>
                <w:right w:val="nil"/>
                <w:between w:val="nil"/>
              </w:pBdr>
              <w:spacing w:line="240" w:lineRule="auto"/>
              <w:jc w:val="both"/>
            </w:pPr>
            <w:r w:rsidRPr="009110E9">
              <w:t>Дейност „Техническа помощ“ включва управление, което ще се осъществи от екип на Бенефициента. При необходимост ще се използва външна експертиза – консултантски услуги и/или експерти, които ще бъдат наемани съгласно изискванията на българското законодателство (чрез възлагане и/или  граждански договори).</w:t>
            </w:r>
          </w:p>
          <w:p w14:paraId="6B325AC1" w14:textId="77777777" w:rsidR="00824D16" w:rsidRPr="009110E9" w:rsidRDefault="00824D16" w:rsidP="00824D16">
            <w:pPr>
              <w:widowControl w:val="0"/>
              <w:pBdr>
                <w:top w:val="nil"/>
                <w:left w:val="nil"/>
                <w:bottom w:val="nil"/>
                <w:right w:val="nil"/>
                <w:between w:val="nil"/>
              </w:pBdr>
              <w:spacing w:line="240" w:lineRule="auto"/>
              <w:jc w:val="both"/>
            </w:pPr>
          </w:p>
          <w:p w14:paraId="68087E02" w14:textId="0919506A" w:rsidR="00824D16" w:rsidRPr="009110E9" w:rsidRDefault="00824D16" w:rsidP="00824D16">
            <w:pPr>
              <w:widowControl w:val="0"/>
              <w:pBdr>
                <w:top w:val="nil"/>
                <w:left w:val="nil"/>
                <w:bottom w:val="nil"/>
                <w:right w:val="nil"/>
                <w:between w:val="nil"/>
              </w:pBdr>
              <w:spacing w:line="240" w:lineRule="auto"/>
              <w:jc w:val="both"/>
              <w:rPr>
                <w:b/>
                <w:bCs/>
              </w:rPr>
            </w:pPr>
            <w:r w:rsidRPr="009110E9">
              <w:rPr>
                <w:b/>
                <w:bCs/>
              </w:rPr>
              <w:t>За Интермодален терминал Горна Оряховица:</w:t>
            </w:r>
          </w:p>
          <w:p w14:paraId="28D6F748" w14:textId="77777777" w:rsidR="00824D16" w:rsidRPr="009110E9" w:rsidRDefault="00824D16" w:rsidP="00824D16">
            <w:pPr>
              <w:widowControl w:val="0"/>
              <w:pBdr>
                <w:top w:val="nil"/>
                <w:left w:val="nil"/>
                <w:bottom w:val="nil"/>
                <w:right w:val="nil"/>
                <w:between w:val="nil"/>
              </w:pBdr>
              <w:spacing w:line="240" w:lineRule="auto"/>
              <w:jc w:val="both"/>
            </w:pPr>
            <w:r w:rsidRPr="009110E9">
              <w:t xml:space="preserve">Необходимо е провеждане на процедури по ЗОП за изпълнение на следното: </w:t>
            </w:r>
          </w:p>
          <w:p w14:paraId="5C98BE1A" w14:textId="264FCB2C" w:rsidR="00824D16" w:rsidRPr="009110E9" w:rsidRDefault="00824D16" w:rsidP="00824D16">
            <w:pPr>
              <w:widowControl w:val="0"/>
              <w:pBdr>
                <w:top w:val="nil"/>
                <w:left w:val="nil"/>
                <w:bottom w:val="nil"/>
                <w:right w:val="nil"/>
                <w:between w:val="nil"/>
              </w:pBdr>
              <w:spacing w:line="240" w:lineRule="auto"/>
              <w:jc w:val="both"/>
            </w:pPr>
            <w:r w:rsidRPr="009110E9">
              <w:t>- Техническа помощ за проект „Изграждане на интермодален терминал в Северен централен – Горна Оряховица“;</w:t>
            </w:r>
          </w:p>
          <w:p w14:paraId="59D955DA" w14:textId="24A6F35B" w:rsidR="00824D16" w:rsidRPr="009110E9" w:rsidRDefault="00824D16" w:rsidP="00824D16">
            <w:pPr>
              <w:widowControl w:val="0"/>
              <w:pBdr>
                <w:top w:val="nil"/>
                <w:left w:val="nil"/>
                <w:bottom w:val="nil"/>
                <w:right w:val="nil"/>
                <w:between w:val="nil"/>
              </w:pBdr>
              <w:spacing w:line="240" w:lineRule="auto"/>
              <w:jc w:val="both"/>
            </w:pPr>
            <w:r w:rsidRPr="009110E9">
              <w:t>- Инвестиционно проектиране, строителство и упражняване на авторски надзор;</w:t>
            </w:r>
          </w:p>
          <w:p w14:paraId="01BF7E17" w14:textId="2AE4B065" w:rsidR="00824D16" w:rsidRPr="009110E9" w:rsidRDefault="00824D16" w:rsidP="00824D16">
            <w:pPr>
              <w:widowControl w:val="0"/>
              <w:pBdr>
                <w:top w:val="nil"/>
                <w:left w:val="nil"/>
                <w:bottom w:val="nil"/>
                <w:right w:val="nil"/>
                <w:between w:val="nil"/>
              </w:pBdr>
              <w:spacing w:line="240" w:lineRule="auto"/>
              <w:jc w:val="both"/>
            </w:pPr>
            <w:r w:rsidRPr="009110E9">
              <w:t>- Оценка на съответствието със основните изисквания към строежите, упражняване на строителен надзор и управление на договора за строителство по проекта;</w:t>
            </w:r>
          </w:p>
          <w:p w14:paraId="2A54EF6E" w14:textId="6F882B32" w:rsidR="00824D16" w:rsidRPr="009110E9" w:rsidRDefault="00824D16" w:rsidP="00824D16">
            <w:pPr>
              <w:widowControl w:val="0"/>
              <w:pBdr>
                <w:top w:val="nil"/>
                <w:left w:val="nil"/>
                <w:bottom w:val="nil"/>
                <w:right w:val="nil"/>
                <w:between w:val="nil"/>
              </w:pBdr>
              <w:spacing w:line="240" w:lineRule="auto"/>
              <w:jc w:val="both"/>
            </w:pPr>
            <w:r w:rsidRPr="009110E9">
              <w:t>- Оценка на съответствието с изискванията за оперативна съвместимост на проекта;</w:t>
            </w:r>
          </w:p>
          <w:p w14:paraId="177215D9" w14:textId="2990806A" w:rsidR="00824D16" w:rsidRPr="009110E9" w:rsidRDefault="00824D16" w:rsidP="00824D16">
            <w:pPr>
              <w:widowControl w:val="0"/>
              <w:pBdr>
                <w:top w:val="nil"/>
                <w:left w:val="nil"/>
                <w:bottom w:val="nil"/>
                <w:right w:val="nil"/>
                <w:between w:val="nil"/>
              </w:pBdr>
              <w:spacing w:line="240" w:lineRule="auto"/>
              <w:jc w:val="both"/>
            </w:pPr>
            <w:r w:rsidRPr="009110E9">
              <w:t>- Независима оценка на пригодността на прилагане на процедурата за управление на риска;</w:t>
            </w:r>
          </w:p>
          <w:p w14:paraId="0EBCE9DF" w14:textId="77777777" w:rsidR="00824D16" w:rsidRPr="009110E9" w:rsidRDefault="00824D16" w:rsidP="00824D16">
            <w:pPr>
              <w:widowControl w:val="0"/>
              <w:pBdr>
                <w:top w:val="nil"/>
                <w:left w:val="nil"/>
                <w:bottom w:val="nil"/>
                <w:right w:val="nil"/>
                <w:between w:val="nil"/>
              </w:pBdr>
              <w:spacing w:line="240" w:lineRule="auto"/>
              <w:jc w:val="both"/>
            </w:pPr>
          </w:p>
          <w:p w14:paraId="033B9690" w14:textId="47EC6EA4" w:rsidR="00824D16" w:rsidRPr="009110E9" w:rsidRDefault="00824D16" w:rsidP="00824D16">
            <w:pPr>
              <w:widowControl w:val="0"/>
              <w:pBdr>
                <w:top w:val="nil"/>
                <w:left w:val="nil"/>
                <w:bottom w:val="nil"/>
                <w:right w:val="nil"/>
                <w:between w:val="nil"/>
              </w:pBdr>
              <w:spacing w:line="240" w:lineRule="auto"/>
              <w:jc w:val="both"/>
            </w:pPr>
            <w:r w:rsidRPr="009110E9">
              <w:t>Дейност „Техническа помощ“ включва управление, което ще се осъществи от екип на Бенефициента. При необходимост ще се използва външна експертиза – консултантски услуги и/или експерти, които ще бъдат наемани съгласно изискванията на българското законодателство (чрез възлагане и/или  граждански договори).</w:t>
            </w:r>
          </w:p>
        </w:tc>
      </w:tr>
      <w:tr w:rsidR="00824D16" w:rsidRPr="009110E9" w14:paraId="790CC010" w14:textId="77777777">
        <w:tc>
          <w:tcPr>
            <w:tcW w:w="9029" w:type="dxa"/>
            <w:shd w:val="clear" w:color="auto" w:fill="auto"/>
            <w:tcMar>
              <w:top w:w="100" w:type="dxa"/>
              <w:left w:w="100" w:type="dxa"/>
              <w:bottom w:w="100" w:type="dxa"/>
              <w:right w:w="100" w:type="dxa"/>
            </w:tcMar>
          </w:tcPr>
          <w:p w14:paraId="7CC6FE0A" w14:textId="77777777" w:rsidR="00824D16" w:rsidRPr="009110E9" w:rsidRDefault="00824D16" w:rsidP="00824D16">
            <w:pPr>
              <w:pStyle w:val="ListParagraph"/>
              <w:widowControl w:val="0"/>
              <w:numPr>
                <w:ilvl w:val="1"/>
                <w:numId w:val="2"/>
              </w:numPr>
              <w:pBdr>
                <w:top w:val="nil"/>
                <w:left w:val="nil"/>
                <w:bottom w:val="nil"/>
                <w:right w:val="nil"/>
                <w:between w:val="nil"/>
              </w:pBdr>
              <w:spacing w:line="240" w:lineRule="auto"/>
              <w:jc w:val="both"/>
              <w:rPr>
                <w:b/>
              </w:rPr>
            </w:pPr>
            <w:r w:rsidRPr="009110E9">
              <w:rPr>
                <w:b/>
              </w:rPr>
              <w:t>Ако се изисква процедура по ЗОП, каква част от дейностите и финансовият ресурс ще бъдат предмет на обществената поръчка?</w:t>
            </w:r>
          </w:p>
        </w:tc>
      </w:tr>
      <w:tr w:rsidR="00824D16" w:rsidRPr="009110E9" w14:paraId="5BABF924" w14:textId="77777777" w:rsidTr="00810734">
        <w:trPr>
          <w:trHeight w:val="450"/>
        </w:trPr>
        <w:tc>
          <w:tcPr>
            <w:tcW w:w="9029" w:type="dxa"/>
            <w:shd w:val="clear" w:color="auto" w:fill="auto"/>
            <w:tcMar>
              <w:top w:w="100" w:type="dxa"/>
              <w:left w:w="100" w:type="dxa"/>
              <w:bottom w:w="100" w:type="dxa"/>
              <w:right w:w="100" w:type="dxa"/>
            </w:tcMar>
          </w:tcPr>
          <w:p w14:paraId="13AFD5DB" w14:textId="752BBB69" w:rsidR="00824D16" w:rsidRPr="009110E9" w:rsidRDefault="00824D16" w:rsidP="00824D16">
            <w:pPr>
              <w:widowControl w:val="0"/>
              <w:pBdr>
                <w:top w:val="nil"/>
                <w:left w:val="nil"/>
                <w:bottom w:val="nil"/>
                <w:right w:val="nil"/>
                <w:between w:val="nil"/>
              </w:pBdr>
              <w:spacing w:line="240" w:lineRule="auto"/>
              <w:jc w:val="both"/>
            </w:pPr>
            <w:r w:rsidRPr="009110E9">
              <w:t>Около 95 % от дейностите ще бъдат предмет на възлагане чрез обществена поръчка.</w:t>
            </w:r>
          </w:p>
        </w:tc>
      </w:tr>
      <w:tr w:rsidR="00824D16" w:rsidRPr="009110E9" w14:paraId="5E7B490F" w14:textId="77777777">
        <w:trPr>
          <w:trHeight w:val="450"/>
        </w:trPr>
        <w:tc>
          <w:tcPr>
            <w:tcW w:w="9029" w:type="dxa"/>
            <w:shd w:val="clear" w:color="auto" w:fill="auto"/>
            <w:tcMar>
              <w:top w:w="100" w:type="dxa"/>
              <w:left w:w="100" w:type="dxa"/>
              <w:bottom w:w="100" w:type="dxa"/>
              <w:right w:w="100" w:type="dxa"/>
            </w:tcMar>
          </w:tcPr>
          <w:p w14:paraId="6F81B7F6" w14:textId="77777777" w:rsidR="00824D16" w:rsidRPr="009110E9" w:rsidRDefault="00824D16" w:rsidP="00824D16">
            <w:pPr>
              <w:pStyle w:val="ListParagraph"/>
              <w:widowControl w:val="0"/>
              <w:numPr>
                <w:ilvl w:val="1"/>
                <w:numId w:val="2"/>
              </w:numPr>
              <w:spacing w:line="240" w:lineRule="auto"/>
              <w:jc w:val="both"/>
              <w:rPr>
                <w:b/>
              </w:rPr>
            </w:pPr>
            <w:r w:rsidRPr="009110E9">
              <w:rPr>
                <w:b/>
              </w:rPr>
              <w:t>Ако се изисква процедура по ЗОП, какъв е индикативният график за изпълнението ѝ?</w:t>
            </w:r>
          </w:p>
        </w:tc>
      </w:tr>
      <w:tr w:rsidR="00824D16" w:rsidRPr="009110E9" w14:paraId="2524128A" w14:textId="77777777">
        <w:trPr>
          <w:trHeight w:val="450"/>
        </w:trPr>
        <w:tc>
          <w:tcPr>
            <w:tcW w:w="9029" w:type="dxa"/>
            <w:shd w:val="clear" w:color="auto" w:fill="auto"/>
            <w:tcMar>
              <w:top w:w="100" w:type="dxa"/>
              <w:left w:w="100" w:type="dxa"/>
              <w:bottom w:w="100" w:type="dxa"/>
              <w:right w:w="100" w:type="dxa"/>
            </w:tcMar>
          </w:tcPr>
          <w:p w14:paraId="61FE3F83" w14:textId="77777777" w:rsidR="00824D16" w:rsidRDefault="00824D16" w:rsidP="00824D16">
            <w:pPr>
              <w:widowControl w:val="0"/>
              <w:pBdr>
                <w:top w:val="nil"/>
                <w:left w:val="nil"/>
                <w:bottom w:val="nil"/>
                <w:right w:val="nil"/>
                <w:between w:val="nil"/>
              </w:pBdr>
              <w:spacing w:line="240" w:lineRule="auto"/>
              <w:jc w:val="both"/>
            </w:pPr>
            <w:r w:rsidRPr="009110E9">
              <w:t>Старт на процедурите по ЗОП: 2021 г.</w:t>
            </w:r>
          </w:p>
          <w:p w14:paraId="12DC3684" w14:textId="0135DED9" w:rsidR="00527FE3" w:rsidRPr="009110E9" w:rsidRDefault="00527FE3" w:rsidP="00824D16">
            <w:pPr>
              <w:widowControl w:val="0"/>
              <w:pBdr>
                <w:top w:val="nil"/>
                <w:left w:val="nil"/>
                <w:bottom w:val="nil"/>
                <w:right w:val="nil"/>
                <w:between w:val="nil"/>
              </w:pBdr>
              <w:spacing w:line="240" w:lineRule="auto"/>
              <w:jc w:val="both"/>
            </w:pPr>
            <w:r w:rsidRPr="00CE29EA">
              <w:t>Проектът ще се изпълн</w:t>
            </w:r>
            <w:r>
              <w:t>ява</w:t>
            </w:r>
            <w:r w:rsidRPr="00CE29EA">
              <w:t xml:space="preserve"> </w:t>
            </w:r>
            <w:r>
              <w:t>по обекти</w:t>
            </w:r>
            <w:r w:rsidRPr="00CE29EA">
              <w:t xml:space="preserve">, като за всеки отделен </w:t>
            </w:r>
            <w:r>
              <w:t>обект се предвиждат по няколко процедури по ЗОП, с</w:t>
            </w:r>
            <w:r w:rsidRPr="00CE29EA">
              <w:t xml:space="preserve"> индикативно </w:t>
            </w:r>
            <w:r>
              <w:t xml:space="preserve">време </w:t>
            </w:r>
            <w:r w:rsidRPr="00CE29EA">
              <w:t>за провеждане на процедур</w:t>
            </w:r>
            <w:r>
              <w:t>а</w:t>
            </w:r>
            <w:r w:rsidRPr="00CE29EA">
              <w:t xml:space="preserve"> </w:t>
            </w:r>
            <w:r>
              <w:t xml:space="preserve">за </w:t>
            </w:r>
            <w:r>
              <w:lastRenderedPageBreak/>
              <w:t xml:space="preserve">избор на </w:t>
            </w:r>
            <w:r w:rsidRPr="00CE29EA">
              <w:t>изпълнител</w:t>
            </w:r>
            <w:r w:rsidRPr="00D55C45">
              <w:t xml:space="preserve">, </w:t>
            </w:r>
            <w:r>
              <w:t>съобразно посоченото в графика на проекта по-горе</w:t>
            </w:r>
            <w:r w:rsidRPr="00CE29EA">
              <w:t>.</w:t>
            </w:r>
          </w:p>
        </w:tc>
      </w:tr>
      <w:tr w:rsidR="00824D16" w:rsidRPr="009110E9" w14:paraId="23B6AC4D" w14:textId="77777777">
        <w:tc>
          <w:tcPr>
            <w:tcW w:w="9029" w:type="dxa"/>
            <w:shd w:val="clear" w:color="auto" w:fill="auto"/>
            <w:tcMar>
              <w:top w:w="100" w:type="dxa"/>
              <w:left w:w="100" w:type="dxa"/>
              <w:bottom w:w="100" w:type="dxa"/>
              <w:right w:w="100" w:type="dxa"/>
            </w:tcMar>
          </w:tcPr>
          <w:p w14:paraId="73E7EE87" w14:textId="2618B840" w:rsidR="00824D16" w:rsidRPr="009110E9" w:rsidRDefault="00824D16" w:rsidP="00824D16">
            <w:pPr>
              <w:pStyle w:val="ListParagraph"/>
              <w:widowControl w:val="0"/>
              <w:numPr>
                <w:ilvl w:val="0"/>
                <w:numId w:val="2"/>
              </w:numPr>
              <w:spacing w:line="240" w:lineRule="auto"/>
              <w:jc w:val="both"/>
              <w:rPr>
                <w:b/>
              </w:rPr>
            </w:pPr>
            <w:proofErr w:type="spellStart"/>
            <w:r w:rsidRPr="009110E9">
              <w:rPr>
                <w:b/>
              </w:rPr>
              <w:lastRenderedPageBreak/>
              <w:t>Демаркация</w:t>
            </w:r>
            <w:proofErr w:type="spellEnd"/>
            <w:r w:rsidRPr="009110E9">
              <w:rPr>
                <w:b/>
              </w:rPr>
              <w:t xml:space="preserve"> и </w:t>
            </w:r>
            <w:proofErr w:type="spellStart"/>
            <w:r w:rsidRPr="009110E9">
              <w:rPr>
                <w:b/>
              </w:rPr>
              <w:t>допълняемост</w:t>
            </w:r>
            <w:proofErr w:type="spellEnd"/>
          </w:p>
        </w:tc>
      </w:tr>
      <w:tr w:rsidR="00824D16" w:rsidRPr="009110E9" w14:paraId="4BFDCD6D" w14:textId="77777777">
        <w:tc>
          <w:tcPr>
            <w:tcW w:w="9029" w:type="dxa"/>
            <w:shd w:val="clear" w:color="auto" w:fill="auto"/>
            <w:tcMar>
              <w:top w:w="100" w:type="dxa"/>
              <w:left w:w="100" w:type="dxa"/>
              <w:bottom w:w="100" w:type="dxa"/>
              <w:right w:w="100" w:type="dxa"/>
            </w:tcMar>
          </w:tcPr>
          <w:p w14:paraId="31FCD82C" w14:textId="77777777" w:rsidR="00824D16" w:rsidRPr="009110E9" w:rsidRDefault="00824D16" w:rsidP="00824D16">
            <w:pPr>
              <w:pStyle w:val="ListParagraph"/>
              <w:widowControl w:val="0"/>
              <w:numPr>
                <w:ilvl w:val="1"/>
                <w:numId w:val="2"/>
              </w:numPr>
              <w:spacing w:line="240" w:lineRule="auto"/>
              <w:jc w:val="both"/>
              <w:rPr>
                <w:b/>
              </w:rPr>
            </w:pPr>
            <w:r w:rsidRPr="009110E9">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824D16" w:rsidRPr="009110E9" w14:paraId="6BBDE7DF" w14:textId="77777777">
        <w:tc>
          <w:tcPr>
            <w:tcW w:w="9029" w:type="dxa"/>
            <w:shd w:val="clear" w:color="auto" w:fill="auto"/>
            <w:tcMar>
              <w:top w:w="100" w:type="dxa"/>
              <w:left w:w="100" w:type="dxa"/>
              <w:bottom w:w="100" w:type="dxa"/>
              <w:right w:w="100" w:type="dxa"/>
            </w:tcMar>
          </w:tcPr>
          <w:p w14:paraId="3454D397" w14:textId="40C697DD" w:rsidR="00824D16" w:rsidRPr="009110E9" w:rsidRDefault="00824D16" w:rsidP="00824D16">
            <w:pPr>
              <w:widowControl w:val="0"/>
              <w:spacing w:line="240" w:lineRule="auto"/>
              <w:jc w:val="both"/>
              <w:rPr>
                <w:b/>
                <w:bCs/>
              </w:rPr>
            </w:pPr>
            <w:r w:rsidRPr="009110E9">
              <w:rPr>
                <w:b/>
                <w:bCs/>
              </w:rPr>
              <w:t>За компонента Гарови комплекси:</w:t>
            </w:r>
          </w:p>
          <w:p w14:paraId="5CE0EE58" w14:textId="24B2E7AF" w:rsidR="00824D16" w:rsidRPr="009110E9" w:rsidRDefault="00824D16" w:rsidP="00824D16">
            <w:pPr>
              <w:widowControl w:val="0"/>
              <w:spacing w:line="240" w:lineRule="auto"/>
              <w:jc w:val="both"/>
            </w:pPr>
            <w:r w:rsidRPr="009110E9">
              <w:t>През периода 2007-2015 г. е извършена рехабилитация и модернизация на гарови комплекси София, Пазарджик и Бургас с финансиране от ОПТ 2007-2013.</w:t>
            </w:r>
          </w:p>
          <w:p w14:paraId="7E6EFA37" w14:textId="7ADA35D0" w:rsidR="00824D16" w:rsidRPr="009110E9" w:rsidRDefault="00824D16" w:rsidP="00824D16">
            <w:pPr>
              <w:widowControl w:val="0"/>
              <w:spacing w:line="240" w:lineRule="auto"/>
              <w:jc w:val="both"/>
            </w:pPr>
            <w:r w:rsidRPr="009110E9">
              <w:t xml:space="preserve">През настоящия програмен период с финансиране от ОПТТИ се изпълняват проекти за модернизация и рехабилитация на гарови комплекси Подуяне, Искър, Казичене, Карнобат, Стара и Нова Загора. Досегашният опит показа големите ползи за обществото в резултат от модернизацията на гаровите комплекси и подобряване на условията за пътуване и обслужване на пътниците. </w:t>
            </w:r>
          </w:p>
          <w:p w14:paraId="204F7336" w14:textId="477FB9AC" w:rsidR="00824D16" w:rsidRPr="009110E9" w:rsidRDefault="00824D16" w:rsidP="00824D16">
            <w:pPr>
              <w:widowControl w:val="0"/>
              <w:spacing w:line="240" w:lineRule="auto"/>
              <w:jc w:val="both"/>
            </w:pPr>
            <w:r w:rsidRPr="009110E9">
              <w:t>Други предходни проекти, които имат връзка с настоящото предложение, са следните:</w:t>
            </w:r>
          </w:p>
          <w:p w14:paraId="2F06D9F6" w14:textId="77777777" w:rsidR="00824D16" w:rsidRPr="009110E9" w:rsidRDefault="00824D16" w:rsidP="00824D16">
            <w:pPr>
              <w:widowControl w:val="0"/>
              <w:spacing w:line="240" w:lineRule="auto"/>
              <w:jc w:val="both"/>
            </w:pPr>
            <w:r w:rsidRPr="009110E9">
              <w:t>- „Изготвяне на ПУП и технически проект за строителство на нови гарови здания, спирки и сгради за проектите „Модернизация на железопътна линия София - Драгоман - част от Трансевропейската транспортна мрежа” и „Развитие на железопътен възел София”, Подобект приемно здание "Илиянци", трафопост  и площадкови мрежи и съоръжения, находящи се в  УПИ I - "за гарово приемно здание, трафопост и  паркинг", кв. 8б, по плана на НПЗ "Илиянци - запад" гр. София.</w:t>
            </w:r>
          </w:p>
          <w:p w14:paraId="72E47838" w14:textId="70AB148D" w:rsidR="00824D16" w:rsidRPr="009110E9" w:rsidRDefault="00824D16" w:rsidP="00824D16">
            <w:pPr>
              <w:widowControl w:val="0"/>
              <w:spacing w:line="240" w:lineRule="auto"/>
              <w:jc w:val="both"/>
            </w:pPr>
            <w:r w:rsidRPr="009110E9">
              <w:t xml:space="preserve">- „Инструмент за подготовка на железопътни проекти по Трансевропейската транспортна мрежа” Обособена позиция 1 „Изготвяне на технически проект за модернизация на железопътни участъци: „гара Волуяк – гара </w:t>
            </w:r>
            <w:proofErr w:type="spellStart"/>
            <w:r w:rsidRPr="009110E9">
              <w:t>Биримирци</w:t>
            </w:r>
            <w:proofErr w:type="spellEnd"/>
            <w:r w:rsidRPr="009110E9">
              <w:t>“, “гара София – през гара София север – гара Илиянци“ и „гара Казичене през гара Мусачево – гара Столник” за проект „Развитие на железопътен възел София”.</w:t>
            </w:r>
          </w:p>
          <w:p w14:paraId="0446F3B3" w14:textId="0079DB19" w:rsidR="00824D16" w:rsidRPr="009110E9" w:rsidRDefault="00824D16" w:rsidP="00824D16">
            <w:pPr>
              <w:widowControl w:val="0"/>
              <w:spacing w:line="240" w:lineRule="auto"/>
              <w:jc w:val="both"/>
            </w:pPr>
            <w:r w:rsidRPr="009110E9">
              <w:t>- Гаров комплекс Захарна Фабрика</w:t>
            </w:r>
          </w:p>
          <w:p w14:paraId="30FFDD3D" w14:textId="0CAD5B7D" w:rsidR="00824D16" w:rsidRPr="009110E9" w:rsidRDefault="00824D16" w:rsidP="00824D16">
            <w:pPr>
              <w:widowControl w:val="0"/>
              <w:spacing w:line="240" w:lineRule="auto"/>
              <w:jc w:val="both"/>
            </w:pPr>
            <w:r w:rsidRPr="009110E9">
              <w:t>- Гаров комплекс Перник разпределителна</w:t>
            </w:r>
          </w:p>
          <w:p w14:paraId="62D74460" w14:textId="64D319E7" w:rsidR="00824D16" w:rsidRPr="009110E9" w:rsidRDefault="00824D16" w:rsidP="00824D16">
            <w:pPr>
              <w:widowControl w:val="0"/>
              <w:spacing w:line="240" w:lineRule="auto"/>
              <w:jc w:val="both"/>
            </w:pPr>
            <w:r w:rsidRPr="009110E9">
              <w:t>- Гаров комплекс Перник пътническа</w:t>
            </w:r>
          </w:p>
          <w:p w14:paraId="77670132" w14:textId="69704715" w:rsidR="00824D16" w:rsidRPr="009110E9" w:rsidRDefault="00824D16" w:rsidP="00824D16">
            <w:pPr>
              <w:widowControl w:val="0"/>
              <w:spacing w:line="240" w:lineRule="auto"/>
              <w:jc w:val="both"/>
            </w:pPr>
            <w:r w:rsidRPr="009110E9">
              <w:t>- Гаров комплекс Радомир</w:t>
            </w:r>
          </w:p>
          <w:p w14:paraId="63C2E645" w14:textId="54E40BD2" w:rsidR="00824D16" w:rsidRPr="009110E9" w:rsidRDefault="00824D16" w:rsidP="00824D16">
            <w:pPr>
              <w:widowControl w:val="0"/>
              <w:spacing w:line="240" w:lineRule="auto"/>
              <w:jc w:val="both"/>
            </w:pPr>
          </w:p>
          <w:p w14:paraId="661A460F" w14:textId="5CD22E0F" w:rsidR="00824D16" w:rsidRPr="009110E9" w:rsidRDefault="00824D16" w:rsidP="00824D16">
            <w:pPr>
              <w:widowControl w:val="0"/>
              <w:spacing w:line="240" w:lineRule="auto"/>
              <w:jc w:val="both"/>
              <w:rPr>
                <w:b/>
                <w:bCs/>
              </w:rPr>
            </w:pPr>
            <w:r w:rsidRPr="009110E9">
              <w:rPr>
                <w:b/>
                <w:bCs/>
              </w:rPr>
              <w:t xml:space="preserve">За компонента за подготовка и изпълнение на проект за изграждане на ИМТ Горна Оряховица: </w:t>
            </w:r>
          </w:p>
          <w:p w14:paraId="482A8D68" w14:textId="77777777" w:rsidR="00824D16" w:rsidRPr="009110E9" w:rsidRDefault="00824D16" w:rsidP="00824D16">
            <w:pPr>
              <w:widowControl w:val="0"/>
              <w:spacing w:line="240" w:lineRule="auto"/>
              <w:jc w:val="both"/>
              <w:rPr>
                <w:bCs/>
              </w:rPr>
            </w:pPr>
            <w:r w:rsidRPr="009110E9">
              <w:rPr>
                <w:bCs/>
              </w:rPr>
              <w:t xml:space="preserve">- През периода на действие на Оперативна програма „Транспорт“ 2007-2013 г. беше реализиран проект под формата на Публично-частно партньорство, в който с помощта на програмата се реализира проект „Изграждане на интермодален терминал в Южен централен район на планиране в България – Пловдив“. Със средства от Европейските фондове (ЕФРР) и държавния бюджет беше изградена базовата и довеждащите инфраструктури до интермодалния терминал. </w:t>
            </w:r>
          </w:p>
          <w:p w14:paraId="237FB31D" w14:textId="77777777" w:rsidR="00824D16" w:rsidRPr="009110E9" w:rsidRDefault="00824D16" w:rsidP="00824D16">
            <w:pPr>
              <w:widowControl w:val="0"/>
              <w:spacing w:line="240" w:lineRule="auto"/>
              <w:jc w:val="both"/>
              <w:rPr>
                <w:bCs/>
              </w:rPr>
            </w:pPr>
            <w:r w:rsidRPr="009110E9">
              <w:rPr>
                <w:bCs/>
              </w:rPr>
              <w:t xml:space="preserve">Тъй като НКЖИ по закон не може да извършва търговска дейност и да оперира върху железопътната инфраструктура се приложи Публично-частно партньорство. След проведена процедура по Закона за концесиите с Решение № 465/21.08.2017 г. обектът беше даден на концесия. В задълженията на концесионера са извършването на инвестиции в машини и оборудване за извършване на дейност, </w:t>
            </w:r>
            <w:proofErr w:type="spellStart"/>
            <w:r w:rsidRPr="009110E9">
              <w:rPr>
                <w:bCs/>
              </w:rPr>
              <w:t>докомплектоване</w:t>
            </w:r>
            <w:proofErr w:type="spellEnd"/>
            <w:r w:rsidRPr="009110E9">
              <w:rPr>
                <w:bCs/>
              </w:rPr>
              <w:t xml:space="preserve">, както и поддържане на високо ниво на предлаганите услуги. В момента ИМТ Пловдив работи с над 60 % от първоначално предвидения капацитет, като е достигнал до 80 % от прогнозния си капацитет. Концесионерът преждевременно извърши разширение на терминала с изграждане на допълнителен товаро-разтоварен коловоз и двойно увеличение на капацитета на терминала. В момента текат процедури по строителството на още два товаро-разтоварни коловози, разширение на товарната площадка и зоните за складиране. </w:t>
            </w:r>
          </w:p>
          <w:p w14:paraId="75071B53" w14:textId="77777777" w:rsidR="00824D16" w:rsidRPr="009110E9" w:rsidRDefault="00824D16" w:rsidP="00824D16">
            <w:pPr>
              <w:widowControl w:val="0"/>
              <w:spacing w:line="240" w:lineRule="auto"/>
              <w:jc w:val="both"/>
              <w:rPr>
                <w:bCs/>
              </w:rPr>
            </w:pPr>
            <w:r w:rsidRPr="009110E9">
              <w:rPr>
                <w:bCs/>
              </w:rPr>
              <w:t>Други предходни проекти, които имат връзка с настоящото предложение са:</w:t>
            </w:r>
          </w:p>
          <w:p w14:paraId="2CB03D68" w14:textId="2D6031D5" w:rsidR="00824D16" w:rsidRPr="009110E9" w:rsidRDefault="00824D16" w:rsidP="00E46C2F">
            <w:pPr>
              <w:widowControl w:val="0"/>
              <w:spacing w:line="240" w:lineRule="auto"/>
              <w:jc w:val="both"/>
              <w:rPr>
                <w:bCs/>
              </w:rPr>
            </w:pPr>
            <w:r w:rsidRPr="009110E9">
              <w:rPr>
                <w:bCs/>
              </w:rPr>
              <w:t>- Развитие на жп възел Русе;</w:t>
            </w:r>
          </w:p>
          <w:p w14:paraId="00309B2C" w14:textId="52DFE4CD" w:rsidR="00824D16" w:rsidRPr="009110E9" w:rsidRDefault="00824D16" w:rsidP="00E46C2F">
            <w:pPr>
              <w:widowControl w:val="0"/>
              <w:spacing w:line="240" w:lineRule="auto"/>
              <w:jc w:val="both"/>
              <w:rPr>
                <w:bCs/>
              </w:rPr>
            </w:pPr>
            <w:r w:rsidRPr="009110E9">
              <w:rPr>
                <w:bCs/>
              </w:rPr>
              <w:t>- Развитие на жп възел Горна Оряховица;</w:t>
            </w:r>
          </w:p>
          <w:p w14:paraId="63BD9909" w14:textId="6A803F30" w:rsidR="00824D16" w:rsidRPr="009110E9" w:rsidRDefault="00824D16" w:rsidP="00E46C2F">
            <w:pPr>
              <w:widowControl w:val="0"/>
              <w:spacing w:line="240" w:lineRule="auto"/>
              <w:jc w:val="both"/>
              <w:rPr>
                <w:bCs/>
              </w:rPr>
            </w:pPr>
            <w:r w:rsidRPr="009110E9">
              <w:rPr>
                <w:bCs/>
              </w:rPr>
              <w:t>- Изграждане на ERTMS, ниво 1 по жп линия Русе - Горна Оряховица;</w:t>
            </w:r>
          </w:p>
          <w:p w14:paraId="2BD58F83" w14:textId="3F23A72E" w:rsidR="00824D16" w:rsidRPr="009110E9" w:rsidRDefault="00824D16" w:rsidP="00824D16">
            <w:pPr>
              <w:widowControl w:val="0"/>
              <w:spacing w:line="240" w:lineRule="auto"/>
              <w:jc w:val="both"/>
              <w:rPr>
                <w:bCs/>
              </w:rPr>
            </w:pPr>
            <w:r w:rsidRPr="009110E9">
              <w:rPr>
                <w:bCs/>
              </w:rPr>
              <w:lastRenderedPageBreak/>
              <w:t>- Подготовка и изпълнение на проект за изграждане на ИМТ София.</w:t>
            </w:r>
          </w:p>
          <w:p w14:paraId="545EFA45" w14:textId="6E9DCA8D" w:rsidR="00824D16" w:rsidRPr="009110E9" w:rsidRDefault="00824D16" w:rsidP="00824D16">
            <w:pPr>
              <w:widowControl w:val="0"/>
              <w:spacing w:line="240" w:lineRule="auto"/>
              <w:jc w:val="both"/>
            </w:pPr>
            <w:r w:rsidRPr="009110E9">
              <w:t>- „Рехабилитация на гаров комплекс Централна гара София“, част от проект за модернизация на гарови комплекси, финансиран от ОПТ 2007-2013 г.</w:t>
            </w:r>
          </w:p>
          <w:p w14:paraId="34D65514" w14:textId="77777777" w:rsidR="00824D16" w:rsidRPr="009110E9" w:rsidRDefault="00824D16" w:rsidP="00824D16">
            <w:pPr>
              <w:widowControl w:val="0"/>
              <w:spacing w:line="240" w:lineRule="auto"/>
              <w:jc w:val="both"/>
            </w:pPr>
          </w:p>
          <w:p w14:paraId="4395E3E2" w14:textId="19E30227" w:rsidR="00824D16" w:rsidRPr="009110E9" w:rsidRDefault="00824D16" w:rsidP="00824D16">
            <w:pPr>
              <w:widowControl w:val="0"/>
              <w:spacing w:line="240" w:lineRule="auto"/>
              <w:jc w:val="both"/>
            </w:pPr>
            <w:r w:rsidRPr="009110E9">
              <w:t>В изпълнение на европейските политики за модернизация на Транс-европейската железопътна мрежа се изпълняват следните проекти:</w:t>
            </w:r>
          </w:p>
          <w:p w14:paraId="1A845B00" w14:textId="7647A591" w:rsidR="00824D16" w:rsidRPr="009110E9" w:rsidRDefault="00824D16" w:rsidP="00824D16">
            <w:pPr>
              <w:widowControl w:val="0"/>
              <w:spacing w:line="240" w:lineRule="auto"/>
              <w:jc w:val="both"/>
            </w:pPr>
            <w:r w:rsidRPr="009110E9">
              <w:t>- „Модернизация на железопътна линия София-Пловдив“ (ОПТТИ 2014-2020 и МСЕ);</w:t>
            </w:r>
          </w:p>
          <w:p w14:paraId="62A3DE59" w14:textId="1F17308F" w:rsidR="00824D16" w:rsidRDefault="00824D16" w:rsidP="00824D16">
            <w:pPr>
              <w:widowControl w:val="0"/>
              <w:spacing w:line="240" w:lineRule="auto"/>
              <w:jc w:val="both"/>
            </w:pPr>
            <w:r w:rsidRPr="009110E9">
              <w:t>- Реконструкция на гарови комплекси Подуяне, Искър и Казичене (ОПТТИ 2014-2020).</w:t>
            </w:r>
          </w:p>
          <w:p w14:paraId="307E3346" w14:textId="77777777" w:rsidR="00FD76EA" w:rsidRDefault="00FD76EA" w:rsidP="00824D16">
            <w:pPr>
              <w:widowControl w:val="0"/>
              <w:spacing w:line="240" w:lineRule="auto"/>
              <w:jc w:val="both"/>
            </w:pPr>
          </w:p>
          <w:p w14:paraId="470025FB" w14:textId="1648E902" w:rsidR="00824D16" w:rsidRPr="009110E9" w:rsidRDefault="00FD76EA" w:rsidP="00FD76EA">
            <w:pPr>
              <w:widowControl w:val="0"/>
              <w:spacing w:line="240" w:lineRule="auto"/>
              <w:jc w:val="both"/>
            </w:pPr>
            <w:r>
              <w:t>О</w:t>
            </w:r>
            <w:r w:rsidRPr="00D05F3D">
              <w:t xml:space="preserve">писаните </w:t>
            </w:r>
            <w:r>
              <w:t xml:space="preserve">в настоящия проект </w:t>
            </w:r>
            <w:r w:rsidRPr="00D05F3D">
              <w:t xml:space="preserve">дейности и предвидените разходи </w:t>
            </w:r>
            <w:r>
              <w:t xml:space="preserve">не са </w:t>
            </w:r>
            <w:r w:rsidRPr="00D05F3D">
              <w:t xml:space="preserve">финансирани по други проекти от Европейския съюз и/или националния бюджет/други донорски програми и </w:t>
            </w:r>
            <w:r>
              <w:t xml:space="preserve">не са </w:t>
            </w:r>
            <w:r w:rsidRPr="00D05F3D">
              <w:t>предвидени за финансиране в бъдеще</w:t>
            </w:r>
            <w:r>
              <w:t>.</w:t>
            </w:r>
            <w:r w:rsidRPr="004A60EC">
              <w:t xml:space="preserve"> </w:t>
            </w:r>
          </w:p>
        </w:tc>
      </w:tr>
      <w:tr w:rsidR="00824D16" w:rsidRPr="009110E9" w14:paraId="002953CF" w14:textId="77777777">
        <w:tc>
          <w:tcPr>
            <w:tcW w:w="9029" w:type="dxa"/>
            <w:shd w:val="clear" w:color="auto" w:fill="auto"/>
            <w:tcMar>
              <w:top w:w="100" w:type="dxa"/>
              <w:left w:w="100" w:type="dxa"/>
              <w:bottom w:w="100" w:type="dxa"/>
              <w:right w:w="100" w:type="dxa"/>
            </w:tcMar>
          </w:tcPr>
          <w:p w14:paraId="6F75401C" w14:textId="77777777" w:rsidR="00824D16" w:rsidRPr="009110E9" w:rsidRDefault="00824D16" w:rsidP="00824D16">
            <w:pPr>
              <w:pStyle w:val="ListParagraph"/>
              <w:widowControl w:val="0"/>
              <w:numPr>
                <w:ilvl w:val="1"/>
                <w:numId w:val="2"/>
              </w:numPr>
              <w:spacing w:line="240" w:lineRule="auto"/>
              <w:jc w:val="both"/>
              <w:rPr>
                <w:b/>
              </w:rPr>
            </w:pPr>
            <w:r w:rsidRPr="009110E9">
              <w:rPr>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9110E9">
              <w:rPr>
                <w:b/>
              </w:rPr>
              <w:t>демаркацията</w:t>
            </w:r>
            <w:proofErr w:type="spellEnd"/>
            <w:r w:rsidRPr="009110E9">
              <w:rPr>
                <w:b/>
              </w:rPr>
              <w:t xml:space="preserve"> с настоящия проект.</w:t>
            </w:r>
          </w:p>
        </w:tc>
      </w:tr>
      <w:tr w:rsidR="00824D16" w:rsidRPr="009110E9" w14:paraId="6BEC7199" w14:textId="77777777">
        <w:tc>
          <w:tcPr>
            <w:tcW w:w="9029" w:type="dxa"/>
            <w:shd w:val="clear" w:color="auto" w:fill="auto"/>
            <w:tcMar>
              <w:top w:w="100" w:type="dxa"/>
              <w:left w:w="100" w:type="dxa"/>
              <w:bottom w:w="100" w:type="dxa"/>
              <w:right w:w="100" w:type="dxa"/>
            </w:tcMar>
          </w:tcPr>
          <w:p w14:paraId="7B3C09B8" w14:textId="405D784F" w:rsidR="00824D16" w:rsidRPr="009110E9" w:rsidRDefault="00824D16" w:rsidP="00824D16">
            <w:pPr>
              <w:widowControl w:val="0"/>
              <w:spacing w:line="240" w:lineRule="auto"/>
              <w:jc w:val="both"/>
            </w:pPr>
            <w:r w:rsidRPr="009110E9">
              <w:t>По линия на Споразумението за партньорство и Механизма за свързване на Европа – 2 се очаква да бъдат финансирани различни железопътни проекти, които в своята цялост ще допринесат за развитие на железопътната инфраструктура и внедряване на интелигентните транспортни системи по протежение на Трансевропейската транспортна мрежа - основна и широкообхватна, както и по Коридор ОИС.</w:t>
            </w:r>
          </w:p>
          <w:p w14:paraId="028BE35F" w14:textId="061FADF9" w:rsidR="00824D16" w:rsidRDefault="00824D16" w:rsidP="00824D16">
            <w:pPr>
              <w:widowControl w:val="0"/>
              <w:spacing w:line="240" w:lineRule="auto"/>
              <w:jc w:val="both"/>
            </w:pPr>
            <w:r w:rsidRPr="009110E9">
              <w:t xml:space="preserve">Компонентът за преустройство и рехабилитация на ключови гарови комплекси обхваща обекти, разположени по основната </w:t>
            </w:r>
            <w:r w:rsidRPr="009110E9">
              <w:rPr>
                <w:lang w:val="en-US"/>
              </w:rPr>
              <w:t>TEN</w:t>
            </w:r>
            <w:r w:rsidRPr="009110E9">
              <w:t>-</w:t>
            </w:r>
            <w:r w:rsidRPr="009110E9">
              <w:rPr>
                <w:lang w:val="en-US"/>
              </w:rPr>
              <w:t>T</w:t>
            </w:r>
            <w:r w:rsidRPr="009110E9">
              <w:t xml:space="preserve"> мрежа, включително и част от Коридор ОИС. </w:t>
            </w:r>
          </w:p>
          <w:p w14:paraId="02E12C5E" w14:textId="77777777" w:rsidR="00824D16" w:rsidRDefault="00824D16" w:rsidP="00824D16">
            <w:pPr>
              <w:widowControl w:val="0"/>
              <w:spacing w:line="240" w:lineRule="auto"/>
              <w:jc w:val="both"/>
            </w:pPr>
            <w:r w:rsidRPr="009110E9">
              <w:t>Това обуславя връзка с проектите от СП и МСЕ-2, като се очаква да имат принос за общото подобряване на железопътния сектор и същевременно изпълнението  им е ясно разграничено и отделено от финансирането по горепосочените програми.</w:t>
            </w:r>
          </w:p>
          <w:p w14:paraId="4247B14F" w14:textId="77777777" w:rsidR="00FD76EA" w:rsidRDefault="00FD76EA" w:rsidP="00FD76EA">
            <w:pPr>
              <w:spacing w:after="160" w:line="259" w:lineRule="auto"/>
              <w:jc w:val="both"/>
            </w:pPr>
            <w:r>
              <w:t>О</w:t>
            </w:r>
            <w:r w:rsidRPr="00D05F3D">
              <w:t xml:space="preserve">писаните </w:t>
            </w:r>
            <w:r>
              <w:t xml:space="preserve">в настоящия проект </w:t>
            </w:r>
            <w:r w:rsidRPr="00D05F3D">
              <w:t xml:space="preserve">дейности и предвидените разходи </w:t>
            </w:r>
            <w:r>
              <w:t xml:space="preserve">не са планирани  </w:t>
            </w:r>
            <w:r w:rsidRPr="00D05F3D">
              <w:t>за финансиране в бъдеще</w:t>
            </w:r>
            <w:r>
              <w:t xml:space="preserve"> </w:t>
            </w:r>
            <w:r w:rsidRPr="00D05F3D">
              <w:t>по други проекти от Европейския съюз и/или националния бюджет/други донорски програми</w:t>
            </w:r>
            <w:r>
              <w:t>.</w:t>
            </w:r>
            <w:r w:rsidRPr="004A60EC">
              <w:t xml:space="preserve"> </w:t>
            </w:r>
          </w:p>
          <w:p w14:paraId="536A03FB" w14:textId="77777777" w:rsidR="00C87B7E" w:rsidRDefault="00C87B7E" w:rsidP="00C87B7E">
            <w:pPr>
              <w:widowControl w:val="0"/>
              <w:spacing w:line="240" w:lineRule="auto"/>
              <w:jc w:val="both"/>
              <w:rPr>
                <w:rStyle w:val="jlqj4b"/>
              </w:rPr>
            </w:pPr>
            <w:r>
              <w:rPr>
                <w:rStyle w:val="jlqj4b"/>
              </w:rPr>
              <w:t>За този проект не е предвидено допълване и евентуално съфинансиране с други фондове на ЕС.</w:t>
            </w:r>
          </w:p>
          <w:p w14:paraId="344F93F8" w14:textId="25279DAF" w:rsidR="00C87B7E" w:rsidRPr="009110E9" w:rsidRDefault="00C87B7E" w:rsidP="00C87B7E">
            <w:pPr>
              <w:spacing w:after="160" w:line="259" w:lineRule="auto"/>
              <w:jc w:val="both"/>
            </w:pPr>
            <w:r>
              <w:rPr>
                <w:rStyle w:val="jlqj4b"/>
              </w:rPr>
              <w:t>Участие на частни фирми е предвидено при изпълнение на договорите за реализация на проектите, като същите ще бъдат избрани чрез провеждане на открити обществени поръчки.</w:t>
            </w:r>
          </w:p>
        </w:tc>
      </w:tr>
      <w:tr w:rsidR="00824D16" w:rsidRPr="009110E9" w14:paraId="6732C5DE" w14:textId="77777777">
        <w:tc>
          <w:tcPr>
            <w:tcW w:w="9029" w:type="dxa"/>
            <w:shd w:val="clear" w:color="auto" w:fill="auto"/>
            <w:tcMar>
              <w:top w:w="100" w:type="dxa"/>
              <w:left w:w="100" w:type="dxa"/>
              <w:bottom w:w="100" w:type="dxa"/>
              <w:right w:w="100" w:type="dxa"/>
            </w:tcMar>
          </w:tcPr>
          <w:p w14:paraId="68CEF8FC" w14:textId="77777777" w:rsidR="00824D16" w:rsidRPr="009110E9" w:rsidRDefault="00824D16" w:rsidP="00824D16">
            <w:pPr>
              <w:pStyle w:val="ListParagraph"/>
              <w:widowControl w:val="0"/>
              <w:numPr>
                <w:ilvl w:val="0"/>
                <w:numId w:val="2"/>
              </w:numPr>
              <w:spacing w:line="240" w:lineRule="auto"/>
              <w:jc w:val="both"/>
              <w:rPr>
                <w:b/>
              </w:rPr>
            </w:pPr>
            <w:r w:rsidRPr="009110E9">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824D16" w:rsidRPr="009110E9" w14:paraId="54EF0E8D" w14:textId="77777777">
        <w:tc>
          <w:tcPr>
            <w:tcW w:w="9029" w:type="dxa"/>
            <w:shd w:val="clear" w:color="auto" w:fill="auto"/>
            <w:tcMar>
              <w:top w:w="100" w:type="dxa"/>
              <w:left w:w="100" w:type="dxa"/>
              <w:bottom w:w="100" w:type="dxa"/>
              <w:right w:w="100" w:type="dxa"/>
            </w:tcMar>
          </w:tcPr>
          <w:p w14:paraId="07ABBB79" w14:textId="77777777" w:rsidR="00824D16" w:rsidRPr="009110E9" w:rsidRDefault="00824D16" w:rsidP="00824D16">
            <w:pPr>
              <w:widowControl w:val="0"/>
              <w:spacing w:line="240" w:lineRule="auto"/>
              <w:jc w:val="both"/>
            </w:pPr>
            <w:r w:rsidRPr="009110E9">
              <w:t xml:space="preserve">В препоръка на Европейския съвет относно Националната програма за реформи на България за 2020 г. и съдържаща становище на Съвета относно </w:t>
            </w:r>
            <w:proofErr w:type="spellStart"/>
            <w:r w:rsidRPr="009110E9">
              <w:t>конвергентната</w:t>
            </w:r>
            <w:proofErr w:type="spellEnd"/>
            <w:r w:rsidRPr="009110E9">
              <w:t xml:space="preserve"> програма на България за 2020 г. се посочва, че покритието и качеството на транспортната инфраструктура в България остават под средното ниво за ЕС, а трансевропейската транспортна мрежа все още не е завършена. Мрежата от мултимодални платформи, някои железопътни и пътни участъци, както и европейските системи за управление на железопътния трафик и интелигентните транспортни системи все още не са достатъчно развити. Отправена е препоръка за съсредоточаване на инвестициите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и устойчивия транспорт, като допринася за постепенната </w:t>
            </w:r>
            <w:proofErr w:type="spellStart"/>
            <w:r w:rsidRPr="009110E9">
              <w:t>декарбонизация</w:t>
            </w:r>
            <w:proofErr w:type="spellEnd"/>
            <w:r w:rsidRPr="009110E9">
              <w:t xml:space="preserve"> на икономиката. </w:t>
            </w:r>
          </w:p>
          <w:p w14:paraId="6243C39B" w14:textId="77777777" w:rsidR="00824D16" w:rsidRPr="009110E9" w:rsidRDefault="00824D16" w:rsidP="00824D16">
            <w:pPr>
              <w:widowControl w:val="0"/>
              <w:spacing w:line="240" w:lineRule="auto"/>
              <w:jc w:val="both"/>
            </w:pPr>
            <w:r w:rsidRPr="009110E9">
              <w:t xml:space="preserve">Подобни са и констатациите, заключенията и препоръките от предходния доклад на Съвета от 2019 г.  </w:t>
            </w:r>
          </w:p>
          <w:p w14:paraId="21DDCC30" w14:textId="539C189C" w:rsidR="00824D16" w:rsidRPr="009110E9" w:rsidRDefault="00824D16" w:rsidP="00824D16">
            <w:pPr>
              <w:widowControl w:val="0"/>
              <w:spacing w:line="240" w:lineRule="auto"/>
              <w:jc w:val="both"/>
            </w:pPr>
            <w:r w:rsidRPr="009110E9">
              <w:lastRenderedPageBreak/>
              <w:t xml:space="preserve">В изпълнение на горните препоръки за преодоляване на констатираните слабости е </w:t>
            </w:r>
            <w:r w:rsidRPr="009110E9">
              <w:rPr>
                <w:b/>
                <w:bCs/>
              </w:rPr>
              <w:t>необходимо да бъдат подкрепени проекти от железопътния сектор, които внедряват екологична инфраструктура и интелигентни транспортни системи</w:t>
            </w:r>
            <w:r w:rsidRPr="009110E9">
              <w:t>. Такъв по своята същност се явява и предложеният проект. Неговото изпълнение ще допринесе за отразяване на препоръките на Европейския съвет към България, насочени към транспорта.</w:t>
            </w:r>
          </w:p>
        </w:tc>
      </w:tr>
      <w:tr w:rsidR="00824D16" w:rsidRPr="009110E9" w14:paraId="1FCE4EB4" w14:textId="77777777">
        <w:tc>
          <w:tcPr>
            <w:tcW w:w="9029" w:type="dxa"/>
            <w:shd w:val="clear" w:color="auto" w:fill="auto"/>
            <w:tcMar>
              <w:top w:w="100" w:type="dxa"/>
              <w:left w:w="100" w:type="dxa"/>
              <w:bottom w:w="100" w:type="dxa"/>
              <w:right w:w="100" w:type="dxa"/>
            </w:tcMar>
          </w:tcPr>
          <w:p w14:paraId="720E0B24" w14:textId="77777777" w:rsidR="00824D16" w:rsidRPr="009110E9" w:rsidRDefault="00824D16" w:rsidP="00824D16">
            <w:pPr>
              <w:numPr>
                <w:ilvl w:val="0"/>
                <w:numId w:val="2"/>
              </w:numPr>
              <w:pBdr>
                <w:top w:val="nil"/>
                <w:left w:val="nil"/>
                <w:bottom w:val="nil"/>
                <w:right w:val="nil"/>
                <w:between w:val="nil"/>
              </w:pBdr>
              <w:jc w:val="both"/>
              <w:rPr>
                <w:b/>
              </w:rPr>
            </w:pPr>
            <w:r w:rsidRPr="009110E9">
              <w:rPr>
                <w:b/>
              </w:rPr>
              <w:lastRenderedPageBreak/>
              <w:t>Проектът допринася ли за изпълнението на реформа в даден сектор? Моля, опишете как.</w:t>
            </w:r>
          </w:p>
        </w:tc>
      </w:tr>
      <w:tr w:rsidR="00824D16" w:rsidRPr="009110E9" w14:paraId="596E30C3" w14:textId="77777777">
        <w:tc>
          <w:tcPr>
            <w:tcW w:w="9029" w:type="dxa"/>
            <w:shd w:val="clear" w:color="auto" w:fill="auto"/>
            <w:tcMar>
              <w:top w:w="100" w:type="dxa"/>
              <w:left w:w="100" w:type="dxa"/>
              <w:bottom w:w="100" w:type="dxa"/>
              <w:right w:w="100" w:type="dxa"/>
            </w:tcMar>
          </w:tcPr>
          <w:p w14:paraId="48AE1526" w14:textId="1A80B25A" w:rsidR="00824D16" w:rsidRPr="009110E9" w:rsidRDefault="00824D16" w:rsidP="00824D16">
            <w:pPr>
              <w:pBdr>
                <w:top w:val="nil"/>
                <w:left w:val="nil"/>
                <w:bottom w:val="nil"/>
                <w:right w:val="nil"/>
                <w:between w:val="nil"/>
              </w:pBdr>
              <w:ind w:left="32"/>
              <w:jc w:val="both"/>
            </w:pPr>
            <w:r w:rsidRPr="009110E9">
              <w:t xml:space="preserve">Проектът ще допринесе за подобряване на безопасността и модернизацията на  железопътния сектор, </w:t>
            </w:r>
            <w:r w:rsidRPr="009110E9">
              <w:rPr>
                <w:b/>
                <w:bCs/>
              </w:rPr>
              <w:t>до реформирането му чрез постигане на оперативна съвместимост съгласно изискванията на ТСОС</w:t>
            </w:r>
            <w:r w:rsidRPr="009110E9">
              <w:t>.</w:t>
            </w:r>
          </w:p>
        </w:tc>
      </w:tr>
      <w:tr w:rsidR="00824D16" w:rsidRPr="009110E9" w14:paraId="1D872B6A" w14:textId="77777777">
        <w:tc>
          <w:tcPr>
            <w:tcW w:w="9029" w:type="dxa"/>
            <w:shd w:val="clear" w:color="auto" w:fill="auto"/>
            <w:tcMar>
              <w:top w:w="100" w:type="dxa"/>
              <w:left w:w="100" w:type="dxa"/>
              <w:bottom w:w="100" w:type="dxa"/>
              <w:right w:w="100" w:type="dxa"/>
            </w:tcMar>
          </w:tcPr>
          <w:p w14:paraId="7351A07F" w14:textId="77777777" w:rsidR="00824D16" w:rsidRPr="009110E9" w:rsidRDefault="00824D16" w:rsidP="00824D16">
            <w:pPr>
              <w:numPr>
                <w:ilvl w:val="0"/>
                <w:numId w:val="2"/>
              </w:numPr>
              <w:pBdr>
                <w:top w:val="nil"/>
                <w:left w:val="nil"/>
                <w:bottom w:val="nil"/>
                <w:right w:val="nil"/>
                <w:between w:val="nil"/>
              </w:pBdr>
              <w:jc w:val="both"/>
              <w:rPr>
                <w:b/>
              </w:rPr>
            </w:pPr>
            <w:r w:rsidRPr="009110E9">
              <w:rPr>
                <w:b/>
              </w:rPr>
              <w:t>Проектът допринася ли за развитие на някой от аспектите на устойчивото икономическо развитие? Моля, опишете как.</w:t>
            </w:r>
          </w:p>
        </w:tc>
      </w:tr>
      <w:tr w:rsidR="00824D16" w:rsidRPr="009110E9" w14:paraId="1A774B3C" w14:textId="77777777">
        <w:tc>
          <w:tcPr>
            <w:tcW w:w="9029" w:type="dxa"/>
            <w:shd w:val="clear" w:color="auto" w:fill="auto"/>
            <w:tcMar>
              <w:top w:w="100" w:type="dxa"/>
              <w:left w:w="100" w:type="dxa"/>
              <w:bottom w:w="100" w:type="dxa"/>
              <w:right w:w="100" w:type="dxa"/>
            </w:tcMar>
          </w:tcPr>
          <w:p w14:paraId="041A9B58" w14:textId="77777777" w:rsidR="00824D16" w:rsidRPr="009110E9" w:rsidRDefault="00824D16" w:rsidP="00824D16">
            <w:pPr>
              <w:pBdr>
                <w:top w:val="nil"/>
                <w:left w:val="nil"/>
                <w:bottom w:val="nil"/>
                <w:right w:val="nil"/>
                <w:between w:val="nil"/>
              </w:pBdr>
              <w:jc w:val="both"/>
            </w:pPr>
            <w:r w:rsidRPr="009110E9">
              <w:t xml:space="preserve">В последния годишен доклад на ЕК за България за 2020 г. по отношение на транспорта се отчита, че страната ни има ограничен напредък в контекста за устойчивост, защото специално за железопътната инфраструктура са необходими сериозни усилия за избягване сегментирането на модернизирани и </w:t>
            </w:r>
            <w:proofErr w:type="spellStart"/>
            <w:r w:rsidRPr="009110E9">
              <w:t>немодернизирани</w:t>
            </w:r>
            <w:proofErr w:type="spellEnd"/>
            <w:r w:rsidRPr="009110E9">
              <w:t xml:space="preserve"> участъци. Посочва се, че железопътният транспорт има ограничен принос към общите приходи от транспорта, което поставя под въпрос неговата устойчивост.</w:t>
            </w:r>
          </w:p>
          <w:p w14:paraId="592D7657" w14:textId="2E6510BA" w:rsidR="00824D16" w:rsidRPr="009110E9" w:rsidRDefault="00824D16" w:rsidP="00824D16">
            <w:pPr>
              <w:pBdr>
                <w:top w:val="nil"/>
                <w:left w:val="nil"/>
                <w:bottom w:val="nil"/>
                <w:right w:val="nil"/>
                <w:between w:val="nil"/>
              </w:pBdr>
              <w:jc w:val="both"/>
            </w:pPr>
            <w:r w:rsidRPr="009110E9">
              <w:t xml:space="preserve">Финансирането за развитие на железопътния транспорт и в частност на конкретния проект ще допринесе за повишаване на устойчивостта.  Изпълнението на проекта ще укрепи потенциала за растеж на районите, в който са разположени включените в него отделни обекти. Това са основно гарови комплекси по Главна линия 2, т.е. разположени в по-слабо инфраструктурно развитата Северна България. </w:t>
            </w:r>
          </w:p>
          <w:p w14:paraId="4EC922BB" w14:textId="7D823556" w:rsidR="00824D16" w:rsidRPr="009110E9" w:rsidRDefault="00824D16" w:rsidP="00824D16">
            <w:pPr>
              <w:pBdr>
                <w:top w:val="nil"/>
                <w:left w:val="nil"/>
                <w:bottom w:val="nil"/>
                <w:right w:val="nil"/>
                <w:between w:val="nil"/>
              </w:pBdr>
              <w:jc w:val="both"/>
            </w:pPr>
            <w:r w:rsidRPr="009110E9">
              <w:t xml:space="preserve">Ще бъде подобрено качеството на инфраструктурата от гледна точка на нейната безопасност, сигурност, ефикасност, устойчивост на климатични условия, както и качеството на услугите и непрекъснатостта на транспортните потоци. Въвеждането и разгръщането на </w:t>
            </w:r>
            <w:proofErr w:type="spellStart"/>
            <w:r w:rsidRPr="009110E9">
              <w:t>телематичните</w:t>
            </w:r>
            <w:proofErr w:type="spellEnd"/>
            <w:r w:rsidRPr="009110E9">
              <w:t xml:space="preserve"> приложения, както и насърчаване разработването на иновативни технологии ще имат пряко въздействие върху устойчивото икономическо развитие. </w:t>
            </w:r>
          </w:p>
          <w:p w14:paraId="15463C40" w14:textId="77777777" w:rsidR="00824D16" w:rsidRPr="009110E9" w:rsidRDefault="00824D16" w:rsidP="00824D16">
            <w:pPr>
              <w:pBdr>
                <w:top w:val="nil"/>
                <w:left w:val="nil"/>
                <w:bottom w:val="nil"/>
                <w:right w:val="nil"/>
                <w:between w:val="nil"/>
              </w:pBdr>
              <w:jc w:val="both"/>
            </w:pPr>
            <w:r w:rsidRPr="009110E9">
              <w:t xml:space="preserve">Също така, ще бъдат създадени нови работни места в процеса на изпълнението на проекта. </w:t>
            </w:r>
          </w:p>
          <w:p w14:paraId="42820E55" w14:textId="77777777" w:rsidR="00824D16" w:rsidRPr="009110E9" w:rsidRDefault="00824D16" w:rsidP="00824D16">
            <w:pPr>
              <w:pBdr>
                <w:top w:val="nil"/>
                <w:left w:val="nil"/>
                <w:bottom w:val="nil"/>
                <w:right w:val="nil"/>
                <w:between w:val="nil"/>
              </w:pBdr>
              <w:jc w:val="both"/>
            </w:pPr>
            <w:r w:rsidRPr="009110E9">
              <w:t xml:space="preserve">Предвидените дейности няма да имат значително отрицателно въздействие върху компонентите и факторите на околната среда, нито ще предизвикат увреждане на местообитания на видове в защитените зони от европейската мрежа Натура 2000. Не се очакват емисии на парникови газове в атмосферния въздух, тъй като дейностите не са свързани с генерирането на такива. </w:t>
            </w:r>
          </w:p>
          <w:p w14:paraId="4BE7E635" w14:textId="3E5B0A88" w:rsidR="00824D16" w:rsidRPr="009110E9" w:rsidRDefault="00824D16" w:rsidP="00824D16">
            <w:pPr>
              <w:pBdr>
                <w:top w:val="nil"/>
                <w:left w:val="nil"/>
                <w:bottom w:val="nil"/>
                <w:right w:val="nil"/>
                <w:between w:val="nil"/>
              </w:pBdr>
              <w:jc w:val="both"/>
            </w:pPr>
            <w:r w:rsidRPr="009110E9">
              <w:t>Всичко това ще има пряко въздействие и принос към зеления преход на Европа.</w:t>
            </w:r>
          </w:p>
        </w:tc>
      </w:tr>
      <w:tr w:rsidR="00824D16" w:rsidRPr="009110E9" w14:paraId="7A55B2F1" w14:textId="77777777">
        <w:tc>
          <w:tcPr>
            <w:tcW w:w="9029" w:type="dxa"/>
            <w:shd w:val="clear" w:color="auto" w:fill="auto"/>
            <w:tcMar>
              <w:top w:w="100" w:type="dxa"/>
              <w:left w:w="100" w:type="dxa"/>
              <w:bottom w:w="100" w:type="dxa"/>
              <w:right w:w="100" w:type="dxa"/>
            </w:tcMar>
          </w:tcPr>
          <w:p w14:paraId="6D8DF750" w14:textId="77777777" w:rsidR="00824D16" w:rsidRPr="009110E9" w:rsidRDefault="00824D16" w:rsidP="00824D16">
            <w:pPr>
              <w:numPr>
                <w:ilvl w:val="0"/>
                <w:numId w:val="2"/>
              </w:numPr>
              <w:pBdr>
                <w:top w:val="nil"/>
                <w:left w:val="nil"/>
                <w:bottom w:val="nil"/>
                <w:right w:val="nil"/>
                <w:between w:val="nil"/>
              </w:pBdr>
              <w:jc w:val="both"/>
              <w:rPr>
                <w:b/>
              </w:rPr>
            </w:pPr>
            <w:r w:rsidRPr="009110E9">
              <w:rPr>
                <w:b/>
              </w:rPr>
              <w:t>Проектът допринася ли за изпълнението на целите на Националната програма за развитие БЪЛГАРИЯ 2030? Моля, опишете как.</w:t>
            </w:r>
          </w:p>
        </w:tc>
      </w:tr>
      <w:tr w:rsidR="00824D16" w:rsidRPr="009110E9" w14:paraId="6561101A" w14:textId="77777777">
        <w:tc>
          <w:tcPr>
            <w:tcW w:w="9029" w:type="dxa"/>
            <w:shd w:val="clear" w:color="auto" w:fill="auto"/>
            <w:tcMar>
              <w:top w:w="100" w:type="dxa"/>
              <w:left w:w="100" w:type="dxa"/>
              <w:bottom w:w="100" w:type="dxa"/>
              <w:right w:w="100" w:type="dxa"/>
            </w:tcMar>
          </w:tcPr>
          <w:p w14:paraId="44BEC38F" w14:textId="03297471" w:rsidR="00824D16" w:rsidRPr="009110E9" w:rsidRDefault="00824D16" w:rsidP="00824D16">
            <w:pPr>
              <w:pBdr>
                <w:top w:val="nil"/>
                <w:left w:val="nil"/>
                <w:bottom w:val="nil"/>
                <w:right w:val="nil"/>
                <w:between w:val="nil"/>
              </w:pBdr>
              <w:jc w:val="both"/>
              <w:rPr>
                <w:bCs/>
              </w:rPr>
            </w:pPr>
            <w:r w:rsidRPr="009110E9">
              <w:rPr>
                <w:bCs/>
              </w:rPr>
              <w:t xml:space="preserve">Проектът има пряка връзка с целите на НПР България 2030 и неговото изпълнение е в съответствие с Приоритет П7 – „Транспортна свързаност“, 7.1 „Железопътен транспорт“ и Област на въздействие 7.1а – „Управление на железопътния сектор“ и 7.1б – „Железопътна инфраструктура“.  Там е записано, че железопътният транспорт ще остане приоритетна област в транспортната политика, като секторът ще се развива и управлява по начин, който да му позволи да се конкурира ефективно на </w:t>
            </w:r>
            <w:r w:rsidRPr="009110E9">
              <w:rPr>
                <w:bCs/>
              </w:rPr>
              <w:lastRenderedPageBreak/>
              <w:t xml:space="preserve">транспортния пазар, като осигурява качествени пътнически и товарни превози за клиентите, да инвестира разумно и поддържа необходимите активи в добро състояние и да се издържа финансово с приемливо ниво на подпомагане от държавата. Ще продължат усилията за изграждане на Трансевропейската железопътна мрежа на територията на страната. </w:t>
            </w:r>
            <w:r w:rsidRPr="009110E9">
              <w:rPr>
                <w:b/>
              </w:rPr>
              <w:t>Ще продължат усилията за подобряване на качеството на железопътните линии в страната. Изпълнението на предложения проект ще има принос към постигане на горепосочените цели и приоритети на НПР БГ2030.</w:t>
            </w:r>
          </w:p>
        </w:tc>
      </w:tr>
      <w:tr w:rsidR="00824D16" w:rsidRPr="009110E9" w14:paraId="1F9DC8E8" w14:textId="77777777">
        <w:tc>
          <w:tcPr>
            <w:tcW w:w="9029" w:type="dxa"/>
            <w:shd w:val="clear" w:color="auto" w:fill="auto"/>
            <w:tcMar>
              <w:top w:w="100" w:type="dxa"/>
              <w:left w:w="100" w:type="dxa"/>
              <w:bottom w:w="100" w:type="dxa"/>
              <w:right w:w="100" w:type="dxa"/>
            </w:tcMar>
          </w:tcPr>
          <w:p w14:paraId="57B39667" w14:textId="77777777" w:rsidR="00824D16" w:rsidRPr="009110E9" w:rsidRDefault="00824D16" w:rsidP="00824D16">
            <w:pPr>
              <w:numPr>
                <w:ilvl w:val="0"/>
                <w:numId w:val="2"/>
              </w:numPr>
              <w:pBdr>
                <w:top w:val="nil"/>
                <w:left w:val="nil"/>
                <w:bottom w:val="nil"/>
                <w:right w:val="nil"/>
                <w:between w:val="nil"/>
              </w:pBdr>
              <w:jc w:val="both"/>
              <w:rPr>
                <w:b/>
              </w:rPr>
            </w:pPr>
            <w:r w:rsidRPr="009110E9">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824D16" w:rsidRPr="00034557" w14:paraId="53E2945A" w14:textId="77777777">
        <w:tc>
          <w:tcPr>
            <w:tcW w:w="9029" w:type="dxa"/>
            <w:shd w:val="clear" w:color="auto" w:fill="auto"/>
            <w:tcMar>
              <w:top w:w="100" w:type="dxa"/>
              <w:left w:w="100" w:type="dxa"/>
              <w:bottom w:w="100" w:type="dxa"/>
              <w:right w:w="100" w:type="dxa"/>
            </w:tcMar>
          </w:tcPr>
          <w:p w14:paraId="1AA9A677" w14:textId="77777777" w:rsidR="00824D16" w:rsidRPr="009110E9" w:rsidRDefault="00824D16" w:rsidP="00824D16">
            <w:pPr>
              <w:pBdr>
                <w:top w:val="nil"/>
                <w:left w:val="nil"/>
                <w:bottom w:val="nil"/>
                <w:right w:val="nil"/>
                <w:between w:val="nil"/>
              </w:pBdr>
              <w:jc w:val="both"/>
              <w:rPr>
                <w:bCs/>
              </w:rPr>
            </w:pPr>
            <w:r w:rsidRPr="009110E9">
              <w:rPr>
                <w:bCs/>
              </w:rPr>
              <w:t xml:space="preserve">В раздел Измерение „Енергийна ефективност“ на ИНПЕК е посочено, че планираните политики, мерки и програми за постигане на индикативните национални цели за енергийна ефективност за 2030 г., както и на другите цели за насърчаване на енергийната ефективност в сектор Транспорт изискват усилията да бъдат насочени към разгръщане на електрическата мобилност, развитието и стимулиране използването на обществения електрически транспорт, както и към ускоряване интеграцията на съвременни технологии в иновативния железопътен сектор. </w:t>
            </w:r>
          </w:p>
          <w:p w14:paraId="7963E65D" w14:textId="77777777" w:rsidR="00824D16" w:rsidRPr="009110E9" w:rsidRDefault="00824D16" w:rsidP="00824D16">
            <w:pPr>
              <w:pBdr>
                <w:top w:val="nil"/>
                <w:left w:val="nil"/>
                <w:bottom w:val="nil"/>
                <w:right w:val="nil"/>
                <w:between w:val="nil"/>
              </w:pBdr>
              <w:jc w:val="both"/>
              <w:rPr>
                <w:bCs/>
              </w:rPr>
            </w:pPr>
            <w:r w:rsidRPr="009110E9">
              <w:rPr>
                <w:bCs/>
              </w:rPr>
              <w:t>В допълнение, основните цели на политиката за намаляване на емисиите на парникови газове в сектор Транспорт са намаляване на товарите, предназначени за превоз с моторни превозни средства на разстояние повече от 300 км, като се пренасочат към по-екологосъобразни видове транспорт, например железопътния транспорт, в съответствие с Третия национален план за действие по изменението на климата 2013-2020 г. (продължен до 2030 г.)</w:t>
            </w:r>
          </w:p>
          <w:p w14:paraId="08897466" w14:textId="66EFA97A" w:rsidR="00824D16" w:rsidRPr="009110E9" w:rsidRDefault="00824D16" w:rsidP="00824D16">
            <w:pPr>
              <w:pBdr>
                <w:top w:val="nil"/>
                <w:left w:val="nil"/>
                <w:bottom w:val="nil"/>
                <w:right w:val="nil"/>
                <w:between w:val="nil"/>
              </w:pBdr>
              <w:jc w:val="both"/>
              <w:rPr>
                <w:bCs/>
              </w:rPr>
            </w:pPr>
            <w:r w:rsidRPr="009110E9">
              <w:rPr>
                <w:bCs/>
              </w:rPr>
              <w:t>Основните мерки, чрез които България се стреми да подобри енергийната ефективност в сектора, включва увеличаване дела на обществения електрически транспорт чрез подобряване на железопътната инфраструктура.</w:t>
            </w:r>
          </w:p>
          <w:p w14:paraId="32FA79D3" w14:textId="77777777" w:rsidR="00824D16" w:rsidRPr="009110E9" w:rsidRDefault="00824D16" w:rsidP="00824D16">
            <w:pPr>
              <w:pBdr>
                <w:top w:val="nil"/>
                <w:left w:val="nil"/>
                <w:bottom w:val="nil"/>
                <w:right w:val="nil"/>
                <w:between w:val="nil"/>
              </w:pBdr>
              <w:jc w:val="both"/>
              <w:rPr>
                <w:bCs/>
              </w:rPr>
            </w:pPr>
            <w:r w:rsidRPr="009110E9">
              <w:rPr>
                <w:bCs/>
              </w:rPr>
              <w:t>Гаровите комплекси, като част от железопътната инфраструктура, не генерират замърсяване в околната среда и спомагат за намалението на емисиите на парникови газове, като с по-добра достъпност и комфорт спомагат за трансфера на пътници и товари от автомобилния транспорт към модернизираната и реконструирана железопътна мрежа.</w:t>
            </w:r>
          </w:p>
          <w:p w14:paraId="06151518" w14:textId="4E205AAF" w:rsidR="00824D16" w:rsidRPr="009110E9" w:rsidRDefault="00824D16" w:rsidP="00824D16">
            <w:pPr>
              <w:pBdr>
                <w:top w:val="nil"/>
                <w:left w:val="nil"/>
                <w:bottom w:val="nil"/>
                <w:right w:val="nil"/>
                <w:between w:val="nil"/>
              </w:pBdr>
              <w:jc w:val="both"/>
              <w:rPr>
                <w:bCs/>
              </w:rPr>
            </w:pPr>
            <w:r w:rsidRPr="009110E9">
              <w:rPr>
                <w:bCs/>
              </w:rPr>
              <w:t>Проектът е свързан с политиките и мерки за изпълнение на целите на Регламент 2018/842 за задължителните годишни намаления на емисиите на парникови газове за държавите членки през периода 2021—2030 г., допринасящи за действията в областта на климата в изпълнение на задълженията, поети по Парижкото споразумение, и за изменение на Регламент 525/2013, определящ национални цели за секторите извън СТЕ (сграден фонд, селско стопанство, управление на отпадъците и транспорт).</w:t>
            </w:r>
          </w:p>
          <w:p w14:paraId="4F3C1E35" w14:textId="77777777" w:rsidR="00824D16" w:rsidRDefault="00824D16" w:rsidP="00824D16">
            <w:pPr>
              <w:pBdr>
                <w:top w:val="nil"/>
                <w:left w:val="nil"/>
                <w:bottom w:val="nil"/>
                <w:right w:val="nil"/>
                <w:between w:val="nil"/>
              </w:pBdr>
              <w:jc w:val="both"/>
              <w:rPr>
                <w:bCs/>
              </w:rPr>
            </w:pPr>
            <w:r w:rsidRPr="009110E9">
              <w:rPr>
                <w:bCs/>
              </w:rPr>
              <w:t>Имайки предвид горепосочените приоритети и мерки в ИНПЕК може да се направи заключението, че предложеният проект ще има принос за тяхното осъществяване в областта на енергийната ефективност на железопътния транспорт.</w:t>
            </w:r>
          </w:p>
          <w:p w14:paraId="505FC53F" w14:textId="77777777" w:rsidR="00413FC7" w:rsidRPr="0034188A" w:rsidRDefault="00413FC7" w:rsidP="00413FC7">
            <w:pPr>
              <w:jc w:val="both"/>
              <w:rPr>
                <w:bCs/>
              </w:rPr>
            </w:pPr>
            <w:r w:rsidRPr="0034188A">
              <w:rPr>
                <w:bCs/>
              </w:rPr>
              <w:t xml:space="preserve">Декларираме, че нито една от посочените дейности в проектното предложение не нанася значителна вреда на шестте цели, свързани с околната среда и климата, определени в Регламент (ЕС) 2020/852 на Европейския парламент и на Съвета от 18 юни 2020 г. за създаване на рамка за улесняване на устойчивите инвестиции и за изменение на Регламент (ЕС) 2019/2088 („Регламента за таксономията на ЕС“): </w:t>
            </w:r>
          </w:p>
          <w:p w14:paraId="051EF49B" w14:textId="77777777" w:rsidR="00413FC7" w:rsidRPr="0034188A" w:rsidRDefault="00413FC7" w:rsidP="00413FC7">
            <w:pPr>
              <w:jc w:val="both"/>
              <w:rPr>
                <w:bCs/>
              </w:rPr>
            </w:pPr>
            <w:r w:rsidRPr="0034188A">
              <w:rPr>
                <w:bCs/>
              </w:rPr>
              <w:t xml:space="preserve">1) смекчаване на изменението на климата; </w:t>
            </w:r>
          </w:p>
          <w:p w14:paraId="0F9A954F" w14:textId="77777777" w:rsidR="00413FC7" w:rsidRPr="0034188A" w:rsidRDefault="00413FC7" w:rsidP="00413FC7">
            <w:pPr>
              <w:jc w:val="both"/>
              <w:rPr>
                <w:bCs/>
              </w:rPr>
            </w:pPr>
            <w:r w:rsidRPr="0034188A">
              <w:rPr>
                <w:bCs/>
              </w:rPr>
              <w:lastRenderedPageBreak/>
              <w:t xml:space="preserve">2) адаптиране към изменението на климата; </w:t>
            </w:r>
          </w:p>
          <w:p w14:paraId="385EB79D" w14:textId="77777777" w:rsidR="00413FC7" w:rsidRPr="0034188A" w:rsidRDefault="00413FC7" w:rsidP="00413FC7">
            <w:pPr>
              <w:jc w:val="both"/>
              <w:rPr>
                <w:bCs/>
              </w:rPr>
            </w:pPr>
            <w:r w:rsidRPr="0034188A">
              <w:rPr>
                <w:bCs/>
              </w:rPr>
              <w:t xml:space="preserve">3) устойчиво използване и опазване на водните и морските ресурси; </w:t>
            </w:r>
          </w:p>
          <w:p w14:paraId="24B6D98E" w14:textId="77777777" w:rsidR="00413FC7" w:rsidRPr="0034188A" w:rsidRDefault="00413FC7" w:rsidP="00413FC7">
            <w:pPr>
              <w:jc w:val="both"/>
              <w:rPr>
                <w:bCs/>
              </w:rPr>
            </w:pPr>
            <w:r w:rsidRPr="0034188A">
              <w:rPr>
                <w:bCs/>
              </w:rPr>
              <w:t xml:space="preserve">4) преход към кръгова икономика; </w:t>
            </w:r>
          </w:p>
          <w:p w14:paraId="15C4D60F" w14:textId="77777777" w:rsidR="00413FC7" w:rsidRPr="0034188A" w:rsidRDefault="00413FC7" w:rsidP="00413FC7">
            <w:pPr>
              <w:jc w:val="both"/>
              <w:rPr>
                <w:bCs/>
              </w:rPr>
            </w:pPr>
            <w:r w:rsidRPr="0034188A">
              <w:rPr>
                <w:bCs/>
              </w:rPr>
              <w:t xml:space="preserve">5) предотвратяване и контрол на замърсяването; </w:t>
            </w:r>
          </w:p>
          <w:p w14:paraId="131CD34B" w14:textId="3B54BD24" w:rsidR="00413FC7" w:rsidRPr="00034557" w:rsidRDefault="00413FC7" w:rsidP="00413FC7">
            <w:pPr>
              <w:pBdr>
                <w:top w:val="nil"/>
                <w:left w:val="nil"/>
                <w:bottom w:val="nil"/>
                <w:right w:val="nil"/>
                <w:between w:val="nil"/>
              </w:pBdr>
              <w:jc w:val="both"/>
              <w:rPr>
                <w:bCs/>
              </w:rPr>
            </w:pPr>
            <w:r w:rsidRPr="0034188A">
              <w:rPr>
                <w:bCs/>
              </w:rPr>
              <w:t>6) опазване и възстановяване на биологичното разнообразие и екосистемите.</w:t>
            </w:r>
          </w:p>
        </w:tc>
      </w:tr>
    </w:tbl>
    <w:p w14:paraId="366222B4" w14:textId="77777777" w:rsidR="00FE7C56" w:rsidRPr="00034557" w:rsidRDefault="00FE7C56"/>
    <w:sectPr w:rsidR="00FE7C56" w:rsidRPr="00034557" w:rsidSect="002A11EE">
      <w:pgSz w:w="11909" w:h="16834"/>
      <w:pgMar w:top="709" w:right="1440" w:bottom="1135" w:left="1440" w:header="720" w:footer="720" w:gutter="0"/>
      <w:pgNumType w:start="1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F96E2" w14:textId="77777777" w:rsidR="0069621C" w:rsidRDefault="0069621C">
      <w:pPr>
        <w:spacing w:line="240" w:lineRule="auto"/>
      </w:pPr>
      <w:r>
        <w:separator/>
      </w:r>
    </w:p>
  </w:endnote>
  <w:endnote w:type="continuationSeparator" w:id="0">
    <w:p w14:paraId="72155EF2" w14:textId="77777777" w:rsidR="0069621C" w:rsidRDefault="00696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6485589"/>
      <w:docPartObj>
        <w:docPartGallery w:val="Page Numbers (Bottom of Page)"/>
        <w:docPartUnique/>
      </w:docPartObj>
    </w:sdtPr>
    <w:sdtEndPr>
      <w:rPr>
        <w:noProof/>
      </w:rPr>
    </w:sdtEndPr>
    <w:sdtContent>
      <w:p w14:paraId="43CC4F91" w14:textId="42476D0E" w:rsidR="0069621C" w:rsidRDefault="0069621C" w:rsidP="000750BB">
        <w:pPr>
          <w:pStyle w:val="Footer"/>
          <w:jc w:val="right"/>
        </w:pPr>
        <w:r>
          <w:t xml:space="preserve">Стр. </w:t>
        </w:r>
        <w:r>
          <w:fldChar w:fldCharType="begin"/>
        </w:r>
        <w:r>
          <w:instrText xml:space="preserve"> PAGE   \* MERGEFORMAT </w:instrText>
        </w:r>
        <w:r>
          <w:fldChar w:fldCharType="separate"/>
        </w:r>
        <w:r>
          <w:rPr>
            <w:noProof/>
          </w:rPr>
          <w:t>5</w:t>
        </w:r>
        <w:r>
          <w:rPr>
            <w:noProof/>
          </w:rPr>
          <w:fldChar w:fldCharType="end"/>
        </w:r>
      </w:p>
    </w:sdtContent>
  </w:sdt>
  <w:p w14:paraId="101556A7" w14:textId="77777777" w:rsidR="0069621C" w:rsidRDefault="0069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B5AC0" w14:textId="77777777" w:rsidR="0069621C" w:rsidRDefault="0069621C">
      <w:pPr>
        <w:spacing w:line="240" w:lineRule="auto"/>
      </w:pPr>
      <w:r>
        <w:separator/>
      </w:r>
    </w:p>
  </w:footnote>
  <w:footnote w:type="continuationSeparator" w:id="0">
    <w:p w14:paraId="3945C281" w14:textId="77777777" w:rsidR="0069621C" w:rsidRDefault="0069621C">
      <w:pPr>
        <w:spacing w:line="240" w:lineRule="auto"/>
      </w:pPr>
      <w:r>
        <w:continuationSeparator/>
      </w:r>
    </w:p>
  </w:footnote>
  <w:footnote w:id="1">
    <w:p w14:paraId="027A0A24" w14:textId="77777777" w:rsidR="002A11EE" w:rsidRDefault="002A11EE">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03FF3"/>
    <w:multiLevelType w:val="hybridMultilevel"/>
    <w:tmpl w:val="FE9EB4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1F4105D"/>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A2C5C57"/>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B090271"/>
    <w:multiLevelType w:val="hybridMultilevel"/>
    <w:tmpl w:val="A62A4A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20198E"/>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2660654"/>
    <w:multiLevelType w:val="hybridMultilevel"/>
    <w:tmpl w:val="62D606BE"/>
    <w:lvl w:ilvl="0" w:tplc="258E27A0">
      <w:start w:val="1"/>
      <w:numFmt w:val="bullet"/>
      <w:lvlText w:val="o"/>
      <w:lvlJc w:val="left"/>
      <w:pPr>
        <w:ind w:left="644" w:hanging="360"/>
      </w:pPr>
      <w:rPr>
        <w:rFonts w:ascii="Courier New" w:hAnsi="Courier New" w:hint="default"/>
      </w:rPr>
    </w:lvl>
    <w:lvl w:ilvl="1" w:tplc="04090003">
      <w:start w:val="1"/>
      <w:numFmt w:val="bullet"/>
      <w:lvlText w:val="o"/>
      <w:lvlJc w:val="left"/>
      <w:pPr>
        <w:ind w:left="2508" w:hanging="360"/>
      </w:pPr>
      <w:rPr>
        <w:rFonts w:ascii="Courier New" w:hAnsi="Courier New" w:hint="default"/>
      </w:rPr>
    </w:lvl>
    <w:lvl w:ilvl="2" w:tplc="B0B2511E">
      <w:numFmt w:val="bullet"/>
      <w:lvlText w:val="-"/>
      <w:lvlJc w:val="left"/>
      <w:pPr>
        <w:ind w:left="3228" w:hanging="360"/>
      </w:pPr>
      <w:rPr>
        <w:rFonts w:ascii="Trebuchet MS" w:eastAsia="Times New Roman" w:hAnsi="Trebuchet M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6"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23F0057"/>
    <w:multiLevelType w:val="hybridMultilevel"/>
    <w:tmpl w:val="1A14B31A"/>
    <w:lvl w:ilvl="0" w:tplc="99DAC1C8">
      <w:start w:val="1"/>
      <w:numFmt w:val="decimal"/>
      <w:lvlText w:val="%1)"/>
      <w:lvlJc w:val="left"/>
      <w:pPr>
        <w:ind w:left="757" w:hanging="360"/>
      </w:pPr>
      <w:rPr>
        <w:b w:val="0"/>
        <w:bCs/>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30283A4F"/>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8997823"/>
    <w:multiLevelType w:val="hybridMultilevel"/>
    <w:tmpl w:val="C36200FC"/>
    <w:lvl w:ilvl="0" w:tplc="2644523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92F09B2"/>
    <w:multiLevelType w:val="hybridMultilevel"/>
    <w:tmpl w:val="0FB010A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15:restartNumberingAfterBreak="0">
    <w:nsid w:val="41F819F4"/>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F523C28"/>
    <w:multiLevelType w:val="hybridMultilevel"/>
    <w:tmpl w:val="0FB010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56C455C"/>
    <w:multiLevelType w:val="hybridMultilevel"/>
    <w:tmpl w:val="8794C13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F353AB5"/>
    <w:multiLevelType w:val="hybridMultilevel"/>
    <w:tmpl w:val="C9541528"/>
    <w:lvl w:ilvl="0" w:tplc="8124A962">
      <w:numFmt w:val="bullet"/>
      <w:lvlText w:val="-"/>
      <w:lvlJc w:val="left"/>
      <w:pPr>
        <w:ind w:left="757" w:hanging="360"/>
      </w:pPr>
      <w:rPr>
        <w:rFonts w:ascii="Arial" w:eastAsia="Arial" w:hAnsi="Arial" w:cs="Arial" w:hint="default"/>
        <w:b w:val="0"/>
        <w:bCs/>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64E15532"/>
    <w:multiLevelType w:val="hybridMultilevel"/>
    <w:tmpl w:val="308E1F68"/>
    <w:lvl w:ilvl="0" w:tplc="AB86D59A">
      <w:start w:val="15"/>
      <w:numFmt w:val="bullet"/>
      <w:lvlText w:val="-"/>
      <w:lvlJc w:val="left"/>
      <w:pPr>
        <w:ind w:left="720" w:hanging="360"/>
      </w:pPr>
      <w:rPr>
        <w:rFonts w:ascii="Calibri" w:eastAsiaTheme="minorHAnsi" w:hAnsi="Calibri" w:cs="Calibri"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69A61CB"/>
    <w:multiLevelType w:val="hybridMultilevel"/>
    <w:tmpl w:val="D28E21E0"/>
    <w:lvl w:ilvl="0" w:tplc="69D22F0A">
      <w:numFmt w:val="bullet"/>
      <w:lvlText w:val="•"/>
      <w:lvlJc w:val="left"/>
      <w:pPr>
        <w:ind w:left="720" w:hanging="360"/>
      </w:pPr>
      <w:rPr>
        <w:rFonts w:ascii="Arial" w:eastAsia="Times New Roman" w:hAnsi="Aria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D557206"/>
    <w:multiLevelType w:val="hybridMultilevel"/>
    <w:tmpl w:val="4C3638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8"/>
  </w:num>
  <w:num w:numId="3">
    <w:abstractNumId w:val="7"/>
  </w:num>
  <w:num w:numId="4">
    <w:abstractNumId w:val="0"/>
  </w:num>
  <w:num w:numId="5">
    <w:abstractNumId w:val="14"/>
  </w:num>
  <w:num w:numId="6">
    <w:abstractNumId w:val="5"/>
  </w:num>
  <w:num w:numId="7">
    <w:abstractNumId w:val="16"/>
  </w:num>
  <w:num w:numId="8">
    <w:abstractNumId w:val="3"/>
  </w:num>
  <w:num w:numId="9">
    <w:abstractNumId w:val="13"/>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8"/>
  </w:num>
  <w:num w:numId="17">
    <w:abstractNumId w:val="2"/>
  </w:num>
  <w:num w:numId="18">
    <w:abstractNumId w:val="4"/>
  </w:num>
  <w:num w:numId="19">
    <w:abstractNumId w:val="12"/>
  </w:num>
  <w:num w:numId="20">
    <w:abstractNumId w:val="1"/>
  </w:num>
  <w:num w:numId="21">
    <w:abstractNumId w:val="11"/>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C56"/>
    <w:rsid w:val="00002106"/>
    <w:rsid w:val="00010798"/>
    <w:rsid w:val="00017B2B"/>
    <w:rsid w:val="000233E8"/>
    <w:rsid w:val="000269F5"/>
    <w:rsid w:val="00034557"/>
    <w:rsid w:val="00040DEC"/>
    <w:rsid w:val="0004173A"/>
    <w:rsid w:val="000425F7"/>
    <w:rsid w:val="000631D3"/>
    <w:rsid w:val="000750BB"/>
    <w:rsid w:val="000808CA"/>
    <w:rsid w:val="00082243"/>
    <w:rsid w:val="000A11AE"/>
    <w:rsid w:val="000B2A29"/>
    <w:rsid w:val="000C02A4"/>
    <w:rsid w:val="000E4BD3"/>
    <w:rsid w:val="000E627B"/>
    <w:rsid w:val="000E7BFB"/>
    <w:rsid w:val="000E7CD1"/>
    <w:rsid w:val="000F08DB"/>
    <w:rsid w:val="000F4B69"/>
    <w:rsid w:val="000F7FBE"/>
    <w:rsid w:val="0010236A"/>
    <w:rsid w:val="0011718D"/>
    <w:rsid w:val="00124E16"/>
    <w:rsid w:val="00161ECA"/>
    <w:rsid w:val="00167AF0"/>
    <w:rsid w:val="00194F9C"/>
    <w:rsid w:val="001B4B45"/>
    <w:rsid w:val="001C3854"/>
    <w:rsid w:val="001C3A18"/>
    <w:rsid w:val="001E14AB"/>
    <w:rsid w:val="001E7562"/>
    <w:rsid w:val="001F6A48"/>
    <w:rsid w:val="002061F0"/>
    <w:rsid w:val="00213703"/>
    <w:rsid w:val="00215753"/>
    <w:rsid w:val="00224DF5"/>
    <w:rsid w:val="00233EF7"/>
    <w:rsid w:val="00270B44"/>
    <w:rsid w:val="002759E5"/>
    <w:rsid w:val="00293927"/>
    <w:rsid w:val="002967D5"/>
    <w:rsid w:val="002975FF"/>
    <w:rsid w:val="002A11EE"/>
    <w:rsid w:val="002B2151"/>
    <w:rsid w:val="002B2FF0"/>
    <w:rsid w:val="002B34D7"/>
    <w:rsid w:val="002C252A"/>
    <w:rsid w:val="002C3303"/>
    <w:rsid w:val="002E0968"/>
    <w:rsid w:val="003011A9"/>
    <w:rsid w:val="00306942"/>
    <w:rsid w:val="003143B0"/>
    <w:rsid w:val="003215B0"/>
    <w:rsid w:val="00334D00"/>
    <w:rsid w:val="0037041B"/>
    <w:rsid w:val="00382A73"/>
    <w:rsid w:val="00393381"/>
    <w:rsid w:val="0039656A"/>
    <w:rsid w:val="003A2E24"/>
    <w:rsid w:val="003E0B51"/>
    <w:rsid w:val="003E19C1"/>
    <w:rsid w:val="003F6901"/>
    <w:rsid w:val="003F7195"/>
    <w:rsid w:val="004079CC"/>
    <w:rsid w:val="00413FC7"/>
    <w:rsid w:val="00427BEF"/>
    <w:rsid w:val="00431BF7"/>
    <w:rsid w:val="00454C16"/>
    <w:rsid w:val="0047019F"/>
    <w:rsid w:val="00480224"/>
    <w:rsid w:val="004967A2"/>
    <w:rsid w:val="004A137D"/>
    <w:rsid w:val="004B1923"/>
    <w:rsid w:val="004B33A8"/>
    <w:rsid w:val="004C68FC"/>
    <w:rsid w:val="004D2623"/>
    <w:rsid w:val="004D2C6A"/>
    <w:rsid w:val="004F426B"/>
    <w:rsid w:val="00507AE3"/>
    <w:rsid w:val="00507C6B"/>
    <w:rsid w:val="00527FE3"/>
    <w:rsid w:val="0053055C"/>
    <w:rsid w:val="00560DDD"/>
    <w:rsid w:val="00563B26"/>
    <w:rsid w:val="0058777C"/>
    <w:rsid w:val="00590867"/>
    <w:rsid w:val="005B4B07"/>
    <w:rsid w:val="005F101A"/>
    <w:rsid w:val="005F3FCF"/>
    <w:rsid w:val="006275AC"/>
    <w:rsid w:val="006320D0"/>
    <w:rsid w:val="00644F23"/>
    <w:rsid w:val="00645F72"/>
    <w:rsid w:val="00662D5E"/>
    <w:rsid w:val="00671F90"/>
    <w:rsid w:val="0069621C"/>
    <w:rsid w:val="006A67D0"/>
    <w:rsid w:val="006C66FC"/>
    <w:rsid w:val="00707E21"/>
    <w:rsid w:val="00731710"/>
    <w:rsid w:val="00756FE8"/>
    <w:rsid w:val="00782FCC"/>
    <w:rsid w:val="00783FB3"/>
    <w:rsid w:val="00787667"/>
    <w:rsid w:val="00793EA6"/>
    <w:rsid w:val="007944BD"/>
    <w:rsid w:val="007A1EE0"/>
    <w:rsid w:val="007E3057"/>
    <w:rsid w:val="007F1CCA"/>
    <w:rsid w:val="00801472"/>
    <w:rsid w:val="00810734"/>
    <w:rsid w:val="00817F89"/>
    <w:rsid w:val="00822D5A"/>
    <w:rsid w:val="00824D16"/>
    <w:rsid w:val="00841550"/>
    <w:rsid w:val="008460AE"/>
    <w:rsid w:val="00852AC5"/>
    <w:rsid w:val="0085328B"/>
    <w:rsid w:val="00861074"/>
    <w:rsid w:val="0086353C"/>
    <w:rsid w:val="008642F2"/>
    <w:rsid w:val="00877FEB"/>
    <w:rsid w:val="0088784C"/>
    <w:rsid w:val="00887ED3"/>
    <w:rsid w:val="008A0FB1"/>
    <w:rsid w:val="008A5027"/>
    <w:rsid w:val="008A793F"/>
    <w:rsid w:val="008C227B"/>
    <w:rsid w:val="008C4B54"/>
    <w:rsid w:val="008D0C66"/>
    <w:rsid w:val="008E4021"/>
    <w:rsid w:val="009110E9"/>
    <w:rsid w:val="009140EF"/>
    <w:rsid w:val="0092536D"/>
    <w:rsid w:val="00933924"/>
    <w:rsid w:val="0098158F"/>
    <w:rsid w:val="00995556"/>
    <w:rsid w:val="00997152"/>
    <w:rsid w:val="009A0EE9"/>
    <w:rsid w:val="009B2BAB"/>
    <w:rsid w:val="009B7167"/>
    <w:rsid w:val="009C3A11"/>
    <w:rsid w:val="009C5DF7"/>
    <w:rsid w:val="009D5786"/>
    <w:rsid w:val="009D68EA"/>
    <w:rsid w:val="009F4D91"/>
    <w:rsid w:val="00A165B8"/>
    <w:rsid w:val="00A22E08"/>
    <w:rsid w:val="00A2531D"/>
    <w:rsid w:val="00A25B63"/>
    <w:rsid w:val="00A279CA"/>
    <w:rsid w:val="00A3776A"/>
    <w:rsid w:val="00A543AF"/>
    <w:rsid w:val="00A85668"/>
    <w:rsid w:val="00A93910"/>
    <w:rsid w:val="00A968EB"/>
    <w:rsid w:val="00AA54FE"/>
    <w:rsid w:val="00AA7F30"/>
    <w:rsid w:val="00AB2E92"/>
    <w:rsid w:val="00AD005A"/>
    <w:rsid w:val="00AF3AB8"/>
    <w:rsid w:val="00AF7FCB"/>
    <w:rsid w:val="00B22024"/>
    <w:rsid w:val="00B35403"/>
    <w:rsid w:val="00B37BD5"/>
    <w:rsid w:val="00B71CD1"/>
    <w:rsid w:val="00BB4CA6"/>
    <w:rsid w:val="00BC3B57"/>
    <w:rsid w:val="00C517AE"/>
    <w:rsid w:val="00C51D87"/>
    <w:rsid w:val="00C87B7E"/>
    <w:rsid w:val="00CB2935"/>
    <w:rsid w:val="00CD4272"/>
    <w:rsid w:val="00CD66D5"/>
    <w:rsid w:val="00CE224C"/>
    <w:rsid w:val="00CE53DF"/>
    <w:rsid w:val="00CE751D"/>
    <w:rsid w:val="00D0191E"/>
    <w:rsid w:val="00D043EE"/>
    <w:rsid w:val="00D268FF"/>
    <w:rsid w:val="00D44325"/>
    <w:rsid w:val="00D639AD"/>
    <w:rsid w:val="00D676D8"/>
    <w:rsid w:val="00D74EED"/>
    <w:rsid w:val="00D8548D"/>
    <w:rsid w:val="00DD091A"/>
    <w:rsid w:val="00DF362B"/>
    <w:rsid w:val="00E03949"/>
    <w:rsid w:val="00E07D4E"/>
    <w:rsid w:val="00E345CF"/>
    <w:rsid w:val="00E35191"/>
    <w:rsid w:val="00E40D34"/>
    <w:rsid w:val="00E46C2F"/>
    <w:rsid w:val="00E52D05"/>
    <w:rsid w:val="00E56FAB"/>
    <w:rsid w:val="00E62E0B"/>
    <w:rsid w:val="00E91A6A"/>
    <w:rsid w:val="00EB6896"/>
    <w:rsid w:val="00EB7BC2"/>
    <w:rsid w:val="00F019C1"/>
    <w:rsid w:val="00F045B9"/>
    <w:rsid w:val="00F05674"/>
    <w:rsid w:val="00F23D74"/>
    <w:rsid w:val="00F339C4"/>
    <w:rsid w:val="00F42874"/>
    <w:rsid w:val="00F46C08"/>
    <w:rsid w:val="00F56AE3"/>
    <w:rsid w:val="00F61CC0"/>
    <w:rsid w:val="00F63C28"/>
    <w:rsid w:val="00F6778D"/>
    <w:rsid w:val="00F72140"/>
    <w:rsid w:val="00F87BD3"/>
    <w:rsid w:val="00FC04C9"/>
    <w:rsid w:val="00FC0B4F"/>
    <w:rsid w:val="00FC32B7"/>
    <w:rsid w:val="00FD76EA"/>
    <w:rsid w:val="00FE37FF"/>
    <w:rsid w:val="00FE7C56"/>
    <w:rsid w:val="00FF2CB4"/>
    <w:rsid w:val="00FF49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FA56"/>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Style 1,C 1,Гл точки,Normal List,Списък на абзаци,Endnote,Indent,Bullet 3,ПАРАГРАФ,Bullet line"/>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customStyle="1" w:styleId="ListParagraphChar">
    <w:name w:val="List Paragraph Char"/>
    <w:aliases w:val="Style 1 Char,C 1 Char,Гл точки Char,Normal List Char,Списък на абзаци Char,Endnote Char,Indent Char,Bullet 3 Char,ПАРАГРАФ Char,Bullet line Char"/>
    <w:link w:val="ListParagraph"/>
    <w:uiPriority w:val="34"/>
    <w:qFormat/>
    <w:rsid w:val="0037041B"/>
  </w:style>
  <w:style w:type="paragraph" w:customStyle="1" w:styleId="ListParagraph1">
    <w:name w:val="List Paragraph1"/>
    <w:basedOn w:val="Normal"/>
    <w:uiPriority w:val="99"/>
    <w:rsid w:val="00233EF7"/>
    <w:pPr>
      <w:spacing w:before="120" w:after="120" w:line="240" w:lineRule="auto"/>
      <w:ind w:left="720"/>
      <w:contextualSpacing/>
      <w:jc w:val="both"/>
    </w:pPr>
    <w:rPr>
      <w:rFonts w:ascii="Calibri" w:eastAsia="Times New Roman" w:hAnsi="Calibri" w:cs="Times New Roman"/>
      <w:sz w:val="24"/>
      <w:szCs w:val="20"/>
      <w:lang w:val="en-GB" w:eastAsia="en-US"/>
    </w:rPr>
  </w:style>
  <w:style w:type="paragraph" w:customStyle="1" w:styleId="Style3">
    <w:name w:val="Style3"/>
    <w:basedOn w:val="Normal"/>
    <w:uiPriority w:val="99"/>
    <w:rsid w:val="00233EF7"/>
    <w:pPr>
      <w:widowControl w:val="0"/>
      <w:autoSpaceDE w:val="0"/>
      <w:autoSpaceDN w:val="0"/>
      <w:adjustRightInd w:val="0"/>
      <w:spacing w:line="269" w:lineRule="exact"/>
      <w:ind w:firstLine="595"/>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4967A2"/>
    <w:rPr>
      <w:sz w:val="16"/>
      <w:szCs w:val="16"/>
    </w:rPr>
  </w:style>
  <w:style w:type="paragraph" w:styleId="CommentText">
    <w:name w:val="annotation text"/>
    <w:basedOn w:val="Normal"/>
    <w:link w:val="CommentTextChar"/>
    <w:uiPriority w:val="99"/>
    <w:semiHidden/>
    <w:unhideWhenUsed/>
    <w:rsid w:val="004967A2"/>
    <w:pPr>
      <w:spacing w:line="240" w:lineRule="auto"/>
    </w:pPr>
    <w:rPr>
      <w:sz w:val="20"/>
      <w:szCs w:val="20"/>
    </w:rPr>
  </w:style>
  <w:style w:type="character" w:customStyle="1" w:styleId="CommentTextChar">
    <w:name w:val="Comment Text Char"/>
    <w:basedOn w:val="DefaultParagraphFont"/>
    <w:link w:val="CommentText"/>
    <w:uiPriority w:val="99"/>
    <w:semiHidden/>
    <w:rsid w:val="004967A2"/>
    <w:rPr>
      <w:sz w:val="20"/>
      <w:szCs w:val="20"/>
    </w:rPr>
  </w:style>
  <w:style w:type="paragraph" w:styleId="CommentSubject">
    <w:name w:val="annotation subject"/>
    <w:basedOn w:val="CommentText"/>
    <w:next w:val="CommentText"/>
    <w:link w:val="CommentSubjectChar"/>
    <w:uiPriority w:val="99"/>
    <w:semiHidden/>
    <w:unhideWhenUsed/>
    <w:rsid w:val="004967A2"/>
    <w:rPr>
      <w:b/>
      <w:bCs/>
    </w:rPr>
  </w:style>
  <w:style w:type="character" w:customStyle="1" w:styleId="CommentSubjectChar">
    <w:name w:val="Comment Subject Char"/>
    <w:basedOn w:val="CommentTextChar"/>
    <w:link w:val="CommentSubject"/>
    <w:uiPriority w:val="99"/>
    <w:semiHidden/>
    <w:rsid w:val="004967A2"/>
    <w:rPr>
      <w:b/>
      <w:bCs/>
      <w:sz w:val="20"/>
      <w:szCs w:val="20"/>
    </w:rPr>
  </w:style>
  <w:style w:type="paragraph" w:styleId="Revision">
    <w:name w:val="Revision"/>
    <w:hidden/>
    <w:uiPriority w:val="99"/>
    <w:semiHidden/>
    <w:rsid w:val="004967A2"/>
    <w:pPr>
      <w:spacing w:line="240" w:lineRule="auto"/>
    </w:pPr>
  </w:style>
  <w:style w:type="character" w:styleId="Hyperlink">
    <w:name w:val="Hyperlink"/>
    <w:basedOn w:val="DefaultParagraphFont"/>
    <w:uiPriority w:val="99"/>
    <w:unhideWhenUsed/>
    <w:rsid w:val="00040DEC"/>
    <w:rPr>
      <w:color w:val="0000FF" w:themeColor="hyperlink"/>
      <w:u w:val="single"/>
    </w:rPr>
  </w:style>
  <w:style w:type="character" w:customStyle="1" w:styleId="UnresolvedMention1">
    <w:name w:val="Unresolved Mention1"/>
    <w:basedOn w:val="DefaultParagraphFont"/>
    <w:uiPriority w:val="99"/>
    <w:semiHidden/>
    <w:unhideWhenUsed/>
    <w:rsid w:val="00040DEC"/>
    <w:rPr>
      <w:color w:val="605E5C"/>
      <w:shd w:val="clear" w:color="auto" w:fill="E1DFDD"/>
    </w:rPr>
  </w:style>
  <w:style w:type="character" w:styleId="FollowedHyperlink">
    <w:name w:val="FollowedHyperlink"/>
    <w:basedOn w:val="DefaultParagraphFont"/>
    <w:uiPriority w:val="99"/>
    <w:semiHidden/>
    <w:unhideWhenUsed/>
    <w:rsid w:val="00CE53DF"/>
    <w:rPr>
      <w:color w:val="800080" w:themeColor="followedHyperlink"/>
      <w:u w:val="single"/>
    </w:rPr>
  </w:style>
  <w:style w:type="character" w:customStyle="1" w:styleId="labelprepassinfobold">
    <w:name w:val="labelprepassinfobold"/>
    <w:basedOn w:val="DefaultParagraphFont"/>
    <w:rsid w:val="00F72140"/>
  </w:style>
  <w:style w:type="character" w:styleId="UnresolvedMention">
    <w:name w:val="Unresolved Mention"/>
    <w:basedOn w:val="DefaultParagraphFont"/>
    <w:uiPriority w:val="99"/>
    <w:semiHidden/>
    <w:unhideWhenUsed/>
    <w:rsid w:val="003215B0"/>
    <w:rPr>
      <w:color w:val="605E5C"/>
      <w:shd w:val="clear" w:color="auto" w:fill="E1DFDD"/>
    </w:rPr>
  </w:style>
  <w:style w:type="character" w:customStyle="1" w:styleId="jlqj4b">
    <w:name w:val="jlqj4b"/>
    <w:basedOn w:val="DefaultParagraphFont"/>
    <w:rsid w:val="000E7BFB"/>
  </w:style>
  <w:style w:type="character" w:customStyle="1" w:styleId="UnresolvedMention2">
    <w:name w:val="Unresolved Mention2"/>
    <w:basedOn w:val="DefaultParagraphFont"/>
    <w:uiPriority w:val="99"/>
    <w:semiHidden/>
    <w:unhideWhenUsed/>
    <w:rsid w:val="00527FE3"/>
    <w:rPr>
      <w:color w:val="605E5C"/>
      <w:shd w:val="clear" w:color="auto" w:fill="E1DFDD"/>
    </w:rPr>
  </w:style>
  <w:style w:type="paragraph" w:customStyle="1" w:styleId="msonormal0">
    <w:name w:val="msonormal"/>
    <w:basedOn w:val="Normal"/>
    <w:rsid w:val="004B33A8"/>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AA54FE"/>
  </w:style>
  <w:style w:type="character" w:styleId="Emphasis">
    <w:name w:val="Emphasis"/>
    <w:basedOn w:val="DefaultParagraphFont"/>
    <w:uiPriority w:val="20"/>
    <w:qFormat/>
    <w:rsid w:val="00AA54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545376">
      <w:bodyDiv w:val="1"/>
      <w:marLeft w:val="0"/>
      <w:marRight w:val="0"/>
      <w:marTop w:val="0"/>
      <w:marBottom w:val="0"/>
      <w:divBdr>
        <w:top w:val="none" w:sz="0" w:space="0" w:color="auto"/>
        <w:left w:val="none" w:sz="0" w:space="0" w:color="auto"/>
        <w:bottom w:val="none" w:sz="0" w:space="0" w:color="auto"/>
        <w:right w:val="none" w:sz="0" w:space="0" w:color="auto"/>
      </w:divBdr>
    </w:div>
    <w:div w:id="697505426">
      <w:bodyDiv w:val="1"/>
      <w:marLeft w:val="0"/>
      <w:marRight w:val="0"/>
      <w:marTop w:val="0"/>
      <w:marBottom w:val="0"/>
      <w:divBdr>
        <w:top w:val="none" w:sz="0" w:space="0" w:color="auto"/>
        <w:left w:val="none" w:sz="0" w:space="0" w:color="auto"/>
        <w:bottom w:val="none" w:sz="0" w:space="0" w:color="auto"/>
        <w:right w:val="none" w:sz="0" w:space="0" w:color="auto"/>
      </w:divBdr>
    </w:div>
    <w:div w:id="1056589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zop.rail-infra.bg:3737/DocumentList.aspx?SXHmTXofHwCkfKl9g%2fXf2%2b2jUA9GZi7O" TargetMode="External"/><Relationship Id="rId117" Type="http://schemas.openxmlformats.org/officeDocument/2006/relationships/hyperlink" Target="https://zop.rail-infra.bg:3737/DocumentList.aspx?SXHmTXofHwCqF6Xmi28LY5m1gS7nGEkd" TargetMode="External"/><Relationship Id="rId21" Type="http://schemas.openxmlformats.org/officeDocument/2006/relationships/hyperlink" Target="https://zop.rail-infra.bg:3737/DocumentList.aspx?SXHmTXofHwBwkromNcrKf8Y%2f5CsOcY7t" TargetMode="External"/><Relationship Id="rId42" Type="http://schemas.openxmlformats.org/officeDocument/2006/relationships/image" Target="media/image3.png"/><Relationship Id="rId47" Type="http://schemas.openxmlformats.org/officeDocument/2006/relationships/hyperlink" Target="http://rop3-app1.aop.bg:7778/portal/page?_pageid=93,812251&amp;_dad=portal&amp;_schema=PORTAL&amp;url=687474703A2F2F7777772E616F702E62672F63617365322E7068703F6D6F64653D73686F775F6361736526636173655F69643D333830343937" TargetMode="External"/><Relationship Id="rId63"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68" Type="http://schemas.openxmlformats.org/officeDocument/2006/relationships/hyperlink" Target="https://zop.rail-infra.bg:3737/DocumentList.aspx?SXHmTXofHwDaN5bKPjMcXw%3d%3d" TargetMode="External"/><Relationship Id="rId84" Type="http://schemas.openxmlformats.org/officeDocument/2006/relationships/hyperlink" Target="http://rop3-app1.aop.bg:7778/portal/page?_pageid=93,812251&amp;_dad=portal&amp;_schema=PORTAL&amp;url=687474703A2F2F7777772E616F702E62672F63617365322E7068703F6D6F64653D73686F775F6361736526636173655F69643D333635363735" TargetMode="External"/><Relationship Id="rId89" Type="http://schemas.openxmlformats.org/officeDocument/2006/relationships/hyperlink" Target="https://www.aop.bg/ng/form.php?mode=view&amp;class=F02_2014&amp;id=887125" TargetMode="External"/><Relationship Id="rId112"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16" Type="http://schemas.openxmlformats.org/officeDocument/2006/relationships/hyperlink" Target="https://zop.rail-infra.bg:3737/DocumentList.aspx?SXHmTXofHwAfd6iknHV%2b%2bWtJKC9%2bTe8a" TargetMode="External"/><Relationship Id="rId107" Type="http://schemas.openxmlformats.org/officeDocument/2006/relationships/hyperlink" Target="https://zop.rail-infra.bg:3737/DocumentList.aspx?SXHmTXofHwCkfKl9g%2fXf2%2b2jUA9GZi7O" TargetMode="External"/><Relationship Id="rId11" Type="http://schemas.openxmlformats.org/officeDocument/2006/relationships/hyperlink" Target="http://rop3-app1.aop.bg:7778/portal/page?_pageid=93,812251&amp;_dad=portal&amp;_schema=PORTAL&amp;url=687474703A2F2F7777772E616F702E62672F63617365322E7068703F6D6F64653D73686F775F6361736526636173655F69643D333639303937" TargetMode="External"/><Relationship Id="rId32" Type="http://schemas.openxmlformats.org/officeDocument/2006/relationships/hyperlink" Target="https://zop.rail-infra.bg:3737/DocumentList.aspx?SXHmTXofHwCJJJGXZMKpALQNDUBMAcGs" TargetMode="External"/><Relationship Id="rId37" Type="http://schemas.openxmlformats.org/officeDocument/2006/relationships/hyperlink" Target="https://zop.rail-infra.bg:3737/DocumentList.aspx?SXHmTXofHwC32N6pFpEAIgQkKWx9ePAs" TargetMode="External"/><Relationship Id="rId53" Type="http://schemas.openxmlformats.org/officeDocument/2006/relationships/hyperlink" Target="https://www.rail-infra.bg/bg/227" TargetMode="External"/><Relationship Id="rId58" Type="http://schemas.openxmlformats.org/officeDocument/2006/relationships/hyperlink" Target="https://zop.rail-infra.bg:3737/DocumentList.aspx?SXHmTXofHwC32N6pFpEAIgQkKWx9ePAs" TargetMode="External"/><Relationship Id="rId74" Type="http://schemas.openxmlformats.org/officeDocument/2006/relationships/hyperlink" Target="http://rop3-app1.aop.bg:7778/portal/page?_pageid=93,812251&amp;_dad=portal&amp;_schema=PORTAL&amp;url=687474703A2F2F7777772E616F702E62672F63617365322E7068703F6D6F64653D73686F775F6361736526636173655F69643D333630393137" TargetMode="External"/><Relationship Id="rId79" Type="http://schemas.openxmlformats.org/officeDocument/2006/relationships/hyperlink" Target="https://zop.rail-infra.bg:3737/DocumentList.aspx?SXHmTXofHwDqIhJkEUGvIX%2b22dN2u2sL" TargetMode="External"/><Relationship Id="rId102" Type="http://schemas.openxmlformats.org/officeDocument/2006/relationships/hyperlink" Target="https://zop.rail-infra.bg:3737/BuyerProfile/Contract/id_1046/&#1054;&#1055;%204-6369_Redacted.pdf" TargetMode="External"/><Relationship Id="rId5" Type="http://schemas.openxmlformats.org/officeDocument/2006/relationships/footnotes" Target="footnotes.xml"/><Relationship Id="rId90"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95" Type="http://schemas.openxmlformats.org/officeDocument/2006/relationships/hyperlink" Target="https://zop.rail-infra.bg:3737/DocumentList.aspx?SXHmTXofHwCJJJGXZMKpALQNDUBMAcGs" TargetMode="External"/><Relationship Id="rId22"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27"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43" Type="http://schemas.openxmlformats.org/officeDocument/2006/relationships/hyperlink" Target="https://www.nsi.bg/bg/content/2539/%D0%BA%D0%B0%D0%BB%D0%BA%D1%83%D0%BB%D0%B0%D1%82%D0%BE%D1%80-%D0%BD%D0%B0-%D0%B8%D0%BD%D1%84%D0%BB%D0%B0%D1%86%D0%B8%D1%8F%D1%82%D0%B0" TargetMode="External"/><Relationship Id="rId48" Type="http://schemas.openxmlformats.org/officeDocument/2006/relationships/hyperlink" Target="https://www.rail-infra.bg/&#1087;&#1088;&#1086;&#1092;&#1080;&#1083;-&#1085;&#1072;-&#1082;&#1091;&#1087;&#1091;&#1074;&#1072;&#1095;&#1072;/&#1090;&#1077;&#1082;&#1091;&#1097;&#1080;-&#1087;&#1088;&#1086;&#1094;&#1077;&#1076;&#1091;&#1088;&#1080;/?YlvmS1RacnH797zA9WTVFlpL0dmi%2bqX3Z6OXGBhxGmlHuZcK%2buye8e1T%2bYWSFB1j7W8MPEMCQPpRmZU2PFLSLg%3d%3d" TargetMode="External"/><Relationship Id="rId64" Type="http://schemas.openxmlformats.org/officeDocument/2006/relationships/hyperlink" Target="https://zop.rail-infra.bg:3737/DocumentList.aspx?SXHmTXofHwC32N6pFpEAIgQkKWx9ePAs" TargetMode="External"/><Relationship Id="rId69" Type="http://schemas.openxmlformats.org/officeDocument/2006/relationships/hyperlink" Target="http://rop3-app1.aop.bg:7778/portal/page?_pageid=93,812251&amp;_dad=portal&amp;_schema=PORTAL&amp;url=687474703A2F2F7777772E616F702E62672F63617365322E7068703F6D6F64653D73686F775F6361736526636173655F69643D333630393137" TargetMode="External"/><Relationship Id="rId113" Type="http://schemas.openxmlformats.org/officeDocument/2006/relationships/hyperlink" Target="https://zop.rail-infra.bg:3737/DocumentList.aspx?SXHmTXofHwC32N6pFpEAIgQkKWx9ePAs" TargetMode="External"/><Relationship Id="rId118" Type="http://schemas.openxmlformats.org/officeDocument/2006/relationships/fontTable" Target="fontTable.xml"/><Relationship Id="rId80"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85" Type="http://schemas.openxmlformats.org/officeDocument/2006/relationships/hyperlink" Target="https://zop.rail-infra.bg:3737/DocumentList.aspx?SXHmTXofHwCqF6Xmi28LY5m1gS7nGEkd" TargetMode="External"/><Relationship Id="rId12" Type="http://schemas.openxmlformats.org/officeDocument/2006/relationships/hyperlink" Target="https://zop.rail-infra.bg:3737/DocumentList.aspx?SXHmTXofHwDJo9hHYlO2bTb52OkdHNot" TargetMode="External"/><Relationship Id="rId17" Type="http://schemas.openxmlformats.org/officeDocument/2006/relationships/hyperlink" Target="https://www.aop.bg/ng/form.php?mode=view&amp;class=F02_2014&amp;id=887125" TargetMode="External"/><Relationship Id="rId33" Type="http://schemas.openxmlformats.org/officeDocument/2006/relationships/hyperlink" Target="https://www.rail-infra.bg/bg/227" TargetMode="External"/><Relationship Id="rId38"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59" Type="http://schemas.openxmlformats.org/officeDocument/2006/relationships/hyperlink" Target="http://rop3-app1.aop.bg:7778/portal/page?_pageid=93,812251&amp;_dad=portal&amp;_schema=PORTAL&amp;url=687474703A2F2F7777772E616F702E62672F63617365322E7068703F6D6F64653D73686F775F6361736526636173655F69643D333637393136" TargetMode="External"/><Relationship Id="rId103" Type="http://schemas.openxmlformats.org/officeDocument/2006/relationships/hyperlink" Target="https://zop.rail-infra.bg:3737/DocumentList.aspx?SXHmTXofHwCkfKl9g%2fXf2%2b2jUA9GZi7O" TargetMode="External"/><Relationship Id="rId108"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54" Type="http://schemas.openxmlformats.org/officeDocument/2006/relationships/hyperlink" Target="http://www.aop.bg/ng/form.php?mode=view&amp;class=F02_2014&amp;id=887125" TargetMode="External"/><Relationship Id="rId70" Type="http://schemas.openxmlformats.org/officeDocument/2006/relationships/hyperlink" Target="https://zop.rail-infra.bg:3737/BuyerProfile/Contract/id_1046/&#1054;&#1055;%204-6369_Redacted.pdf" TargetMode="External"/><Relationship Id="rId75" Type="http://schemas.openxmlformats.org/officeDocument/2006/relationships/hyperlink" Target="https://zop.rail-infra.bg:3737/DocumentList.aspx?SXHmTXofHwCkfKl9g%2fXf2%2b2jUA9GZi7O" TargetMode="External"/><Relationship Id="rId91" Type="http://schemas.openxmlformats.org/officeDocument/2006/relationships/hyperlink" Target="https://zop.rail-infra.bg:3737/DocumentList.aspx?SXHmTXofHwC32N6pFpEAIgQkKWx9ePAs" TargetMode="External"/><Relationship Id="rId96" Type="http://schemas.openxmlformats.org/officeDocument/2006/relationships/hyperlink" Target="https://zop.rail-infra.bg:3737/DocumentList.aspx?SXHmTXofHwCqsfxh%2fiszyxUMQ%2bJwzbl5"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zop.rail-infra.bg:3737/DocumentList.aspx?SXHmTXofHwCJJJGXZMKpALQNDUBMAcGs" TargetMode="External"/><Relationship Id="rId28" Type="http://schemas.openxmlformats.org/officeDocument/2006/relationships/hyperlink" Target="https://zop.rail-infra.bg:3737/DocumentList.aspx?SXHmTXofHwC32N6pFpEAIgQkKWx9ePAs" TargetMode="External"/><Relationship Id="rId49" Type="http://schemas.openxmlformats.org/officeDocument/2006/relationships/hyperlink" Target="https://zop.rail-infra.bg:3737/DocumentList.aspx?SXHmTXofHwBqGtH41YqUXX2%2btQ5ecRWs" TargetMode="External"/><Relationship Id="rId114"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119" Type="http://schemas.openxmlformats.org/officeDocument/2006/relationships/theme" Target="theme/theme1.xml"/><Relationship Id="rId10" Type="http://schemas.openxmlformats.org/officeDocument/2006/relationships/image" Target="media/image2.jpg"/><Relationship Id="rId31"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44" Type="http://schemas.openxmlformats.org/officeDocument/2006/relationships/hyperlink" Target="https://www.rail-infra.bg/&#1087;&#1088;&#1086;&#1092;&#1080;&#1083;-&#1085;&#1072;-&#1082;&#1091;&#1087;&#1091;&#1074;&#1072;&#1095;&#1072;/&#1090;&#1077;&#1082;&#1091;&#1097;&#1080;-&#1087;&#1088;&#1086;&#1094;&#1077;&#1076;&#1091;&#1088;&#1080;/?YlvmS1RacnH797zA9WTVFlpL0dmi%2bqX3Z6OXGBhxGmlHuZcK%2buye8e1T%2bYWSFB1j7W8MPEMCQPqVUS6PXVlu1g%3d%3d" TargetMode="External"/><Relationship Id="rId52" Type="http://schemas.openxmlformats.org/officeDocument/2006/relationships/hyperlink" Target="https://zop.rail-infra.bg:3737/DocumentList.aspx?SXHmTXofHwDJo9hHYlO2bTb52OkdHNot" TargetMode="External"/><Relationship Id="rId60" Type="http://schemas.openxmlformats.org/officeDocument/2006/relationships/hyperlink" Target="https://zop.rail-infra.bg:3737/DocumentList.aspx?SXHmTXofHwBwkromNcrKf8Y%2f5CsOcY7t" TargetMode="External"/><Relationship Id="rId65"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73" Type="http://schemas.openxmlformats.org/officeDocument/2006/relationships/hyperlink" Target="https://zop.rail-infra.bg:3737/DocumentList.aspx?SXHmTXofHwC32N6pFpEAIgQkKWx9ePAs" TargetMode="External"/><Relationship Id="rId78" Type="http://schemas.openxmlformats.org/officeDocument/2006/relationships/hyperlink" Target="http://rop3-app1.aop.bg:7778/portal/page?_pageid=93,812251&amp;_dad=portal&amp;_schema=PORTAL&amp;url=687474703A2F2F7777772E616F702E62672F63617365322E7068703F6D6F64653D73686F775F6361736526636173655F69643D333538333033" TargetMode="External"/><Relationship Id="rId81" Type="http://schemas.openxmlformats.org/officeDocument/2006/relationships/hyperlink" Target="https://zop.rail-infra.bg:3737/DocumentList.aspx?SXHmTXofHwC32N6pFpEAIgQkKWx9ePAs" TargetMode="External"/><Relationship Id="rId86" Type="http://schemas.openxmlformats.org/officeDocument/2006/relationships/hyperlink" Target="https://zop.rail-infra.bg:3737/DocumentList.aspx?SXHmTXofHwBgMuvjQYvwEstxlvhvw9KG" TargetMode="External"/><Relationship Id="rId94"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99" Type="http://schemas.openxmlformats.org/officeDocument/2006/relationships/hyperlink" Target="https://www.aop.bg/case2.php?mode=show_case&amp;case_id=277367" TargetMode="External"/><Relationship Id="rId101" Type="http://schemas.openxmlformats.org/officeDocument/2006/relationships/hyperlink" Target="https://www.aop.bg/case2.php?mode=show_case&amp;case_id=87493"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rop3-app1.aop.bg:7778/portal/page?_pageid=93,812251&amp;_dad=portal&amp;_schema=PORTAL&amp;url=687474703A2F2F7777772E616F702E62672F63617365322E7068703F6D6F64653D73686F775F6361736526636173655F69643D333437353538" TargetMode="External"/><Relationship Id="rId18"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39" Type="http://schemas.openxmlformats.org/officeDocument/2006/relationships/hyperlink" Target="https://zop.rail-infra.bg:3737/DocumentList.aspx?SXHmTXofHwCJJJGXZMKpALQNDUBMAcGs" TargetMode="External"/><Relationship Id="rId109" Type="http://schemas.openxmlformats.org/officeDocument/2006/relationships/hyperlink" Target="https://zop.rail-infra.bg:3737/DocumentList.aspx?SXHmTXofHwCJJJGXZMKpALQNDUBMAcGs" TargetMode="External"/><Relationship Id="rId34" Type="http://schemas.openxmlformats.org/officeDocument/2006/relationships/hyperlink" Target="http://rop3-app1.aop.bg:7778/portal/page?_pageid=93,812251&amp;_dad=portal&amp;_schema=PORTAL&amp;url=687474703A2F2F7777772E616F702E62672F63617365322E7068703F6D6F64653D73686F775F6361736526636173655F69643D333538333033" TargetMode="External"/><Relationship Id="rId50" Type="http://schemas.openxmlformats.org/officeDocument/2006/relationships/hyperlink" Target="https://www.rail-infra.bg/&#1087;&#1088;&#1086;&#1092;&#1080;&#1083;-&#1085;&#1072;-&#1082;&#1091;&#1087;&#1091;&#1074;&#1072;&#1095;&#1072;/&#1090;&#1077;&#1082;&#1091;&#1097;&#1080;-&#1087;&#1088;&#1086;&#1094;&#1077;&#1076;&#1091;&#1088;&#1080;/?YlvmS1RacnH797zA9WTVFlpL0dmi%2bqX3Z6OXGBhxGmlHuZcK%2buye8e1T%2bYWSFB1j7W8MPEMCQPptlHL8UxqJ2A%3d%3d" TargetMode="External"/><Relationship Id="rId55" Type="http://schemas.openxmlformats.org/officeDocument/2006/relationships/hyperlink" Target="https://zop.rail-infra.bg:3737/DocumentList.aspx?SXHmTXofHwAfd6iknHV%2b%2bWtJKC9%2bTe8a" TargetMode="External"/><Relationship Id="rId76"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97" Type="http://schemas.openxmlformats.org/officeDocument/2006/relationships/hyperlink" Target="https://www.aop.bg/case2.php?mode=show_case&amp;case_id=277367" TargetMode="External"/><Relationship Id="rId104"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7" Type="http://schemas.openxmlformats.org/officeDocument/2006/relationships/hyperlink" Target="https://eur-lex.europa.eu/legal-content/EN/TXT/?qid=1519999459620&amp;uri=CELEX:32016L0797" TargetMode="External"/><Relationship Id="rId71" Type="http://schemas.openxmlformats.org/officeDocument/2006/relationships/hyperlink" Target="https://zop.rail-infra.bg:3737/DocumentList.aspx?SXHmTXofHwCkfKl9g%2fXf2%2b2jUA9GZi7O" TargetMode="External"/><Relationship Id="rId92" Type="http://schemas.openxmlformats.org/officeDocument/2006/relationships/hyperlink" Target="http://rop3-app1.aop.bg:7778/portal/page?_pageid=93,812251&amp;_dad=portal&amp;_schema=PORTAL&amp;url=687474703A2F2F7777772E616F702E62672F63617365322E7068703F6D6F64653D73686F775F6361736526636173655F69643D333637393136" TargetMode="External"/><Relationship Id="rId2" Type="http://schemas.openxmlformats.org/officeDocument/2006/relationships/styles" Target="styles.xml"/><Relationship Id="rId29" Type="http://schemas.openxmlformats.org/officeDocument/2006/relationships/hyperlink" Target="http://rop3-app1.aop.bg:7778/portal/page?_pageid=93,812251&amp;_dad=portal&amp;_schema=PORTAL&amp;url=687474703A2F2F7777772E616F702E62672F63617365322E7068703F6D6F64653D73686F775F6361736526636173655F69643D333630393137" TargetMode="External"/><Relationship Id="rId24" Type="http://schemas.openxmlformats.org/officeDocument/2006/relationships/hyperlink" Target="http://rop3-app1.aop.bg:7778/portal/page?_pageid=93,812251&amp;_dad=portal&amp;_schema=PORTAL&amp;url=687474703A2F2F7777772E616F702E62672F63617365322E7068703F6D6F64653D73686F775F6361736526636173655F69643D333630393137" TargetMode="External"/><Relationship Id="rId40" Type="http://schemas.openxmlformats.org/officeDocument/2006/relationships/hyperlink" Target="http://rop3-app1.aop.bg:7778/portal/page?_pageid=93,812251&amp;_dad=portal&amp;_schema=PORTAL&amp;url=687474703A2F2F7777772E616F702E62672F63617365322E7068703F6D6F64653D73686F775F6361736526636173655F69643D333635363735" TargetMode="External"/><Relationship Id="rId45" Type="http://schemas.openxmlformats.org/officeDocument/2006/relationships/hyperlink" Target="http://rop3-app1.aop.bg:7778/portal/page?_pageid=93,812251&amp;_dad=portal&amp;_schema=PORTAL&amp;url=687474703A2F2F7777772E616F702E62672F63617365322E7068703F6D6F64653D73686F775F6361736526636173655F69643D333830343937" TargetMode="External"/><Relationship Id="rId66" Type="http://schemas.openxmlformats.org/officeDocument/2006/relationships/hyperlink" Target="https://zop.rail-infra.bg:3737/DocumentList.aspx?SXHmTXofHwCJJJGXZMKpALQNDUBMAcGs" TargetMode="External"/><Relationship Id="rId87" Type="http://schemas.openxmlformats.org/officeDocument/2006/relationships/hyperlink" Target="http://www.aop.bg/ng/form.php?mode=view&amp;class=F02_2014&amp;id=887125" TargetMode="External"/><Relationship Id="rId110" Type="http://schemas.openxmlformats.org/officeDocument/2006/relationships/hyperlink" Target="http://rop3-app1.aop.bg:7778/portal/page?_pageid=93,812251&amp;_dad=portal&amp;_schema=PORTAL&amp;url=687474703A2F2F7777772E616F702E62672F63617365322E7068703F6D6F64653D73686F775F6361736526636173655F69643D333538333033" TargetMode="External"/><Relationship Id="rId115" Type="http://schemas.openxmlformats.org/officeDocument/2006/relationships/hyperlink" Target="https://zop.rail-infra.bg:3737/DocumentList.aspx?SXHmTXofHwCJJJGXZMKpALQNDUBMAcGs" TargetMode="External"/><Relationship Id="rId61" Type="http://schemas.openxmlformats.org/officeDocument/2006/relationships/hyperlink" Target="http://rop3-app1.aop.bg:7778/portal/page?_pageid=93,812251&amp;_dad=portal&amp;_schema=PORTAL&amp;url=687474703A2F2F7777772E616F702E62672F63617365322E7068703F6D6F64653D73686F775F6361736526636173655F69643D333736343031" TargetMode="External"/><Relationship Id="rId82"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19" Type="http://schemas.openxmlformats.org/officeDocument/2006/relationships/hyperlink" Target="https://zop.rail-infra.bg:3737/DocumentList.aspx?SXHmTXofHwC32N6pFpEAIgQkKWx9ePAs" TargetMode="External"/><Relationship Id="rId14" Type="http://schemas.openxmlformats.org/officeDocument/2006/relationships/hyperlink" Target="https://zop.rail-infra.bg:3737/DocumentList.aspx?SXHmTXofHwDBWTZ9ZC5qsxoiZ%2fEge%2fT%2f" TargetMode="External"/><Relationship Id="rId30" Type="http://schemas.openxmlformats.org/officeDocument/2006/relationships/hyperlink" Target="https://zop.rail-infra.bg:3737/DocumentList.aspx?SXHmTXofHwCkfKl9g%2fXf2%2b2jUA9GZi7O" TargetMode="External"/><Relationship Id="rId35" Type="http://schemas.openxmlformats.org/officeDocument/2006/relationships/hyperlink" Target="https://zop.rail-infra.bg:3737/DocumentList.aspx?SXHmTXofHwDqIhJkEUGvIX%2b22dN2u2sL" TargetMode="External"/><Relationship Id="rId56" Type="http://schemas.openxmlformats.org/officeDocument/2006/relationships/hyperlink" Target="https://www.aop.bg/ng/form.php?mode=view&amp;class=F02_2014&amp;id=887125" TargetMode="External"/><Relationship Id="rId77" Type="http://schemas.openxmlformats.org/officeDocument/2006/relationships/hyperlink" Target="https://zop.rail-infra.bg:3737/DocumentList.aspx?SXHmTXofHwCJJJGXZMKpALQNDUBMAcGs" TargetMode="External"/><Relationship Id="rId100" Type="http://schemas.openxmlformats.org/officeDocument/2006/relationships/hyperlink" Target="https://zop.rail-infra.bg:3737/DocumentList.aspx?SXHmTXofHwBgMuvjQYvwEstxlvhvw9KG" TargetMode="External"/><Relationship Id="rId105" Type="http://schemas.openxmlformats.org/officeDocument/2006/relationships/hyperlink" Target="https://zop.rail-infra.bg:3737/DocumentList.aspx?SXHmTXofHwC32N6pFpEAIgQkKWx9ePAs" TargetMode="External"/><Relationship Id="rId8" Type="http://schemas.openxmlformats.org/officeDocument/2006/relationships/image" Target="media/image1.jpeg"/><Relationship Id="rId51" Type="http://schemas.openxmlformats.org/officeDocument/2006/relationships/hyperlink" Target="http://rop3-app1.aop.bg:7778/portal/page?_pageid=93,812251&amp;_dad=portal&amp;_schema=PORTAL&amp;url=687474703A2F2F7777772E616F702E62672F63617365322E7068703F6D6F64653D73686F775F6361736526636173655F69643D333639303937" TargetMode="External"/><Relationship Id="rId72"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93" Type="http://schemas.openxmlformats.org/officeDocument/2006/relationships/hyperlink" Target="https://zop.rail-infra.bg:3737/DocumentList.aspx?SXHmTXofHwBwkromNcrKf8Y%2f5CsOcY7t" TargetMode="External"/><Relationship Id="rId98" Type="http://schemas.openxmlformats.org/officeDocument/2006/relationships/hyperlink" Target="https://zop.rail-infra.bg:3737/DocumentList.aspx?SXHmTXofHwBIIDpqy%2f8cpERkz9eM%2fw5u" TargetMode="External"/><Relationship Id="rId3" Type="http://schemas.openxmlformats.org/officeDocument/2006/relationships/settings" Target="settings.xml"/><Relationship Id="rId25" Type="http://schemas.openxmlformats.org/officeDocument/2006/relationships/hyperlink" Target="https://zop.rail-infra.bg:3737/BuyerProfile/Contract/id_1046/&#1054;&#1055;%204-6369_Redacted.pdf" TargetMode="External"/><Relationship Id="rId46" Type="http://schemas.openxmlformats.org/officeDocument/2006/relationships/hyperlink" Target="https://www.rail-infra.bg/&#1087;&#1088;&#1086;&#1092;&#1080;&#1083;-&#1085;&#1072;-&#1082;&#1091;&#1087;&#1091;&#1074;&#1072;&#1095;&#1072;/&#1090;&#1077;&#1082;&#1091;&#1097;&#1080;-&#1087;&#1088;&#1086;&#1094;&#1077;&#1076;&#1091;&#1088;&#1080;/?YlvmS1RacnH797zA9WTVFlpL0dmi%2bqX3Z6OXGBhxGmlHuZcK%2buye8e1T%2bYWSFB1j7W8MPEMCQPpRmZU2PFLSLg%3d%3d" TargetMode="External"/><Relationship Id="rId67" Type="http://schemas.openxmlformats.org/officeDocument/2006/relationships/hyperlink" Target="http://rop3-app1.aop.bg:7778/portal/page?_pageid=93,812251&amp;_dad=portal&amp;_schema=PORTAL&amp;url=687474703A2F2F7777772E616F702E62672F63617365322E7068703F6D6F64653D73686F775F6361736526636173655F69643D333432363039" TargetMode="External"/><Relationship Id="rId116" Type="http://schemas.openxmlformats.org/officeDocument/2006/relationships/hyperlink" Target="http://rop3-app1.aop.bg:7778/portal/page?_pageid=93,812251&amp;_dad=portal&amp;_schema=PORTAL&amp;url=687474703A2F2F7777772E616F702E62672F63617365322E7068703F6D6F64653D73686F775F6361736526636173655F69643D333635363735" TargetMode="External"/><Relationship Id="rId20" Type="http://schemas.openxmlformats.org/officeDocument/2006/relationships/hyperlink" Target="http://rop3-app1.aop.bg:7778/portal/page?_pageid=93,812251&amp;_dad=portal&amp;_schema=PORTAL&amp;url=687474703A2F2F7777772E616F702E62672F63617365322E7068703F6D6F64653D73686F775F6361736526636173655F69643D333637393136" TargetMode="External"/><Relationship Id="rId41" Type="http://schemas.openxmlformats.org/officeDocument/2006/relationships/hyperlink" Target="https://zop.rail-infra.bg:3737/DocumentList.aspx?SXHmTXofHwCqF6Xmi28LY5m1gS7nGEkd" TargetMode="External"/><Relationship Id="rId62" Type="http://schemas.openxmlformats.org/officeDocument/2006/relationships/hyperlink" Target="https://zop.rail-infra.bg:3737/DocumentList.aspx?SXHmTXofHwCJJJGXZMKpALQNDUBMAcGs" TargetMode="External"/><Relationship Id="rId83" Type="http://schemas.openxmlformats.org/officeDocument/2006/relationships/hyperlink" Target="https://zop.rail-infra.bg:3737/DocumentList.aspx?SXHmTXofHwCJJJGXZMKpALQNDUBMAcGs" TargetMode="External"/><Relationship Id="rId88" Type="http://schemas.openxmlformats.org/officeDocument/2006/relationships/hyperlink" Target="https://zop.rail-infra.bg:3737/DocumentList.aspx?SXHmTXofHwAfd6iknHV%2b%2bWtJKC9%2bTe8a" TargetMode="External"/><Relationship Id="rId111" Type="http://schemas.openxmlformats.org/officeDocument/2006/relationships/hyperlink" Target="https://zop.rail-infra.bg:3737/DocumentList.aspx?SXHmTXofHwDqIhJkEUGvIX%2b22dN2u2sL" TargetMode="External"/><Relationship Id="rId15" Type="http://schemas.openxmlformats.org/officeDocument/2006/relationships/hyperlink" Target="http://www.aop.bg/ng/form.php?mode=view&amp;class=F02_2014&amp;id=887125" TargetMode="External"/><Relationship Id="rId36"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57" Type="http://schemas.openxmlformats.org/officeDocument/2006/relationships/hyperlink" Target="http://rop3-app1.aop.bg:7778/portal/page?_pageid=93,812251&amp;_dad=portal&amp;_schema=PORTAL&amp;url=687474703A2F2F7777772E616F702E62672F63617365322E7068703F6D6F64653D73686F775F6361736526636173655F69643D333635303832" TargetMode="External"/><Relationship Id="rId106" Type="http://schemas.openxmlformats.org/officeDocument/2006/relationships/hyperlink" Target="http://rop3-app1.aop.bg:7778/portal/page?_pageid=93,812251&amp;_dad=portal&amp;_schema=PORTAL&amp;url=687474703A2F2F7777772E616F702E62672F63617365322E7068703F6D6F64653D73686F775F6361736526636173655F69643D3336303931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21800</Words>
  <Characters>124261</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145770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Plamen Davidov Solomonov</cp:lastModifiedBy>
  <cp:revision>4</cp:revision>
  <cp:lastPrinted>2020-08-12T08:32:00Z</cp:lastPrinted>
  <dcterms:created xsi:type="dcterms:W3CDTF">2021-03-10T15:20:00Z</dcterms:created>
  <dcterms:modified xsi:type="dcterms:W3CDTF">2021-03-22T14:42:00Z</dcterms:modified>
</cp:coreProperties>
</file>