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3ED" w:rsidRDefault="0069712A">
      <w:pPr>
        <w:pStyle w:val="Title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sz w:val="24"/>
          <w:szCs w:val="24"/>
        </w:rPr>
        <w:t>Бланка за кандидатстване на проект по Инструмента за възстановяване и устойчивост</w:t>
      </w:r>
    </w:p>
    <w:p w:rsidR="00CD33ED" w:rsidRDefault="00CD33E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0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на проекта.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 регионален административен капацитет за модернизация на предприятията на социалната и солидарна икономика и въвеждане на индивидуализирани софтуерни, хардуерни, мрежови и пласмент решения.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Описание на проекта (цели, основни дейности).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Основни предизвикателства: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Кризата, социална и икономическа, породена от пандемията предизвиква трансформация, както по отношение на икономическата конкурентоспособност – засилване на дистанционните форми на търговия, производство, пласмент и маркетинг, 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 и по отношение на обществените отношения – социално дистанциране, повишаване рисковете пред изключване на уязвимите лица, особено в по-слабо развитите региони, промяна на фундаменталните за европейския социален модел ценности.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Създалата се епидемиологич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обстановка наруши естествения ритъм на работа на субектите на социалната и солидарна икономика, което доведе до затруднения в тяхното функциониране, както и до невъзможност редица от тях да преодолеят дефицити, вкл. и свързани с липсата на подходящи циф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рови умения, но също така и задължителни за трансформиращите се пазари маркетинг и пласмент компетенции.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Предприятията на социалната и солидарна икономика са предприятия, които акцентират върху интегрирането на ценности и социални цели в предприемаческите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 модели. Това води до тяхното разграничение от конвенционалните предприятия и ограничава възможностите им да придобиват пазарен дял без наличието на материална и/или логистична подкрепа от страна на държавата, общините или социално-отговорните корпоратив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 субекти. 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България чрез Закона за предприятията на социалната и солидарна икономика (ЗПССИ) се въведе подход за подкрепа, който стъпва върху създаването на условия за развитие на предприемаческия елемент и иновациите без да се въвеждат широко-разпространените в 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уги страни компоненти на подкрепа от националните бюджети (диференцирано ДДС, запазен дял от обществените поръчки, субсидии и др). Диференцирането на приходите на тези предприятия е пазарно-конструиран, обоснован и насочен към създаване на устойчивост на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оделите отвъд публичната подкрепа, подход. Изграждането на мрежи, бизнес и социални партньорства и провеждането на съвместни инициативи между предприятията на социалната и солидарна икономика, даващи работа на уязвими лица или инвестиращи печалбата си в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циални цели, и местните власти и корпоративен/конвенционален сектор се ограничава от два дефицитни компонента: слаба децентрализация на административния капацитет и слаба цифровизация на производствените процеси или предоставянето на услуги от страна на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мите предприятия. 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фона на пандемията се открои основен дефицит в политиката по социална и солидарната икономика - нейната слаба регионална застъпеност и липса на административен капацитет по места, който адекватно да отговори на потребностите на предпр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иятията от социалната и солидарна икономика.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Развитието на регионалните аспекти на политиката и вземането на адекватни регионални решения се оказва от ключова важност за осъществяване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индивидуализиран дигитален преход. Това позволява подборът на софтуер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ните, хардуерните решения, свързани и с пласмента на стоките и услугите да бъде съобразен със спецификите на развитие в отделните райони на планиране, с тези на отделните общности и с тези на търсенето и предлагането. 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база на горепосоченото могат да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ъдат откроени следните дефицити: </w:t>
            </w:r>
          </w:p>
          <w:p w:rsidR="00CD33ED" w:rsidRDefault="0069712A">
            <w:pPr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слаба регионална застъпеност на политиката по социална и солидарна икономика; </w:t>
            </w:r>
          </w:p>
          <w:p w:rsidR="00CD33ED" w:rsidRDefault="0069712A">
            <w:pPr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техническа изостаналост на процесите по производство на стоки и услуги в предприятията, дължащо се на хибридния им социално-икономически модел;</w:t>
            </w:r>
          </w:p>
          <w:p w:rsidR="00CD33ED" w:rsidRDefault="0069712A">
            <w:pPr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намалена пригодност за заетост на наетите в предприятията на социалната и солидарна икономика; </w:t>
            </w:r>
          </w:p>
          <w:p w:rsidR="00CD33ED" w:rsidRDefault="0069712A">
            <w:pPr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ограничени възможности за социално приобщаване чрез обучения; </w:t>
            </w:r>
          </w:p>
          <w:p w:rsidR="00CD33ED" w:rsidRDefault="0069712A">
            <w:pPr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слаба разпознаваемост, водеща до липса на стратегически партньорства и инвестиции; </w:t>
            </w:r>
          </w:p>
          <w:p w:rsidR="00CD33ED" w:rsidRDefault="0069712A">
            <w:pPr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слаби координационни връзки на регионално равнище, възпрепятстващи взаимопомощта и организирането в мрежи. 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Непостигането на основните цели, а именно развитие на регионален административен капацитет, създаване на мрежи и въвеждането на дигитални и хардуер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 решения в предприемаческите модели ще доведе до допълнително задълбочаване на дефицитите, свързани с пригодността за заетост и социално приобщаване на работещи в тях, голяма част от които са лица от уязвими групи. Това допълнително ще намали конкурентос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пособността на предприятията на социалната и солидарна икономика, ще затрудни достъпът им до адекватни на потребностите им ресурси.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Цел на проектното предложение 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Целта на проектното предложение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развитие на регионален подход на политиката по социална и солидарна икономика и създаване на фокус-точки, с цел модернизиране на предприятията на социалната  и солидарна икономика.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Проектното предложение отговаря на предложението на ЕК за създаване на Ев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роепйски дигитално иновационни хъбове – в подкрепа на дигитализацията на предприятията.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реализацията на проектното предложение, фокус-точките имат функции по: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Насърчаване, промотиране, консултиране и съдействие за дигитализацията на процесите на рабо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 на субектите на социалната и солидарна икономика;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Подпомагане въвеждането на индивидуализирани дигитални (софтуерни/хардуерни) решения в предприемаческите модели;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Изграждане на бизнес и социални мрежи с местната власт, академичните общности, конвенц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ионалния бизнес, с други субекти на социалната и солидарна икономика с цел повишаване видимостта на социалната и солидарна икономика и обществените ползи от нея.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Подкрепа за регионална конкурентоспособност на социалната икономика в изграждането на стабил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 взаимоотношения между пазарните участници, в подкрепа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предприемаческия дух;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Oказване на техническа помощ, логистична и комуникационна подкрепа за изграждането на мрежи от предприятия за производството и разпространението на един продукт, които ще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одпомагат и развитието на иновации.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Социалната и солидарна икономика и социалните предприятия имат доказана роля за предотвратяване на социалноикономически последици от липсата на заетост и социално включване, особено на лица от уязвими групи.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политическия дневен ред на европейско и национално равнище те се разглеждат като ключов работодател на лица от уязвими групи и  имат решаваща роля за тяхната интеграцията на пазара на труда и предоставянето им на  умения. Те имат важно значение и в борба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 с COVID-19 и възстановяването на икономиките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данни на НСИ, по статистически райони (NUTS2), разпространението на субектите на социалната и солидарна икономика, съгласно Закона за предприятията на социалната и солидарна икономика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 както следва:  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Style w:val="a1"/>
              <w:tblW w:w="5240" w:type="dxa"/>
              <w:tblLayout w:type="fixed"/>
              <w:tblLook w:val="0400" w:firstRow="0" w:lastRow="0" w:firstColumn="0" w:lastColumn="0" w:noHBand="0" w:noVBand="1"/>
            </w:tblPr>
            <w:tblGrid>
              <w:gridCol w:w="693"/>
              <w:gridCol w:w="2507"/>
              <w:gridCol w:w="1099"/>
              <w:gridCol w:w="941"/>
            </w:tblGrid>
            <w:tr w:rsidR="00CD33ED">
              <w:trPr>
                <w:trHeight w:val="435"/>
              </w:trPr>
              <w:tc>
                <w:tcPr>
                  <w:tcW w:w="320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D33ED" w:rsidRDefault="006971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Статистически райони (NUTS2)</w:t>
                  </w:r>
                </w:p>
              </w:tc>
              <w:tc>
                <w:tcPr>
                  <w:tcW w:w="204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D33ED" w:rsidRDefault="006971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2018 г.</w:t>
                  </w:r>
                </w:p>
              </w:tc>
            </w:tr>
            <w:tr w:rsidR="00CD33ED">
              <w:trPr>
                <w:trHeight w:val="420"/>
              </w:trPr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D33ED" w:rsidRDefault="006971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D33ED" w:rsidRDefault="006971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Име</w:t>
                  </w:r>
                </w:p>
              </w:tc>
              <w:tc>
                <w:tcPr>
                  <w:tcW w:w="204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D33ED" w:rsidRDefault="006971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Брой ССИ</w:t>
                  </w:r>
                </w:p>
              </w:tc>
            </w:tr>
            <w:tr w:rsidR="00CD33ED">
              <w:trPr>
                <w:trHeight w:val="210"/>
              </w:trPr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6971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BG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6971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ОБЩО</w:t>
                  </w:r>
                </w:p>
              </w:tc>
              <w:tc>
                <w:tcPr>
                  <w:tcW w:w="1099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69712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12077</w:t>
                  </w:r>
                </w:p>
              </w:tc>
              <w:tc>
                <w:tcPr>
                  <w:tcW w:w="941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CD33E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D33ED">
              <w:trPr>
                <w:trHeight w:val="210"/>
              </w:trPr>
              <w:tc>
                <w:tcPr>
                  <w:tcW w:w="69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6971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BG31</w:t>
                  </w:r>
                </w:p>
              </w:tc>
              <w:tc>
                <w:tcPr>
                  <w:tcW w:w="25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6971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Северозападен</w:t>
                  </w:r>
                </w:p>
              </w:tc>
              <w:tc>
                <w:tcPr>
                  <w:tcW w:w="1099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69712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1224</w:t>
                  </w:r>
                </w:p>
              </w:tc>
              <w:tc>
                <w:tcPr>
                  <w:tcW w:w="941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CD33E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D33ED">
              <w:trPr>
                <w:trHeight w:val="210"/>
              </w:trPr>
              <w:tc>
                <w:tcPr>
                  <w:tcW w:w="69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6971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BG32</w:t>
                  </w:r>
                </w:p>
              </w:tc>
              <w:tc>
                <w:tcPr>
                  <w:tcW w:w="25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6971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Северен централен</w:t>
                  </w:r>
                </w:p>
              </w:tc>
              <w:tc>
                <w:tcPr>
                  <w:tcW w:w="1099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69712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1628</w:t>
                  </w:r>
                </w:p>
              </w:tc>
              <w:tc>
                <w:tcPr>
                  <w:tcW w:w="941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CD33E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D33ED">
              <w:trPr>
                <w:trHeight w:val="210"/>
              </w:trPr>
              <w:tc>
                <w:tcPr>
                  <w:tcW w:w="69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6971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BG33</w:t>
                  </w:r>
                </w:p>
              </w:tc>
              <w:tc>
                <w:tcPr>
                  <w:tcW w:w="25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6971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Североизточен</w:t>
                  </w:r>
                </w:p>
              </w:tc>
              <w:tc>
                <w:tcPr>
                  <w:tcW w:w="1099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69712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1658</w:t>
                  </w:r>
                </w:p>
              </w:tc>
              <w:tc>
                <w:tcPr>
                  <w:tcW w:w="941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CD33E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D33ED">
              <w:trPr>
                <w:trHeight w:val="210"/>
              </w:trPr>
              <w:tc>
                <w:tcPr>
                  <w:tcW w:w="69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6971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BG34</w:t>
                  </w:r>
                </w:p>
              </w:tc>
              <w:tc>
                <w:tcPr>
                  <w:tcW w:w="25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6971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Югоизточен</w:t>
                  </w:r>
                </w:p>
              </w:tc>
              <w:tc>
                <w:tcPr>
                  <w:tcW w:w="1099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69712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1678</w:t>
                  </w:r>
                </w:p>
              </w:tc>
              <w:tc>
                <w:tcPr>
                  <w:tcW w:w="941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CD33E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D33ED">
              <w:trPr>
                <w:trHeight w:val="210"/>
              </w:trPr>
              <w:tc>
                <w:tcPr>
                  <w:tcW w:w="69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6971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BG41</w:t>
                  </w:r>
                </w:p>
              </w:tc>
              <w:tc>
                <w:tcPr>
                  <w:tcW w:w="25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6971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Югозападен</w:t>
                  </w:r>
                </w:p>
              </w:tc>
              <w:tc>
                <w:tcPr>
                  <w:tcW w:w="1099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69712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3870</w:t>
                  </w:r>
                </w:p>
              </w:tc>
              <w:tc>
                <w:tcPr>
                  <w:tcW w:w="941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CD33E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D33ED">
              <w:trPr>
                <w:trHeight w:val="210"/>
              </w:trPr>
              <w:tc>
                <w:tcPr>
                  <w:tcW w:w="69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6971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BG42</w:t>
                  </w:r>
                </w:p>
              </w:tc>
              <w:tc>
                <w:tcPr>
                  <w:tcW w:w="25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6971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Южен централен</w:t>
                  </w:r>
                </w:p>
              </w:tc>
              <w:tc>
                <w:tcPr>
                  <w:tcW w:w="1099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69712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941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CD33ED" w:rsidRDefault="00CD33E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2018 г. делът на добавената им стойност към БВП на страната е по-малък от 1%, и показва неравномерно разпространение в регионите на страната. Това неравномерно разположение се дължи на различните модели на специализация, особено в тези региони, в които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стопанската дейност зависи от прекия контакт с потребителите.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2019 г., по данни на НСИ, техният общ брой е: 1972 кооперации, 10 302 неправителствени организации, регистрирани в обществена полза. 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Регистъра на социалните предприятия към МТСП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3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към 31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кември 2020 г. са вписани 26 социални предприятия, а в Регистъра на специализираните предприятия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кооперации на и за хора с увреждания  към Агенцията за хората с увреждания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4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- 222 вписани предприятия. 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Режимите на вписване в посочените регистри са правно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регламентирани, съобразно определени законови изисквания. Наеманото на лица от уязвими групи на пазара на труда е едно от изискванията за вписване и в двата регистъра, като общото между тях е възможността за наемане на хора с трайни увреждания. В Регистъра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социалните предприятия се вписват такива, които могат да наемат и лица от общо 12 на брой уязвими групи, включително и хора с трайни увреждания. На база предвиденото в правната рамка периодично се осъществява мониторинг. 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Към момента политиката се пров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ежда централизирано чрез Национални планове за действие, основаващи се на национална концепция в тази област. Единственият регионален аспект на провежданата национална политика са организираните със съдействието на МТСП регионални базари и презентационни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ъбития. Въвеждането на нов регионален подход, основаващ се на идентифициране на конкретни икономически дейности, социална добавена стойност и конкурентни дефицити на субектите на социалната и солидарна икономика по места ще позволи ограничаване на спорадич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ните ефекти, ще подобри средата, ще осигури видимост сред потенциалните партньори и потребители, трайност на пазарното присъствие и устойчиво социално въздействие. Моделиране на регионални фокус точки ще видоизмени/ реформира/допълни цялостната екосистема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политиката за развитие на предприемачеството и неговото интегриране в съвременните процеси, свързани с дигитализация и екологично въздействие.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Анализите показват, наличие на „гнезда” от бедност и социално изключване, регионални диспропорции на пазара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труда, ограничен достъп до услуги и възможности за заетост.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липса на действия по реформиране на политиката, лицата заети в предприятията на социалната и солидарна икономиса (над 25 000 лица), ще бъдат изложени на риск от социално изключване. Голяма 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от тях са със силно изразена уязвимост по отношение на своята интеграция. През 2019 г. в риск от бедност са 22,6% от населението (за сравнение през 1918 г., 22,0% от населението са в риск от бедност)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 2019 се наблюдава  нарастване на неравенството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разпределение на доходите, коефициентът на Джини нараства от 39,6 през 2018 г. до 40,8 през 2019 г. Другият измерител на неравенството отношението между доходите на 20% най-богати и най-бедни домакинства нараства от 7,7% през 2018 г. на 8,1% през 2019 г.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регионален аспект се отчита спад на заетостта във всички региони. В сравнение с деветте месеца на 2019 г., през 2020 г. заетите на възраст 15-64 г. намаляват най-съществено в Югозападния регион (с 41.7 хил.), Южния централен (25.3 хил.) и Югоизточния (с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 хил.). В Северния централен и Северозападния район заетите намаляват съответно с 11.6 хил. и 11.2 хил., а в Североизточния с 6.9 хил. Коефициентът на заетост за населението на възраст 15-64 г. е по-висок от средния за страната (68.4%) в Югозападния (73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.6%) и Северния централен (68.5%). Най-нисък той е в Северозападния (58.3%) и Североизточния район (66.3%). Безработните се увеличават с 22.9 хил. на годишна база и броят им през деветмесечието на 2020 г. достига 167.2 хил. Коефициентът на безработица e 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1% средно за трите тримесечия на 2020 г.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Според данните на бизнес статистиката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5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общият показател на бизнес климата за 2020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намалява драстично, което сочи влошаване на бизнес средата, в която функционират предприятията на социалната и солидарна икономик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 Сред основните пречки за  развитието на бизнеса е несигурната икономическа среда.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тези и в условията на пандемия извършването на стопанска дейност със социални цели е още по-силно ограничена. Изграждането на фокус-точките на територията на страната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подкрепа и в помощ на социалните предприятия ще предотврати икономическите фалити, които може да се задълбочат в резултат на прекъсване дейността им и освобождаването на персонала в тях, 95% от който са лица от най-уязвимите групи на пазара на труда, коет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е предпоставка за сериозна социална маргинализация (трудната житейска ситуация на наетите лица от уязвими групи хора ще увеличи степента на негативни социални последици за тях).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Социалната добавена стойност на предприятията често концентрира своята поле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зност към конкретни регионални специфики, а конкурентоспособността им на МСП следва да се съизмерва с тази на преките им конкуренти, които оперират в близост до тях. Отсъствието на регионални координационни връзки не спомага за реализацията на силно препор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ъчителните за този социален бизнес модел мрежи за партньорство и взаимопомощ. Слабо са изградени връзките с университетите, с големите корпоративни субекти, което се отразява негативно върху способността на субектите на ССИ да имат по-значима роля за огран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ичаване на негативните последици от неблагоприятните тенденции при развитието на обществените отношения, напр. свързани с демографската картина, застаряването, регионалните дисбаланси, социалните услуги и възрастните хора. Политиката за развитие на социалн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 и солидарна икономика и предприемачество би се реформирала чрез реализацията на проекта още и по отношение създаването на условия за приобщаване на социалните предприемачи и всички субекти на социалната и солидарна икономика към междуинституционалния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граждански диалог. Информационните масиви за развитие на политиката биха могли да бъдат значително обогатени и да подлежат на различни аналитични разрези. Цялостният ефект от развитието на дейностите следва да бъде обвързан още и със степента на зрялост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приложение на социалните иновации за заетост, приобщаване, образование, грижа за околната среда и демократично участие на гражданите в процесите по взимане на решения.   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Фокусът на проектното предложение е поставен върху разширяване и модернизиране на 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ъзможностите за подкрепа на субектите на социалната и солидарна икономика чрез  реформиране на политиката и прилагане на индивидуализиран подход спрямо потребностите на всеки отделен субект на социалната и солидарна икономика от високо квалифициран експерт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ен състав. Пазарната трансформация в условия на пандемия и плавното осъществяване на зеления и дигитален преход чрез целенасочено обследване ще бъде предложено на всички, вписани социални и специализирани предприятията, изразили изрично съгласие. Ще се обс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ледват производствените социалноикономически модели, процесът завършва с доклад, съдържащ препоръки за тяхната дигитална и зелена оптимизация, който се предоставя на предприятието. Проектът предвижда последващо имплементиране на заложените решения в полови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ната от всички регистрирани предприятия. От възможността за индивидуално консултиране ще могат да се възползват всички лица – субекти на социалната и солидарна икономика, съгласно Закона за предприятията на социалната и солидарна икономика. Създаването 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мрежа от фокус-точки с териториално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покритие в шестте региона на страната (с възможност за създаване на такива и в областните центрове) и изграждането на изричен експертен капацитет за преодоляване дефицитите от специализирани, включително дигитални умения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знания и капацитет, както и използване на предимствата на дигитални и цифрови инструменти за процесите им на работа, ще постигне реализацията на проектната идея. Чрез създаване на фокус-точките в шестте региона (NUTS 2) на страната се постига национално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покритие.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допълнение, към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експертния състав ще бъдат привличани представители на местните академични среди, местния бизнес, местните медии, местната власт и други местни организации и институции, с необходимата експертиза за осъществяване на конкретни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ейности (консултантски, посреднически и др.) 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Чрез реализацията на проектната идея ще се отговори на необходимостта от консистентен подход за събиране на информация, създаване на знание и тяхното разпространение за целите на развитието на социалната иконом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ика в отделни региони, включително в частта развитие на човешките ресурси и търсене и предлагане на пазара на труда. Анализите сочат, че най-добре би било това да се извършва от специално изградени за това структури. Те ще могат да работят постоянно за под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обряване на процесите на събиране, създаване и разпространение на информация и знание, като това се прави не спорадично при желание, заявка или конкретно търсене, а постоянно, като част от мисията на самите структурни единици. Една регионална структура би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могла да предложи възможности на местните заинтересовани страни сами да постигнат съгласие върху различни средносрочни и дългосрочни приоритети за събиране, създаване и разпространяване на информация и знание за местните пазари на труда. Те ще могат да тър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сят взаимодействие с местни партньори и да подпомагат публични и частни лица при вземането на решения от тяхна страна.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Проектната идея е свързана с изпълнението и на Приоритет 12: Постигане на по-висок жизнен стандарт чрез партньорство с бизнеса, граждани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 и със социалните партньори, Цел 41: Подобряване на качеството на живот на групи от населението чрез развитие на социалната икономика и чрез прозрачни, социалноотговорни бизнес практики, Мярка 154: Формиране на среда, която води до принос от близо 2% в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ВП на предприятията от социалната икономика,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 Управленската програма на правителството на Република България (2017-2021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Проектната идея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изпълнява и мерки 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Стратегическия план на МТСП до 2021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 а именно Приоритет № 13: Развитие на благоприятна среда за проявата на предприемачески решения със социално въздействие.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Специфични цели</w:t>
            </w:r>
          </w:p>
          <w:p w:rsidR="00CD33ED" w:rsidRDefault="0069712A">
            <w:pPr>
              <w:widowControl w:val="0"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 се осигури локална среда и регионално развитие чрез фокус-точките; среда, която благоприятства технологичното и ноу-хау развитие на субектите на социалната и солидарна икономика.</w:t>
            </w:r>
          </w:p>
          <w:p w:rsidR="00CD33ED" w:rsidRDefault="0069712A">
            <w:pPr>
              <w:widowControl w:val="0"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се приложи индивидуализиран подход на подкрепа спрямо индивидуалните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отребности от развитие на всеки отделен регистриран субект на социалната и солидарна икономика, като се вземат предвид нивото на развитие и капацитет.</w:t>
            </w:r>
          </w:p>
          <w:p w:rsidR="00CD33ED" w:rsidRDefault="0069712A">
            <w:pPr>
              <w:widowControl w:val="0"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се повиши информираността и улесни достъпът до индивидуализирана подкрепа за стартиране или развитие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социално предприемачество, в условията на пандемия с акцент лицата в неравностойно положение.</w:t>
            </w:r>
          </w:p>
          <w:p w:rsidR="00CD33ED" w:rsidRDefault="0069712A">
            <w:pPr>
              <w:widowControl w:val="0"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Да се създадат условията за изграждане на мрежи, клъстери в социалната икономика чрез подобрено ноу-хау, дигитализиране и технологично развитие на субектите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социалната и солидарна икономика.</w:t>
            </w:r>
          </w:p>
          <w:p w:rsidR="00CD33ED" w:rsidRDefault="0069712A">
            <w:pPr>
              <w:widowControl w:val="0"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се подкрепи осъзнаването на субектите като представители на обособен икономически сектор със собствени интереси и необходимост от адекватно-организирана тяхна защита в рамките на социалния и граждански диалог.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Очакваните резултати от създаването на фокус-точките са свързани с:</w:t>
            </w:r>
          </w:p>
          <w:p w:rsidR="00CD33ED" w:rsidRDefault="0069712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Създадена дигитална среда на високо продуктивна и адаптивна регионална социална и солидарна икономика и социално предприемачество, с наличието на множество малки и средни предприятия, прои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звеждащи продукти и/или услуги за потребление.</w:t>
            </w:r>
          </w:p>
          <w:p w:rsidR="00CD33ED" w:rsidRDefault="0069712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Осъществена координация между различните субекти на социалната и солидарна икономика на  регионално и местно равнище.  </w:t>
            </w:r>
          </w:p>
          <w:p w:rsidR="00CD33ED" w:rsidRDefault="0069712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Развитието на познанието в научната област в различни направления на социалната и солидар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икономика, както и подпомагането на иновационната и образователната дейност в областта. </w:t>
            </w:r>
          </w:p>
          <w:p w:rsidR="00CD33ED" w:rsidRDefault="0069712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Въвеждането на оперативни принципи за съвместно производство и дистрибуция на стоки, което ще предостави възможност на множество малки производители да произвеждат продукти, които са с високо качество и конкурентна цена на глобалния  пазар.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Осигуряване на устойчивост – постига се чрез обученият персонал , създадените мрежи и партньорства, наличието на база данни с местните заинтересовани страни в местната общност,  създаденият административен  капацитет за управление на процесите в областта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социалната икономика на местно равнище, трансформиране на центровете в  местни инкубатори, реализирани под формата на публично –частно партньорство, основаващо се на запазване тяхното функциониране и чрез апортиране на наличните активи. Така ще се осигур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продължаване на стартиралият цифров преход, както и условия за разгръщане потенциала за представителност и участие на социалната икономика при вземане на решения от органите на местната власт и впоследствие на национално равнище.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Проектът ще подпомогне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процеса за изграждане на сектора на социалната и солидарна икономика като технологично- приспособен сектор с голяма принадена стойност, изразена адаптивност към променящата се икономическа обстановка и способност за конкурентоспособност. Това е постижимо,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именно чрез обследване на потребностите и дефицитите (в някои  случаи подкрепата би била насочена към базисни умения и адаптиране към дигитални методи на работа, в други случаи към високотехнологични процеси на работа и обучения, съобразно индивидуалните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отребности на конкретно предприятие). 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Посочените компоненти на проекта спомагат за изграждането на устойчив икономически сектор, който може да бъде двигател за икономическото развитие на регионите в страната.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Равнопоставеност на жените и мъжете и равни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ъзможности за всички: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Смекчаването на социалното и икономическото въздействие на кризата върху жените, включително и по отношение на домашното насилие, е заложено в реализацията на проектните дейности. Чрез създаването на регионален административен капацит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 за развитие на регионалните форми на социално предприемачество ще се предостави възможност на субектите на социалната и солидарна икономика да разширят своята дейност и да обхванат повече лица от уязвимите групи, включително и жени, жертви на домашно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силие (по смисъла на Закона за защита от домашното насилие), като една от целевите групи по Закона за предприятията на социалната и солидарна икономика (чл. 7, т.4, буква “м“).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Социалната и солидарна икономика е насочена предимно към лицата, които са от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й-уязвими групи в обществото. Законът за предприятията на социалната и солидарна икономика съдържа правни разпоредби (чл. 7, т. 4, букви а-м) относно възможността за вписване на социални предприятия в Регистъра на социалните предприятия, на основание наема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на широк кръг лица от уязвими групи (независимо от техния пол, раса, етническа принадлежност, религия или убеждения, увреждане, възраст и сексуална ориентация). Групите в неравностойно положение са: лица до 29 години; безработни лица над 55 години; 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отглеждащи деца с увреждане; лица, зависими от алкохол или наркотици; бездомни; бежанци и др.  Изискванията за вписване на социално предприятие клас А+ в уредено в чл. 8 от ЗПССИ, като за лицата от уязвимите групи в чл. 8, т. 3 е посочено следното изискв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ане: „най-малко 30 от наетите са лица по чл. 7, т. 4 и са работили без прекъсване в предприятието през последните 6 месеца.“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постигане на целите се предвиждат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следните основни дейности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Дейност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Създаване на фокус-точки (регионални центрове)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Дейност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Обследване на нуждите и интеграция на решения за дигитализация на (производствените) процеси на субектите на социалната и солидарна икономика.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Дейност 3: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Насърчаване създаването на мрежи и провеждане на обучения, дискусии, инициативи и партньорства за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риобщаване на социалните предприемачи към социалния и граждански диалог с държавните институции, местната власт, местните общности (местен бизнес, граждански сдружения, училища, влиятелни граждани (неформални местни лидери) и др.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Дейност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Изграждане на мрежи, клъстери в социалната икономика, особено със социално-отговорни корпоративни субекти и институционални представители на образователната система на ниво средно и висше образование. 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Държавна помощ: Дейност 2 и обученията по дейност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ще представляват минимална помощ за съответните предприятия от сферата на социалната и солидарна икономика. 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Бенефициент.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Министерство на труда и социалната политика 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Времеви график за изпълнение на проекта, вкл. дейности, етапи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footnoteReference w:id="6"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Графично представен в края на проектния фиш. </w:t>
            </w:r>
          </w:p>
        </w:tc>
      </w:tr>
      <w:tr w:rsidR="00CD33ED">
        <w:trPr>
          <w:trHeight w:val="277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Дейност 1: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Създаване на фокус-точки.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Етап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Идентифициране на местата за позициониране на фокус-точки (Регионален център) в конкретен областен град от Региона на планиране (NUTS-2).</w:t>
            </w:r>
          </w:p>
          <w:p w:rsidR="00CD33ED" w:rsidRDefault="0069712A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Обследване и идентифициране на заинтересованите страни и на средата в рамките на всеки един от  шестте региона на планиране </w:t>
            </w:r>
          </w:p>
          <w:p w:rsidR="00CD33ED" w:rsidRDefault="0069712A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Придобиване на помещения 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Етап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Рехабилитация на инфраструктурата и техническо осигуряване </w:t>
            </w:r>
          </w:p>
          <w:p w:rsidR="00CD33ED" w:rsidRDefault="0069712A">
            <w:pPr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 осигуряване на фокус-точките с техника и софтуер </w:t>
            </w:r>
          </w:p>
          <w:p w:rsidR="00CD33ED" w:rsidRDefault="0069712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Осигуряване на споделени пространства за работа (co-working space, мултифункционални зали за провеждане на граждански и предприемачески събития)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Етап 3: Осигуряване на експертен капацитет</w:t>
            </w:r>
          </w:p>
          <w:p w:rsidR="00CD33ED" w:rsidRDefault="0069712A">
            <w:pPr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Наеман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персонал;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Старт на дейността: Първи месец от началото на проекта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Продължителност: 8 месеца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Дейност 2: Обследване на нуждите и интеграция на решения за дигитализация на (производствените) процеси на субектите на социалната и солидарна икономика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Етап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Дигитализация на процесите на работа </w:t>
            </w:r>
          </w:p>
          <w:p w:rsidR="00CD33ED" w:rsidRDefault="0069712A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Обследване на специфичните нужди и дефицити на регистрираните социални предприятия и субекти на социалната и солидарна икономика;</w:t>
            </w:r>
          </w:p>
          <w:p w:rsidR="00CD33ED" w:rsidRDefault="0069712A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Закупуване и внедряване в работата на субектите на социалната и солидарна икономика на софтуерни и хардуерни решения, изкуствен интелект, оборудване с 3D-принтери, 3D-скенери и др.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Старт на дейността: четвърти месец от началото на проекта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Продължителност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  31 месеца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Дейност 3: Насърчаване създаването на мрежи 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провеждане на  дискусии, инициативи и партньорства за приобщаване на социалните предприемачи към социалния и граждански диалог с държавните институции, местната власт, местните общности (местен бизнес, граждански сдружения, училища, влиятелни граждани (неф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ормални местни лидери) и др.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Етап 1: Създаване на база данни от специалисти</w:t>
            </w:r>
          </w:p>
          <w:p w:rsidR="00CD33ED" w:rsidRDefault="0069712A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993" w:firstLine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Създаване и актуализиране на база данни от специалисти, включително от академичните среди, местните структури на бизнеса, специалисти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местната власт и др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.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76" w:lineRule="auto"/>
              <w:ind w:left="99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Етап 2: Провеждане на консултации, обучения, инициативи и партньорства </w:t>
            </w:r>
          </w:p>
          <w:p w:rsidR="00CD33ED" w:rsidRDefault="00CD3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D33ED" w:rsidRDefault="0069712A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2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Провеждане на консултации за стартиране на социално предприятие;</w:t>
            </w:r>
          </w:p>
          <w:p w:rsidR="00CD33ED" w:rsidRDefault="0069712A">
            <w:pPr>
              <w:widowControl w:val="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2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Провеждане на консултации относно финансови инструменти и дигитализация на стартиращи субекти на социалната и солидарна икономика;</w:t>
            </w:r>
          </w:p>
          <w:p w:rsidR="00CD33ED" w:rsidRDefault="0069712A">
            <w:pPr>
              <w:widowControl w:val="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2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Подпомагане субектите на социалната и солидарна икономика при изготвяне на документация за осигуряване на финансов ресурс в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артньорство със заинтересовани страни;</w:t>
            </w:r>
          </w:p>
          <w:p w:rsidR="00CD33ED" w:rsidRDefault="0069712A">
            <w:pPr>
              <w:widowControl w:val="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2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Провеждане на обучения за представители на дигитализираните предприятия за работа с нововъведените технически инструменти;</w:t>
            </w:r>
          </w:p>
          <w:p w:rsidR="00CD33ED" w:rsidRDefault="0069712A">
            <w:pPr>
              <w:widowControl w:val="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2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Маркетиране на продукти и услуги на предприятията, включително и чрез стратегически партньорст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ва;</w:t>
            </w:r>
          </w:p>
          <w:p w:rsidR="00CD33ED" w:rsidRDefault="0069712A">
            <w:pPr>
              <w:widowControl w:val="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2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Консултантски услуги за специфичните нужди на конкретни субекти на социалната икономика, за които няма експертен капацитет в съответната фокус-точка (Регионален център).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Старт на дейността: четвърти месец от началото на проекта 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Продължителност:   33 месеца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Дейност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Изграждане на мрежи, клъстери в социалната икономика, включително със социално-отговорни корпоративни субекти и институционални представители на образователната система на ниво средно и висше образование.</w:t>
            </w:r>
          </w:p>
          <w:p w:rsidR="00CD33ED" w:rsidRDefault="0069712A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Изграждане на мрежи, клъстери в социалната икономика</w:t>
            </w:r>
          </w:p>
          <w:p w:rsidR="00CD33ED" w:rsidRDefault="0069712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Подпомагане създаването на връзки с подобни структури в България и други страни на и извън ЕС и обмяна на опит, идеи, обучения и т.н.;</w:t>
            </w:r>
          </w:p>
          <w:p w:rsidR="00CD33ED" w:rsidRDefault="0069712A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Подпомагане изграждането на мрежи със социално-отговорни корпоративн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субекти и институционални представители на образователната система на ниво средно и висше образование;</w:t>
            </w:r>
          </w:p>
          <w:p w:rsidR="00CD33ED" w:rsidRDefault="0069712A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Тестване на нови програми за подкрепа и тестване на нови форми за обмен и мрежуване;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Старт на дейността: седми месец от началото на проекта 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Продължит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елност:   30 месеца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3ED">
        <w:trPr>
          <w:trHeight w:val="277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Кога най-рано може да започне изпълнението на проекта след неговото одобрение?</w:t>
            </w:r>
          </w:p>
        </w:tc>
      </w:tr>
      <w:tr w:rsidR="00CD33ED">
        <w:trPr>
          <w:trHeight w:val="277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едномесечен срок след одобрението на проекта.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Индикативен финансов ресурс по дейности, вкл. източници на финансиране (ДБ, европейско финансиране, частно финансиране, МФИ).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Дейност 1: Изграждане на фокус-точки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Дейността включва идентифициране на местата за позициониране на фокус-точките, закупуване на помещения и тяхното оборудване - закупуване на машини и съоръжения с актуален софтуер, хардуерно оборудване и техническо оборудване, офис обзавеждане и рехабилитац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ионни дейности в съществуващи помещения, обособяване на отделни работни помещения, наемане и обучение на персонал, както и изготвяне на планове за работа на фокус –точките.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Индикативна стойност:  10 897 100,89 лв. с ДДС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Източник на финансиране: европейско</w:t>
            </w:r>
          </w:p>
          <w:p w:rsidR="00CD33ED" w:rsidRDefault="00CD33E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Дейност 2: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Обследване на нуждите и интеграция на решения за дигитализация и екологично въздействие на процесите на работа на субектите на социалната и солидарна икономика.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Обследване на специфичните нужди и дефицити на социални предприятия, вписани в Рег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истъра на социалните предприятия, и субекти на социалната и солидарна икономика.  Анализ на конкретни субекти на социалната и солидарна икономика за внедряване в работата им на дигитални средства. Закупуване и внедряване в работата на субектите от социална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 и солидарна икономика на софтуерни и хардуерни решения, изкуствен интелект, оборудване с 3D-принтери, 3D-скенери и др. Оценка на въздействието.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Индикативна стойност:  9 000 000 лв. с ДДС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Източник на финансиране: европейско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 xml:space="preserve"> 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Дейност 3: Насърчаване създаването на мрежи 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провеждане на обучения, инициативи и партньорства за приобщаване на социалните предприемачи към социалния и граждански диалог с държавните институции местната власт, местните общности (местен бизнес, граждански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сдружения, училища, влиятелни граждани (неформални местни лидери)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Дейността включва създаване на база данни от специалисти с разнородна експертиза, включително от академичните среди, местните структури на бизнеса, специалисти от местната власт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др. Организиране и провеждане на консултации за покриване на дефицити, както и за възможности, включително и финансови, водещи към постигане на устойчивост. Подпомагане субектите на социалната и солидарна икономика при изготвяне на документация за осигуряв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ане на финансов ресурс, организиране и провеждане на обучения за представителите на дигитализираните предприятия за работа с нововъведените дигитални инструменти. Подпомагане процеса на иницииране и създаване на партньорства, включително и стратегически въ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връзка с маркетиране на продуктите и услугите на предприятията. Организиране и провеждане и на специфични консултации спрямо конкретни специфични потребности на субектите  на социалната и солидарна икономика. 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Индикативна стойност: 1 801 620 лв. с ДДС 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Източник на финансиране: европейско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Дейност 4: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Изграждане на мрежи, клъстери в социалната икономика, особено със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социално-отговорни корпоративни субекти и институционални представители на образователната система на ниво средно и висше образование.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агане на конкретни субекти на социалната икономика да изградят мрежи и клъстери Подпомагане при провеждане на маркетингова кампания, както и на продукти, произведени от мрежата. Подпомагане създаването на връзки с подобни структури в България и други стран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и извън ЕС и обмяна на опит, идеи, обучения и т.н Подпомагане изграждането на мрежи със социално-отговорни корпоративни субекти и институционални представители на образователната система на ниво средно и висше образование; Тестване на нови програми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подкрепа и тестване на нови форми за обмен и мрежуване; Организация и провеждане на публични събития и др. за промотиране на бизнес моделите на субектите на социалната солидарна икономика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провеждане на публични събития и др. за промотиране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бизнес моделите на субектите на социалната солидарна икономика 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Индикативна стойност: 900 000 лв. с ДДС 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Източник на финансиране: европейско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Непреки разходи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Планираме да бъде сформиран екип, който ще изпълнява дейности по организация, управление и изпълнение на дейностите по отделните компоненти.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Непреките разходи са в размер на 4,00 % от общата стойност на преките допустими разходи по проекта или 903948.84 лв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. 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Процентът е обоснован съгласно Методология за опростено отчитане на разходи по Оперативна програма „Развитие на човешките ресурси“ 2014-2020 и Изменение на Методика одобрена от ръководителя на УО на ОПРЧР на 14.09.2017г., където за проекти на стойност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ад 2 милиона лева са допустими разходи за организация и управление до 4% от стойността на преките разходи. Методът на изчисляване е съобразен с Национална методология за определяне размера на единна ставка за финансиране на дейности за организация и управл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ение на проекти (НМ), утвърдена с Решение на МС № 253/03.05.2017 г.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Вследствие на извършен анализ в настоящия програмен период, размерът на разходите за организация и управление, които са непреки разходи, са свързани с възнагражденията на персонала по адми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нистриране на проекта -  ръководител на проект, технически сътрудник, счетоводител и друг експертен или технически персонал, както и административните разходи, свързани с управлението на проекта, посочени за допустими в документите по чл. 26, ал. 1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</w:rPr>
              <w:t>Зако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</w:rPr>
              <w:t>н за управление на средствата от европейските структурни и инвестиционни фондове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, (като: режийни разходи, консумативи, разходи за комуникация, разходи за командировки за екипа за организация и управление, както и разходи за публичност и одит).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Индикативна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стойност: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903 948.84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лв. </w:t>
            </w:r>
          </w:p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Източник на финансиране: европейско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Общо: 23 502 669, 73 лв.  с ДДС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Индикатор за договорени средства:  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2021 г. – 23 502 669, 73 лв. 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Разпределете индикативно финансовия ресурс, според типа разход: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Изграждане/рехабилитация на инфраструктура (СМР) – 0,6 % </w:t>
            </w:r>
          </w:p>
          <w:p w:rsidR="00CD33ED" w:rsidRDefault="0069712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Физически капитал (закупване на машини и съоръжения) – 52,4 %</w:t>
            </w:r>
          </w:p>
          <w:p w:rsidR="00CD33ED" w:rsidRDefault="0069712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Човешки капитал (повишаване на умения, преквалификация…) – 7,7 %</w:t>
            </w:r>
          </w:p>
          <w:p w:rsidR="00CD33ED" w:rsidRDefault="0069712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 (разходи за трудови възнаграждения, консултантски услуги …) – 22,2 %</w:t>
            </w:r>
          </w:p>
          <w:p w:rsidR="00CD33ED" w:rsidRDefault="0069712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(разходи за придобиване на НМДА – патенти, софтуер…) – 17,1%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Индикатори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Индикатор/и за резултат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Създадени фокус-точки – 6 бр. 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Начална стойност – 0 бр. [2021 г.]</w:t>
            </w:r>
          </w:p>
          <w:p w:rsidR="00CD33ED" w:rsidRDefault="0069712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Крайна стойност –6 бр. [2022 г.]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Целогодишни регионални базари (икономически форуми) – 6 бр.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Начална стойност – 0 бр. [2021 г.]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Крайна стойност –6 бр. [2023 г.]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Проведени консултации с физически и юридически лица – 3000 бр.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Начална стойност – 0 бр. [2021 г.]</w:t>
            </w:r>
          </w:p>
          <w:p w:rsidR="00CD33ED" w:rsidRDefault="0069712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Междинна стойност – 1000 бр. [2022 г.]</w:t>
            </w:r>
          </w:p>
          <w:p w:rsidR="00CD33ED" w:rsidRDefault="0069712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Междинна стойност –&gt; 2000 бр. [2023 г.]</w:t>
            </w:r>
          </w:p>
          <w:p w:rsidR="00CD33ED" w:rsidRDefault="0069712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Крайна стойност – &gt; 3000 бр. [2024 г.]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Проведени обучения  - 2400 обучени от дигитализираните предприятия за работа с нововъведените дигитални инструменти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Начална стойност – 0 бр. [2021 г.]</w:t>
            </w:r>
          </w:p>
          <w:p w:rsidR="00CD33ED" w:rsidRDefault="0069712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tag w:val="goog_rdk_0"/>
                <w:id w:val="713469973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sz w:val="24"/>
                    <w:szCs w:val="24"/>
                  </w:rPr>
                  <w:t>Крайна стойност –≥2400 бр. [2023 г.]</w:t>
                </w:r>
              </w:sdtContent>
            </w:sdt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5.Обследвани субекти на социалната и солидарна икономика за възможността за дигитализиране на работните им процеси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Начална стойност – 0 бр. [2021 г.]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Междинна стойност –&gt; 170 бр. [2022 г.]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tag w:val="goog_rdk_1"/>
                <w:id w:val="2068140034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sz w:val="24"/>
                    <w:szCs w:val="24"/>
                  </w:rPr>
                  <w:t>-</w:t>
                </w:r>
                <w:r>
                  <w:rPr>
                    <w:rFonts w:ascii="Gungsuh" w:eastAsia="Gungsuh" w:hAnsi="Gungsuh" w:cs="Gungsuh"/>
                    <w:color w:val="000000"/>
                    <w:sz w:val="24"/>
                    <w:szCs w:val="24"/>
                  </w:rPr>
                  <w:tab/>
                  <w:t>Крайна стойност – ≥200 бр. [2023 г.]</w:t>
                </w:r>
              </w:sdtContent>
            </w:sdt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6.Изготвени доклади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от обследваните предприятия 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Начална стойност -– 0 бр. [2021 г.]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Междинна стойност –&gt; 170 бр. [2022 г.]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tag w:val="goog_rdk_2"/>
                <w:id w:val="-1529028091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sz w:val="24"/>
                    <w:szCs w:val="24"/>
                  </w:rPr>
                  <w:t>-</w:t>
                </w:r>
                <w:r>
                  <w:rPr>
                    <w:rFonts w:ascii="Gungsuh" w:eastAsia="Gungsuh" w:hAnsi="Gungsuh" w:cs="Gungsuh"/>
                    <w:color w:val="000000"/>
                    <w:sz w:val="24"/>
                    <w:szCs w:val="24"/>
                  </w:rPr>
                  <w:tab/>
                  <w:t>Крайна стойност – ≥200бр. [2023 г.]</w:t>
                </w:r>
              </w:sdtContent>
            </w:sdt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01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Дигитализирани производствени процеси и/или въведени социални иновации от субекти на социалната и солидарна икономика – 100 бр.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Начална стойност - 0 бр. [2021 г.]</w:t>
            </w:r>
          </w:p>
          <w:p w:rsidR="00CD33ED" w:rsidRDefault="0069712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Междинна стойност - &gt; 80 бр. [2023 г.]</w:t>
            </w:r>
          </w:p>
          <w:p w:rsidR="00CD33ED" w:rsidRDefault="0069712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tag w:val="goog_rdk_3"/>
                <w:id w:val="1291406540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sz w:val="24"/>
                    <w:szCs w:val="24"/>
                  </w:rPr>
                  <w:t>Крайна стойност - ≥100 бр. [2024 г.]</w:t>
                </w:r>
              </w:sdtContent>
            </w:sdt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8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D33ED" w:rsidRDefault="0069712A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Създадени мрежи от предприятия и партньорства – 24 бр.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Начална стойност - 0 бр. [2021 г.]</w:t>
            </w:r>
          </w:p>
          <w:p w:rsidR="00CD33ED" w:rsidRDefault="0069712A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Междинна стойност – &gt; 6 бр. [2022 г.]</w:t>
            </w:r>
          </w:p>
          <w:p w:rsidR="00CD33ED" w:rsidRDefault="0069712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Междинна стойност – &gt; 18 бр. [2023 г.]</w:t>
            </w:r>
          </w:p>
          <w:p w:rsidR="00CD33ED" w:rsidRDefault="0069712A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tag w:val="goog_rdk_4"/>
                <w:id w:val="2015408734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sz w:val="24"/>
                    <w:szCs w:val="24"/>
                  </w:rPr>
                  <w:t>Крайна стойност - ≥ 24 бр. [2024 г.]</w:t>
                </w:r>
              </w:sdtContent>
            </w:sdt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Изисква ли реализацията на проекта провеждане на процедура по ЗОП?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footnoteReference w:id="7"/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Да.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Ако се изисква процедура по ЗОП, каква част от дейностите и финансовият ресурс ще бъдат предмет на обществената поръчка?</w:t>
            </w:r>
          </w:p>
        </w:tc>
      </w:tr>
      <w:tr w:rsidR="00CD33ED">
        <w:trPr>
          <w:trHeight w:val="450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 на обществена поръчка ще бъде:</w:t>
            </w:r>
          </w:p>
          <w:p w:rsidR="00CD33ED" w:rsidRDefault="0069712A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изграждане или рехабилитация на инфраструктура (СМР); 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993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Поръчката ще е на стойност до 150 000.00 лв. и има за задача да бъдат пригодени закупените сгради за нуждите на фокус-точките, съгласно настоящия проект.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993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Обществената поръчка ще се проведе съгласно изи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скванията и стойностните праговете посочени в чл. 20 от ЗОП, като се има предвид, че за нуждите на МТСП може да е необходимо да бъдат реализирани и други поръчки със същия предмет, което определя вида на процедурата.</w:t>
            </w:r>
          </w:p>
          <w:p w:rsidR="00CD33ED" w:rsidRDefault="0069712A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закупване на машини и съоръжения;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993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иждат се няколко обществени поръчки с различен предмет - закупуване на машини и съоръжения на обща стойност 478 844.88 лв., които имат за задача да оборудват фокус-точките с необходимото им оборудване, за да функционират пълноценно. 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993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 бъде закупено харду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ерно оборудване за дигитализация на предприятията, като сумата не може да бъде определена в момента, а тя ще бъде определена след като бъде изпълнено обследването на специфичните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нужди и дефицити на конкретни социални предприятия и субекти на социалната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солидарна икономика от Дейност 2: „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Обследване на нуждите и интеграция на решения за дигитализация и екологично въздействие на процесите на работа на субектите на социалната и солидарна икономика“.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тази база ще бъдат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установени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специфичните нужди и дефиц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ити на социалните предприятия и субекти на социалната и солидарна икономика. За закупуване на хардуерно и софтуерно оборудване за дигитализация на предприятията от социална икономика е заделен ресурс от 9 000 000 лв. 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993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Обществените поръчки ще се проведат,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ъгласно изискванията и стойностните праговете посочени в чл. 20 от ЗОП, като се има предвид, че за нуждите на МТСП може да е необходимо да бъдат реализирани и други поръчки със същия предмет, което определя вида на процедурата.</w:t>
            </w:r>
          </w:p>
          <w:p w:rsidR="00CD33ED" w:rsidRDefault="0069712A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човешки капитал (повишаване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умения, преквалификация;…) 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ind w:left="993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Обществените поръчки в тази част са на стойност 1 969 620.00 лв. като в тях се включват обществени поръчки за почистване и охрана, повишаване на уменията на служителите в дигитализираните предприятия и наемането на специалисти, за консултиране на предприят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ията по-теми, за които няма наети специалисти във фокус точките.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993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Обществените поръчки ще се проведат, съгласно изискванията и стойностните праговете посочени в чл. 20 от ЗОП, като се има предвид, че за нуждите на МТСП може да е необходимо да бъдат реализир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 и други поръчки със същия предмет, което определи вида на процедурата.</w:t>
            </w:r>
          </w:p>
          <w:p w:rsidR="00CD33ED" w:rsidRDefault="0069712A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разходи за придобиване на НМДА – патенти, софтуер.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993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Предвиждат се обществени поръчки на обща стойност 1 283 562.06 лв. за напр. застраховане на сгради, закупуване на специализиран 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фтуер на нуждите на фокус точките; осъществяване на свързаност на фокус-точките  с интернет; осъществяване на мобилна свързаност на хората, работещи във фокус-точките, придобиване на нематериални дълготрайно активи във връзка с популяризация на проекта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ридобиване на нематериални дълготрайно активи във връзка с изграждане на мрежи, клъстери в социалната икономика, особено със социално-отговорни корпоративни субекти и институционални представители на образователната система на ниво средно и висше образован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993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 бъде закупено и софтуерно оборудване за дигитализация на предприятията, като сумата не може да бъде определена в момента, а тя ще бъде определена след като бъде изпълнено обследването на специфичните нужди и дефицити на конкретни социални предприяти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субекти на социалната и солидарна икономика от Дейност 2: „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Обследване на нуждите и интеграция на решения за дигитализация и екологично въздействие на процесите на работа на субектите на социалната и солидарна икономика“.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тази основа ще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бъдат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установени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специфичните нужди и дефицити на социалните предприятия и субекти на социалната и солидарна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икономика. За закупуване на хардуерно и софтуерно оборудване за дигитализация на предприятията от социална икономика е заделен ресурс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9 000 000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лв. 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993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Обществените поръчки ще се проведат съгласно изискванията и стойностните праговете посочени в чл. 20 от ЗОП, като се има предвид, че за нуждите на МТСП може да е необходимо да бъдат реализирани и други поръчки със същия предмет, което определя вида на проц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едурата.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Финансовият ресурс е в размер до 12 882 026,94 лв. с ДДС от общия финансов ресурс на проекта.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heading=h.30j0zll" w:colFirst="0" w:colLast="0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Около 55,2 % от общия финансов ресурс на проекта.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Забележка: Детайлен разчет на финансовия ресурс за обществените поръчки е във файл:. Обобщени разходи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ОП.xlsx на страницата „Обобщени разходи и ОП“</w:t>
            </w:r>
          </w:p>
        </w:tc>
      </w:tr>
      <w:tr w:rsidR="00CD33ED">
        <w:trPr>
          <w:trHeight w:val="450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Ако се изисква процедура по ЗОП, какъв е индикативният график за изпълнението ѝ?</w:t>
            </w:r>
          </w:p>
        </w:tc>
      </w:tr>
      <w:tr w:rsidR="00CD33ED">
        <w:trPr>
          <w:trHeight w:val="450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Индикативният график е средно 4-6 месеца от подготовката и обявяването до сключването на договор при липса на обжалване. </w:t>
            </w:r>
          </w:p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Демаркация и допълняемост.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Ако са изпълнявани сходни проекти (независимо от източника им на финансиране), опишете как този проект надгражда/допълва постигнатото с предходните проекти.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е изпълняван проект с подобна насоченост. </w:t>
            </w: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периода 2007-2013 г. и 2014-2020 г.  по Оперативна програма „Развитие на човешките ресурси“ бяха изпълнявани проекти за подкрепа за създаването и развитието на социални предприятия. Целта беше намаляване на бедността и риска от социално изключване на уяз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вими групи чрез подкрепа за заетост и професионална интеграция в сферата на социалната икономика. Подкрепени са социални предприятия, специализирани предприятия и кооперации на хора с увреждания чрез обучения, субсидирана заетост, подобряване на капацитета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човешките ресурси, оборудване и адаптиране на работни места. Финансирани са също дейности за социален маркетинг и популяризиране на социалната икономика и социалното предприемачество. 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Настоящото предложение за проект ще надгради постигнатото и ще включ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предприятията на социалната и солидарната икономика в мрежа за подкрепа с добавена стойност на предоставяните от нея услуги.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Ако по линия на програмите от Споразумението за партньорство, централно управляваните инструменти на ЕС или Фонда за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справедлив преход са предвидени за изпълнение сходни проекти, очертайте демаркацията с настоящия проект.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 е приложимо.</w:t>
            </w:r>
          </w:p>
          <w:p w:rsidR="00CD33ED" w:rsidRDefault="006971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рамките на Прог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рамата за развитие на човешките ресурси 2021-2027 г. са предвидени дейности за подкрепа на предприятия на социалната икономика и развитие на социалното предприемачество, които няма да се припокриват с включените в настоящия проект. Ще бъде предоставена под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крепа с акцент върху включването в заетост на лица от уязвими групи на пазара на труда и реализиране на социалната роля на предприятията.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Проектът допринася ли пряко за изпълнение на някоя от Специфичните препоръки на Съвета, отправени към България в рамките на Европейския семестър в периода 2017-2020 г.? Моля, опишете как.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CD3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CD33ED" w:rsidRDefault="0069712A">
            <w:pPr>
              <w:ind w:left="72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Специфични препоръки на Съвета към България за 2019 г. </w:t>
            </w:r>
          </w:p>
          <w:p w:rsidR="00CD33ED" w:rsidRDefault="00CD33ED">
            <w:pPr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D33ED" w:rsidRDefault="0069712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Препоръка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 подобри пригодността за заетост чрез засилване на уменията, включително на цифровите умения. Да повиши качеството, приложимостта на пазара на труда и приобщаващия характер на образованието и обучението, по-специално за ромите и другите групи в нерав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ностойно положение. </w:t>
            </w:r>
          </w:p>
          <w:p w:rsidR="00CD33ED" w:rsidRDefault="00CD33ED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Изпълнението на проектните дейности е насочено към повишаване пригодността за заетост на групи в неравностойно положение, заети в предприятията на социалната и солидарна икономика.  Това ще се осъществи чрез включването им в набор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консултантски, обучителни, интерактивни, специфични – според конкретните нужди - мерки, които целят повишаване на уменията, капацитета и експертизата им за участие на пазара на труда. </w:t>
            </w:r>
          </w:p>
          <w:p w:rsidR="00CD33ED" w:rsidRDefault="0069712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Предвиденият комплекс от мерки (предоставени услуги) ще окаже пряко влияние върху повишаване квалификацията и работоспособността на заетите в предприятията на социалната и солидарна икономика, което съчетано с коефициента на повишена икономическа активност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ще окаже пряко влияние върху дългосрочните перспективи на икономиката на регионално и национално равнище.</w:t>
            </w:r>
          </w:p>
          <w:p w:rsidR="00CD33ED" w:rsidRDefault="0069712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Проектните дейности включват обучението, повишаването на квалификацията и подкрепа за дигитализацията на процесите на работа в предприятията на социа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лната и солидарна икономика. Особено внимание се обръща на конкретните мерки, свързани със социалното приобщаване чрез подобряване на достъпа до обучения за представители на тези предприятия, водещи до повишаване на знанията и уменията им в областта на диг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итализацията, маркетинга, социалните иновации.</w:t>
            </w:r>
          </w:p>
          <w:p w:rsidR="00CD33ED" w:rsidRDefault="0069712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Подпомагането на субектите от социалната икономика в процеса на работа чрез повишаване на цифровите умения и дигитализация на работата ще  доведе до висока добавена стойност на продуктите и услугите на субекти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 на социалната и солидарна икономика, разширяване диапазона на достъпа до пазари. Това ще доведе до ефективно подпомагане за повишаване на минималните доходи,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които най-често получават лицата от целевата група на социалната и солидарна икономика.</w:t>
            </w:r>
          </w:p>
          <w:p w:rsidR="00CD33ED" w:rsidRDefault="00CD33ED">
            <w:pPr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D33ED" w:rsidRDefault="0069712A">
            <w:pPr>
              <w:ind w:left="72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Специф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ични препоръки на Съвета към България за 2020 г. </w:t>
            </w:r>
          </w:p>
          <w:p w:rsidR="00CD33ED" w:rsidRDefault="0069712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Препоръка 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съответствие с общата клауза за дерогация, да предприеме всички необходими мерки за ефективно справяне с пандемията, поддържане на икономиката и подпомагане на последващото възстановяване. </w:t>
            </w:r>
          </w:p>
          <w:p w:rsidR="00CD33ED" w:rsidRDefault="00CD33ED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условията на пандемия извършването на стопанска дейност със социални цели е силно ограничена. Изграждането на фокус-точките на територията на страната за подкрепа и в помощ на социалните предприятия ще предотврати икономическите фалити, които може да се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задълбочат в резултат на прекъсване дейността им и освобождаването на персонала в тях,  95% от който са лица от най-уязвимите групи на пазара на труда, което е предпоставка за сериозна социална маргинализация (трудната житейска ситуация на наетите лица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уязвими групи хора ще увеличи степента на негативни социални последици за тях).</w:t>
            </w:r>
          </w:p>
          <w:p w:rsidR="00CD33ED" w:rsidRDefault="0069712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Чрез подпомагане създаването на партньорства, мрежи и привличането на експерти с различна експертиза, вкл. и от академичните среди, ще се ограничат отрицателните ефекти на панд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емията върху възможността за социално приобщаване на заетите в предприятията на социалната и солидарна икономика и повишаване на тяхното познание за различни аспекти на социалната и солидарна икономика. </w:t>
            </w:r>
          </w:p>
          <w:p w:rsidR="00CD33ED" w:rsidRDefault="0069712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Това ще се подпомогне въвеждането и на социални инов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ации в производството, също и дигитализирането на процесите на работа в тези предприятията. </w:t>
            </w:r>
          </w:p>
          <w:p w:rsidR="00CD33ED" w:rsidRDefault="00CD33ED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Препоръка 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 подобри достъпа до работа от разстояние и да насърчи цифровите умения и равния достъп до образование. </w:t>
            </w:r>
          </w:p>
          <w:p w:rsidR="00CD33ED" w:rsidRDefault="00CD33ED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Голяма част от социалните предприятия са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аели лица от уязвими групи, които в момента са рискови групи (съобразно ограниченията за борба с пандемията), и е много трудно да се продължи дейността им, дори и в друг режим (например дистанционен); много от тези лица имат сериозни увреждания и затруднен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и за тях или е неподходящо въобще да напускат жилищата си, или адаптиране на работния процес е изключително сложно (включително много от тях са с нисък социален статус, нямат подходяща техника и пр.). Ето защо една от специфичните цели на проекта е да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създадат условия за изграждане на мрежи, клъстери в социалната икономика чрез подобрено ноу-хау, дигитализиране и технологично развитие на субектите на социалната и солидарна икономика, включително чрез повишаване на цифровите умения.</w:t>
            </w:r>
          </w:p>
          <w:p w:rsidR="00CD33ED" w:rsidRDefault="00CD33ED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CD33ED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Проектът допринася ли за изпълнението на реформа в даден сектор? Моля, опишете как.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Проектните дейности ще допринесат за модернизиране и реформиране на политиката по социална икономика по посока развитие на нейните регионални аспекти, включително и чрез законодателни промени.</w:t>
            </w: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Проектът ще подпомогне използването на пълния потенциал на сект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 на социалната и солидарната икономика, който все още е недостатъчно развит в България. Законодателната рамка за функционирането му е приета през 2018 г. (Законът да предприятията на социалната и солидарна икономика бе приет от 44 –то НС на 18.10.2018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в сила от 05.2019 г.) </w:t>
            </w: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Секторът на социалната и солидарна икономика е нов сектор в икономическата структура на Република България и създаването на фокус-точки в шестте региона в страната  ще подпомогне изграждането на структури по места за информационно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техническо, логистично и друг вид подпомагане и обезпечаване на сектора в страната.</w:t>
            </w: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тази база се предвиждат законодателни промени, които да отразят регионалните аспекти на политиката. Към настоящия момент, единствено нормативните изисквания за регистр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ацията на социални предприятия клас А+ са отправна точка за регионални измерения на политиката, но те не дават цялостната и пълна картина на състоянието и предизвикателствата пред субектите на социалната и солидарна икономика в отделните региони.</w:t>
            </w: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Правната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рамка предвижда подкрепа от местните структури по места, съобразно техните възможности, за субектите на социалната и солидарна икономика, която не би могла да се разгърне в необходимата степен без специално създадени за целта структури, които да обслужват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интересите на сектора. Недостатъчни се оказват и провежданите регионални базари и разяснителни кампании, които остават спорадични и с конкретна, вкл. и времева насоченост. От споделената информация по места по време на провежданите кампании и базари се иде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нтифицира като крайно необходимо създаване на подобни фокус – точки, които да подпомагат разрастването на сектора по региони.</w:t>
            </w: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дейностите по реформиране на политиката активна роля ще има и широкопредставената към министъра на труда и социалната политика работна група по въпросите на социалната и солидарна икономика. В нейния състав са включени възможно най-широк кръг представите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 на ведомства и организации от публичния, частния и граждански сектор с разнообразна експертиза. По този начин реформирането на политиката чрез предвижданите законодателни промени ще отрази общественото мнение и съгласуваност. Целта е предвижданата рефор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мата да отрази във възможно най-голяма степен натрупаното до момента теоретично и практическо познание, за да бъде оползотворен в максимална степен капацитета на сектора на социалната и солидарна икономика. </w:t>
            </w: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Очакванията са законодателните промени да:</w:t>
            </w:r>
          </w:p>
          <w:p w:rsidR="00CD33ED" w:rsidRDefault="0069712A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несат за децентрализация на политиката;</w:t>
            </w:r>
          </w:p>
          <w:p w:rsidR="00CD33ED" w:rsidRDefault="0069712A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допринесат за подобряване на икономическата и информационна среда и осигуреност за субектите на социалната и солидарна икономика по региони;</w:t>
            </w:r>
          </w:p>
          <w:p w:rsidR="00CD33ED" w:rsidRDefault="0069712A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допринесат за по-добра статистическа информираност за сектора, по региони;</w:t>
            </w:r>
          </w:p>
          <w:p w:rsidR="00CD33ED" w:rsidRDefault="0069712A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доведат до подобряване на икономическото и социално положение на цели групи от хора, част от сектора на социалната и солидарна икономика по места, респ. тяхното жизнено равнище.</w:t>
            </w:r>
          </w:p>
          <w:p w:rsidR="00CD33ED" w:rsidRDefault="00CD3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Очаквания за конкретни резултати на ниво сектор: </w:t>
            </w: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Чрез цифровизацията на работните процеси в  предприятията на социалната и солидарна икономика и социалните предприятия се осъществява технологично обновяване и напредък, което ще повиши конкурентоспособността им и привличане на стратегически партньори и 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веститори, както в рамките на региона, така и извън него. </w:t>
            </w: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Оказването на адекватна подкрепа за включване в заетост и обучение на лицата от уязвимите групи ще допринесе за интеграцията им в социалните предприятия, приобщаването им в конвенционалния сектор,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 този начин и повишаване на жизнения им стандарт и развитието на цели сектори от икономиката в различни региони на страната.</w:t>
            </w: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друга страна дигитализиране на работните процеси в сектора на социалната и солидарна икономика и цифровото обучение на лицат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от най-уязвимите групи ще даде тласък и така необходимата подкрепа за повишаване  адаптивността на заетите лица, достъп до работа от разстояние, достъп до пазари и инвестиции, производството на конкурентни стоки и услуги и иновативност в целия сектор. Съ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що така и преминаване към зелена икономика – опазване на околната среда, кръгова икономика, пестене на ресурси. Много от дейностите, като например обучения, форуми, срещи с представители на гражданското общество, ще допринесат за промяната в отношението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обществото към съществуващите социални и екологични проблеми. </w:t>
            </w: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Дейността на фокус-точките може да бъде предпоставка за реформа в целия сектор на социалната икономика, което ще повлияе на икономическия ръст на различни други сектори в икономиката на страна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та.</w:t>
            </w:r>
          </w:p>
          <w:p w:rsidR="00CD33ED" w:rsidRDefault="00CD3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Проектът допринася ли за развитие на някой от аспектите на устойчивото икономическо развитие? Моля, опишете как.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Проектът допринася за изпълнение на следните цели от Целите за устойчиво развитие на ООН до 2030 г.:</w:t>
            </w:r>
          </w:p>
          <w:p w:rsidR="00CD33ED" w:rsidRDefault="00CD3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Цел 1: Премахване на бедността</w:t>
            </w: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Социалната и солидарна икономика е пряко насочена към групите в неравностойно положение на пазара на труда, като им осигурява достъп до заетост и обучения, създава условия за повишаване на техния жизнен стандарт и намаляване на социалните неравенства.</w:t>
            </w:r>
          </w:p>
          <w:p w:rsidR="00CD33ED" w:rsidRDefault="00CD3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Цел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. 8: Работа и Икономически растеж</w:t>
            </w: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Внедряването в производствените линии на технологии, които усъвършенстват производствените процеси и създават условия за по-висока производителност и по-нисък разход на енергия създава условия за икономически растеж на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дприятието и пълноценно използване на наличните ресурси;</w:t>
            </w: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Създаването на мрежи от предприятия за производството на един продукт създава възможност за производство на стока с висока принадена стойност от множество малки предприятия, а по този начин пълноценн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се използва наличният човешки ресурс и се създават условия за създаването на по-високо технологична икономика.</w:t>
            </w:r>
          </w:p>
          <w:p w:rsidR="00CD33ED" w:rsidRDefault="00CD3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Цел. 13: Борба с климатичните промени</w:t>
            </w: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Внедряването в производствения процес на технологии, които са енергийно ефективни и ресурсно спестяващи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спомагат за борбата с климатичните промени.</w:t>
            </w: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 от субектите на социалната и солидарна икономика имат екологични социални цели, което е в пряка връзка с борбата с климатичните промени, реализирането на проекта спомага за техническата обезпеченост на тези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предприятия и възможността им да насочат наличните си ресурси за постигане на основната си социална цел.</w:t>
            </w:r>
          </w:p>
          <w:p w:rsidR="00CD33ED" w:rsidRDefault="00CD3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Проектът допринася ли за изпълнението на целите на Националната програма за развитие БЪЛГАРИЯ 2030? Моля, опишете как.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Настоящият проект кореспондира със заложения Приоритет 11 в Националната програма за развитие България 2030, както следва:</w:t>
            </w:r>
          </w:p>
          <w:p w:rsidR="00CD33ED" w:rsidRDefault="00CD3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Приоритет 11</w:t>
            </w: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Област на въздействие 11.2.д Социално предприемачество и Корпоративна социална отговорност</w:t>
            </w: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Проектът спомага за развитие на социалната и солидарна икономика в страната. Чрез изграждането на фокус-точки в шестте региона на страната се създава мрежа от експертен персонал, която ще подпомогне субектите на социалната и солидарна икономка да бъдат 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курентоспособни, за да участват пълноценно в рамките на единния европейски пазар и да генерират икономическа и социална добавена стойност.</w:t>
            </w: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Чрез развитие на социалното предприемачество, усилията са насочени към  създаването на работни места, намаляването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неравенствата и повишаване възможностите за социално включване предимно на лица от уязвими групи. В същото време лица от уязвими групи ще излязат от състояние на продължителна безработица като бъдат приобщени към пазара на труда, което е пряк принос към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зпълнението на целта на приоритета, а именно - социално включване.</w:t>
            </w:r>
          </w:p>
          <w:p w:rsidR="00CD33ED" w:rsidRDefault="00CD3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Реализацията на проекта ще спомогне на субектите на социалната и солидарна икономика да достигнат дял от 3 % от брутния вътрешен продукт (индикатор, заложен в Националната програма за разв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итие България 2030).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Проектът допринася ли за изпълнението на целите и приоритетите, определени в Интегрирания национален план „Енергетика и климат“? Ако отговорът е „да“, моля, опишете как.</w:t>
            </w:r>
          </w:p>
        </w:tc>
      </w:tr>
      <w:tr w:rsidR="00CD33ED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Да, допринася. Предприятията на социалната и солидарната икономика са по-малко енергоемки и ресурсоемки. С внедряването на иновативни решения за дигитализиране на производствените процеси потреблението на енергия ще бъде намалено допълнително, което от сво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страна ще допринесе за изпълнение на целите на България за енергийна ефективност. </w:t>
            </w:r>
          </w:p>
          <w:p w:rsidR="00CD33ED" w:rsidRDefault="00697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Проектното предложение е в съответствие и не противоречи на принципите на DNSH, като не би довело до вреда за околната среда.</w:t>
            </w:r>
          </w:p>
          <w:p w:rsidR="00CD33ED" w:rsidRDefault="00CD3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D33ED" w:rsidRDefault="00CD33E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D33ED" w:rsidRDefault="00CD33E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D33ED" w:rsidRDefault="0069712A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Предложението включва мерки като ремонт, обновяване, реконструкция, мерки за ефективност в съществуващи сгради.</w:t>
      </w:r>
    </w:p>
    <w:p w:rsidR="00CD33ED" w:rsidRDefault="00CD33ED">
      <w:pPr>
        <w:ind w:firstLine="212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33ED" w:rsidRDefault="0069712A">
      <w:pPr>
        <w:ind w:firstLine="212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Част 1 от DNSH чеклиста</w:t>
      </w:r>
    </w:p>
    <w:tbl>
      <w:tblPr>
        <w:tblStyle w:val="a2"/>
        <w:tblW w:w="90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62"/>
        <w:gridCol w:w="845"/>
        <w:gridCol w:w="848"/>
        <w:gridCol w:w="3664"/>
      </w:tblGrid>
      <w:tr w:rsidR="00CD33ED">
        <w:tc>
          <w:tcPr>
            <w:tcW w:w="3662" w:type="dxa"/>
          </w:tcPr>
          <w:p w:rsidR="00CD33ED" w:rsidRDefault="0069712A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Моля, посочете кои от екологичните цели по-долу изискват съществена DNSH оценка на мярката</w:t>
            </w:r>
          </w:p>
        </w:tc>
        <w:tc>
          <w:tcPr>
            <w:tcW w:w="845" w:type="dxa"/>
          </w:tcPr>
          <w:p w:rsidR="00CD33ED" w:rsidRDefault="0069712A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Да</w:t>
            </w:r>
          </w:p>
        </w:tc>
        <w:tc>
          <w:tcPr>
            <w:tcW w:w="848" w:type="dxa"/>
          </w:tcPr>
          <w:p w:rsidR="00CD33ED" w:rsidRDefault="0069712A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Не</w:t>
            </w:r>
          </w:p>
        </w:tc>
        <w:tc>
          <w:tcPr>
            <w:tcW w:w="3664" w:type="dxa"/>
          </w:tcPr>
          <w:p w:rsidR="00CD33ED" w:rsidRDefault="0069712A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Обосновка, ако е избра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но „Не“</w:t>
            </w:r>
          </w:p>
        </w:tc>
      </w:tr>
      <w:tr w:rsidR="00CD33ED">
        <w:tc>
          <w:tcPr>
            <w:tcW w:w="3662" w:type="dxa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Смекчаване на изменението на климата</w:t>
            </w:r>
          </w:p>
        </w:tc>
        <w:tc>
          <w:tcPr>
            <w:tcW w:w="845" w:type="dxa"/>
          </w:tcPr>
          <w:p w:rsidR="00CD33ED" w:rsidRDefault="00CD3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64" w:type="dxa"/>
          </w:tcPr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Мярката няма или има незначително предвидимо въздействие върху целта за смекчаване на изменението на климата, свързана с преките и първични косвени ефекти на мярката през целия й жизнен цикъл, предвид нейния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 и като такава се счита за съвместима с DNSH за смекчаване на изменението на климата;</w:t>
            </w:r>
          </w:p>
        </w:tc>
      </w:tr>
      <w:tr w:rsidR="00CD33ED">
        <w:tc>
          <w:tcPr>
            <w:tcW w:w="3662" w:type="dxa"/>
          </w:tcPr>
          <w:p w:rsidR="00CD33ED" w:rsidRDefault="0069712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Адаптиране към изменението на климата</w:t>
            </w:r>
          </w:p>
        </w:tc>
        <w:tc>
          <w:tcPr>
            <w:tcW w:w="845" w:type="dxa"/>
          </w:tcPr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48" w:type="dxa"/>
          </w:tcPr>
          <w:p w:rsidR="00CD33ED" w:rsidRDefault="00CD3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4" w:type="dxa"/>
          </w:tcPr>
          <w:p w:rsidR="00CD33ED" w:rsidRDefault="00CD3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33ED">
        <w:tc>
          <w:tcPr>
            <w:tcW w:w="3662" w:type="dxa"/>
          </w:tcPr>
          <w:p w:rsidR="00CD33ED" w:rsidRDefault="0069712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Устойчивото използване и защита на водните и морските ресурси</w:t>
            </w:r>
          </w:p>
        </w:tc>
        <w:tc>
          <w:tcPr>
            <w:tcW w:w="845" w:type="dxa"/>
          </w:tcPr>
          <w:p w:rsidR="00CD33ED" w:rsidRDefault="00CD3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64" w:type="dxa"/>
          </w:tcPr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Дейността, която се подпомага от мярката, има незначително предвидимо въздействие върху тази екологична цел, като се вземат предвид както преките, така и основните косвени ефекти през жизнения цикъл. Не са идентифицирани рискове от влошаване на околната ср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еда, свързани със запазването на качеството на водата и водния стрес, тъй като не са монтирани водопроводни фитинги или водоустройства.</w:t>
            </w:r>
          </w:p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Предложението не включва изграждането на водопроводи и / или канализационна мрежа и големи пречиствателни съоръжения.</w:t>
            </w:r>
          </w:p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 предвидено да се използва геотермална енергия.</w:t>
            </w:r>
          </w:p>
        </w:tc>
      </w:tr>
      <w:tr w:rsidR="00CD33ED">
        <w:tc>
          <w:tcPr>
            <w:tcW w:w="3662" w:type="dxa"/>
          </w:tcPr>
          <w:p w:rsidR="00CD33ED" w:rsidRDefault="0069712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Кръговата икономика, включително предотвратяване и рециклиране на отпадъци</w:t>
            </w:r>
          </w:p>
        </w:tc>
        <w:tc>
          <w:tcPr>
            <w:tcW w:w="845" w:type="dxa"/>
          </w:tcPr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8" w:type="dxa"/>
          </w:tcPr>
          <w:p w:rsidR="00CD33ED" w:rsidRDefault="00CD3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4" w:type="dxa"/>
          </w:tcPr>
          <w:p w:rsidR="00CD33ED" w:rsidRDefault="00CD3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33ED">
        <w:tc>
          <w:tcPr>
            <w:tcW w:w="3662" w:type="dxa"/>
          </w:tcPr>
          <w:p w:rsidR="00CD33ED" w:rsidRDefault="0069712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Предотвратяване и контрол на замърсяването на въздуха, водата или земята</w:t>
            </w:r>
          </w:p>
        </w:tc>
        <w:tc>
          <w:tcPr>
            <w:tcW w:w="845" w:type="dxa"/>
          </w:tcPr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8" w:type="dxa"/>
          </w:tcPr>
          <w:p w:rsidR="00CD33ED" w:rsidRDefault="00CD3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4" w:type="dxa"/>
          </w:tcPr>
          <w:p w:rsidR="00CD33ED" w:rsidRDefault="00CD3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33ED">
        <w:tc>
          <w:tcPr>
            <w:tcW w:w="3662" w:type="dxa"/>
          </w:tcPr>
          <w:p w:rsidR="00CD33ED" w:rsidRDefault="0069712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Защитата и възстановяването на биологичното разнообразие и екосистемите</w:t>
            </w:r>
          </w:p>
        </w:tc>
        <w:tc>
          <w:tcPr>
            <w:tcW w:w="845" w:type="dxa"/>
          </w:tcPr>
          <w:p w:rsidR="00CD33ED" w:rsidRDefault="00CD3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664" w:type="dxa"/>
          </w:tcPr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Дейността, която се подпомага от мярката, има незначително предвидимо въздействие върху тази екологична цел, като се вземат предвид както преките, така и основните косвени ефекти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ез жизнения цикъл. Новите конструкции и мерките за обновяване и ефективност на сградите не се отнасят до сгради, разположени в или в близост до зони, чувствителни към биоразнообразието (включително мрежата от защитени зони по Натура 2000, обектите на ЮНЕСК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за световно наследство и ключови зони за биологично разнообразие, както и други защитени зони).</w:t>
            </w:r>
          </w:p>
        </w:tc>
      </w:tr>
    </w:tbl>
    <w:p w:rsidR="00CD33ED" w:rsidRDefault="00CD33E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D33ED" w:rsidRDefault="00CD33E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D33ED" w:rsidRDefault="0069712A">
      <w:pPr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Част 2 от DNSH чеклиста</w:t>
      </w:r>
    </w:p>
    <w:p w:rsidR="00CD33ED" w:rsidRDefault="00CD33E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D33ED" w:rsidRDefault="00CD33ED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90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10"/>
        <w:gridCol w:w="660"/>
        <w:gridCol w:w="5349"/>
      </w:tblGrid>
      <w:tr w:rsidR="00CD33ED">
        <w:tc>
          <w:tcPr>
            <w:tcW w:w="3010" w:type="dxa"/>
          </w:tcPr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Въпроси</w:t>
            </w:r>
          </w:p>
        </w:tc>
        <w:tc>
          <w:tcPr>
            <w:tcW w:w="660" w:type="dxa"/>
          </w:tcPr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349" w:type="dxa"/>
          </w:tcPr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Обосновка по същество</w:t>
            </w:r>
          </w:p>
        </w:tc>
      </w:tr>
      <w:tr w:rsidR="00CD33ED">
        <w:tc>
          <w:tcPr>
            <w:tcW w:w="3010" w:type="dxa"/>
          </w:tcPr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Адаптиране към изменението на климата. Очаква ли се мярката да доведе до повишено неблагоприятно въздействие върху текущия климат и очаквания климат в бъдеще, върху самата мярка или върху хората, природата или активите?</w:t>
            </w:r>
          </w:p>
        </w:tc>
        <w:tc>
          <w:tcPr>
            <w:tcW w:w="660" w:type="dxa"/>
          </w:tcPr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349" w:type="dxa"/>
          </w:tcPr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Физическите климатични рискове,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 биха могли да имат съществено значение за тази мярка, бяха оценени като част от анализ на експозицията, обхващащ настоящия и бъдещия климат, който показа, че сградите в целевата климатична зона ще бъдат изложени на топлинни вълни. Мярката изисква от 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ономическите оператори да гарантират, че техническите сградни системи в обновените сгради са оптимизирани, за да осигурят топлинен комфорт на обитателите дори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 тези екстремни температури. Следователно няма доказателства за значителни отрицателни преки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първични косвени ефекти на мярката през целия й жизнен цикъл върху тази екологична цел.</w:t>
            </w:r>
          </w:p>
          <w:p w:rsidR="00CD33ED" w:rsidRDefault="00CD3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33ED">
        <w:tc>
          <w:tcPr>
            <w:tcW w:w="3010" w:type="dxa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Преход към кръгова икономика, включително превенция и рециклиране на отпадъци: Очаква ли се мярката да:</w:t>
            </w:r>
          </w:p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 да доведе до значително увеличаване на генерирането, изгар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янето или обезвреждането на отпадъци, с изключение на изгарянето на нерециклируеми опасни отпадъци; или</w:t>
            </w:r>
          </w:p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да доведе до значителна неефективност при прякото или непрякото използване на който и да е природен ресурс на всеки етап от неговия жизнен цикъл, кои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 не са сведени до минимум чрез адекватни мерки; или</w:t>
            </w:r>
          </w:p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 да причини значителна и дългосрочна вреда на околната среда по отношение на кръговата икономика?</w:t>
            </w:r>
          </w:p>
        </w:tc>
        <w:tc>
          <w:tcPr>
            <w:tcW w:w="660" w:type="dxa"/>
          </w:tcPr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349" w:type="dxa"/>
          </w:tcPr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Мярката изисква от икономическите оператори, извършващи обновяване на сградата, да гарантират, че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70% (тегловни) от неопасните строителни отпадъци и отпадъци от разрушаване (с изключение на естествено срещащи се материали, посочени в категория 17 05 04 в Европейския списък на отпадъците, установен с Решение 2000/532/ЕО), генерирани на строителната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лощадка, ще бъдат подготвени за повторна употреба, рециклиране и оползотворяване на други материали, включително операции по засипване, използващи отпадъци за заместване на други материали, в съответствие с йерархията на отпадъците и отпадъците от строител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ството и разрушаването на ЕС. </w:t>
            </w:r>
          </w:p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„План за управление на строителните отпадъци“ ще бъде неразделна част от всеки инвестиционен проект. С обхват и съдържание, съгласно чл. 4 и 5 от Наредба на Министерския съвет № 277/2012 г. за управление на строителните отпад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ъци и за използването на рециклирани строителни материали. </w:t>
            </w:r>
          </w:p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Опазването на околната среда ще бъде приоритет при изпълнението на обществените поръчки. Всички строително-монтажни дейности ще се извършват при стриктно спазване на приложимите изисквания на норм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ативните документи, инструкциите на възложителя и други компетентни органи в областта на опазването на околната среда и в съответствие с изискванията</w:t>
            </w:r>
          </w:p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международния стандарт EN ISO 14001: 2015.</w:t>
            </w:r>
          </w:p>
        </w:tc>
      </w:tr>
      <w:tr w:rsidR="00CD33ED">
        <w:tc>
          <w:tcPr>
            <w:tcW w:w="3010" w:type="dxa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Предотвратяване и контрол на замърсяването: Очаква ли се мя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рката да доведе до значително увеличаване на емисиите на замърсители във въздуха, водата или земята?</w:t>
            </w:r>
          </w:p>
        </w:tc>
        <w:tc>
          <w:tcPr>
            <w:tcW w:w="660" w:type="dxa"/>
          </w:tcPr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349" w:type="dxa"/>
          </w:tcPr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се очаква мярката да доведе до значително увеличаване на емисиите на замърсители във въздуха, водата или почвата, тъй като:</w:t>
            </w:r>
          </w:p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Операторите, извършващи ремонтните дейности, са длъжни да гарантират, че строителните компоненти и материалите, използвани при обновяването на сградата, не съдържат азбест, нито вещества, пораждащи голямо безпокойство, както е определено въз основа на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исъка на веществата, подлежащи на разрешение, посочен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приложение XIV към Регламент (ЕО) № 1907/2006.</w:t>
            </w:r>
          </w:p>
          <w:p w:rsidR="00CD33ED" w:rsidRDefault="00697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 време на ремонтните дейности ще бъдат взети мерки за намаляване на емисиите на шум, прах и замърсители.</w:t>
            </w:r>
          </w:p>
        </w:tc>
      </w:tr>
    </w:tbl>
    <w:p w:rsidR="00CD33ED" w:rsidRDefault="00CD33E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D33ED" w:rsidRDefault="00CD33E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D33ED" w:rsidRDefault="00CD33E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D33ED" w:rsidRDefault="00CD33E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D33ED" w:rsidRDefault="00CD33ED">
      <w:pPr>
        <w:rPr>
          <w:rFonts w:ascii="Times New Roman" w:eastAsia="Times New Roman" w:hAnsi="Times New Roman" w:cs="Times New Roman"/>
          <w:sz w:val="24"/>
          <w:szCs w:val="24"/>
        </w:rPr>
        <w:sectPr w:rsidR="00CD33ED">
          <w:headerReference w:type="default" r:id="rId8"/>
          <w:footerReference w:type="default" r:id="rId9"/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CD33ED" w:rsidRDefault="00CD33E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D33ED" w:rsidRDefault="0069712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 - Времеви график за изпълнение на проекта</w:t>
      </w:r>
    </w:p>
    <w:p w:rsidR="00CD33ED" w:rsidRDefault="00CD33E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D33ED" w:rsidRDefault="00CD33E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D33ED" w:rsidRDefault="00CD33ED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133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0"/>
        <w:gridCol w:w="6"/>
        <w:gridCol w:w="221"/>
        <w:gridCol w:w="10"/>
        <w:gridCol w:w="216"/>
        <w:gridCol w:w="7"/>
        <w:gridCol w:w="12"/>
        <w:gridCol w:w="218"/>
        <w:gridCol w:w="240"/>
        <w:gridCol w:w="14"/>
        <w:gridCol w:w="222"/>
        <w:gridCol w:w="15"/>
        <w:gridCol w:w="219"/>
        <w:gridCol w:w="16"/>
        <w:gridCol w:w="218"/>
        <w:gridCol w:w="17"/>
        <w:gridCol w:w="219"/>
        <w:gridCol w:w="18"/>
        <w:gridCol w:w="216"/>
        <w:gridCol w:w="19"/>
        <w:gridCol w:w="241"/>
        <w:gridCol w:w="18"/>
        <w:gridCol w:w="278"/>
        <w:gridCol w:w="19"/>
        <w:gridCol w:w="260"/>
        <w:gridCol w:w="19"/>
        <w:gridCol w:w="260"/>
        <w:gridCol w:w="19"/>
        <w:gridCol w:w="303"/>
        <w:gridCol w:w="19"/>
        <w:gridCol w:w="264"/>
        <w:gridCol w:w="14"/>
        <w:gridCol w:w="190"/>
        <w:gridCol w:w="3"/>
        <w:gridCol w:w="191"/>
        <w:gridCol w:w="14"/>
        <w:gridCol w:w="264"/>
        <w:gridCol w:w="14"/>
        <w:gridCol w:w="264"/>
        <w:gridCol w:w="14"/>
        <w:gridCol w:w="264"/>
        <w:gridCol w:w="14"/>
        <w:gridCol w:w="264"/>
        <w:gridCol w:w="14"/>
        <w:gridCol w:w="264"/>
        <w:gridCol w:w="14"/>
        <w:gridCol w:w="271"/>
        <w:gridCol w:w="14"/>
        <w:gridCol w:w="264"/>
        <w:gridCol w:w="14"/>
        <w:gridCol w:w="264"/>
        <w:gridCol w:w="14"/>
        <w:gridCol w:w="265"/>
        <w:gridCol w:w="14"/>
        <w:gridCol w:w="264"/>
        <w:gridCol w:w="14"/>
        <w:gridCol w:w="190"/>
        <w:gridCol w:w="194"/>
        <w:gridCol w:w="14"/>
        <w:gridCol w:w="264"/>
        <w:gridCol w:w="14"/>
        <w:gridCol w:w="265"/>
        <w:gridCol w:w="14"/>
        <w:gridCol w:w="265"/>
        <w:gridCol w:w="14"/>
        <w:gridCol w:w="264"/>
        <w:gridCol w:w="14"/>
        <w:gridCol w:w="264"/>
        <w:gridCol w:w="14"/>
        <w:gridCol w:w="264"/>
        <w:gridCol w:w="14"/>
        <w:gridCol w:w="529"/>
      </w:tblGrid>
      <w:tr w:rsidR="00CD33ED">
        <w:trPr>
          <w:trHeight w:val="410"/>
          <w:jc w:val="center"/>
        </w:trPr>
        <w:tc>
          <w:tcPr>
            <w:tcW w:w="3700" w:type="dxa"/>
            <w:vMerge w:val="restart"/>
            <w:tcBorders>
              <w:right w:val="single" w:sz="2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Дейност 1:</w:t>
            </w:r>
          </w:p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0" w:type="dxa"/>
            <w:gridSpan w:val="71"/>
            <w:tcBorders>
              <w:left w:val="single" w:sz="24" w:space="0" w:color="000000"/>
            </w:tcBorders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Изграждане на фокус-точки</w:t>
            </w:r>
          </w:p>
        </w:tc>
      </w:tr>
      <w:tr w:rsidR="00CD33ED">
        <w:trPr>
          <w:trHeight w:val="303"/>
          <w:jc w:val="center"/>
        </w:trPr>
        <w:tc>
          <w:tcPr>
            <w:tcW w:w="3700" w:type="dxa"/>
            <w:vMerge/>
            <w:tcBorders>
              <w:right w:val="single" w:sz="24" w:space="0" w:color="000000"/>
            </w:tcBorders>
            <w:shd w:val="clear" w:color="auto" w:fill="92D050"/>
            <w:vAlign w:val="center"/>
          </w:tcPr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gridSpan w:val="7"/>
            <w:tcBorders>
              <w:left w:val="single" w:sz="24" w:space="0" w:color="000000"/>
            </w:tcBorders>
            <w:shd w:val="clear" w:color="auto" w:fill="92D050"/>
          </w:tcPr>
          <w:p w:rsidR="00CD33ED" w:rsidRDefault="0069712A">
            <w:pPr>
              <w:ind w:right="-19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2021 г.</w:t>
            </w:r>
          </w:p>
          <w:p w:rsidR="00CD33ED" w:rsidRDefault="0069712A">
            <w:pPr>
              <w:ind w:right="-19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Старт октомври 2021 </w:t>
            </w:r>
          </w:p>
        </w:tc>
        <w:tc>
          <w:tcPr>
            <w:tcW w:w="3133" w:type="dxa"/>
            <w:gridSpan w:val="23"/>
            <w:tcBorders>
              <w:left w:val="single" w:sz="24" w:space="0" w:color="000000"/>
            </w:tcBorders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2022 г.</w:t>
            </w:r>
          </w:p>
        </w:tc>
        <w:tc>
          <w:tcPr>
            <w:tcW w:w="3186" w:type="dxa"/>
            <w:gridSpan w:val="24"/>
            <w:tcBorders>
              <w:left w:val="single" w:sz="24" w:space="0" w:color="000000"/>
            </w:tcBorders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2023 г.</w:t>
            </w:r>
          </w:p>
        </w:tc>
        <w:tc>
          <w:tcPr>
            <w:tcW w:w="2611" w:type="dxa"/>
            <w:gridSpan w:val="17"/>
            <w:tcBorders>
              <w:left w:val="single" w:sz="24" w:space="0" w:color="000000"/>
            </w:tcBorders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2024 </w:t>
            </w:r>
          </w:p>
        </w:tc>
      </w:tr>
      <w:tr w:rsidR="00CD33ED">
        <w:trPr>
          <w:trHeight w:val="303"/>
          <w:jc w:val="center"/>
        </w:trPr>
        <w:tc>
          <w:tcPr>
            <w:tcW w:w="3700" w:type="dxa"/>
            <w:vMerge/>
            <w:tcBorders>
              <w:right w:val="single" w:sz="24" w:space="0" w:color="000000"/>
            </w:tcBorders>
            <w:shd w:val="clear" w:color="auto" w:fill="92D050"/>
            <w:vAlign w:val="center"/>
          </w:tcPr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0" w:type="dxa"/>
            <w:gridSpan w:val="71"/>
            <w:tcBorders>
              <w:left w:val="single" w:sz="24" w:space="0" w:color="000000"/>
            </w:tcBorders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Месеци</w:t>
            </w:r>
          </w:p>
        </w:tc>
      </w:tr>
      <w:tr w:rsidR="003A0282">
        <w:trPr>
          <w:trHeight w:val="303"/>
          <w:jc w:val="center"/>
        </w:trPr>
        <w:tc>
          <w:tcPr>
            <w:tcW w:w="3700" w:type="dxa"/>
            <w:vMerge/>
            <w:tcBorders>
              <w:right w:val="single" w:sz="24" w:space="0" w:color="000000"/>
            </w:tcBorders>
            <w:shd w:val="clear" w:color="auto" w:fill="92D050"/>
            <w:vAlign w:val="center"/>
          </w:tcPr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gridSpan w:val="2"/>
            <w:tcBorders>
              <w:left w:val="single" w:sz="24" w:space="0" w:color="000000"/>
            </w:tcBorders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3" w:type="dxa"/>
            <w:gridSpan w:val="3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0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0" w:type="dxa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6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4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4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6" w:type="dxa"/>
            <w:gridSpan w:val="2"/>
            <w:tcBorders>
              <w:right w:val="single" w:sz="24" w:space="0" w:color="000000"/>
            </w:tcBorders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34" w:type="dxa"/>
            <w:gridSpan w:val="2"/>
            <w:tcBorders>
              <w:left w:val="single" w:sz="24" w:space="0" w:color="000000"/>
            </w:tcBorders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78" w:type="dxa"/>
            <w:gridSpan w:val="3"/>
            <w:tcBorders>
              <w:right w:val="single" w:sz="4" w:space="0" w:color="000000"/>
            </w:tcBorders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78" w:type="dxa"/>
            <w:tcBorders>
              <w:left w:val="single" w:sz="4" w:space="0" w:color="000000"/>
            </w:tcBorders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79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79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22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83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04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94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78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78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78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78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78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85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78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78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79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78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04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94" w:type="dxa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78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79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79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78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78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78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43" w:type="dxa"/>
            <w:gridSpan w:val="2"/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CD33ED">
        <w:trPr>
          <w:jc w:val="center"/>
        </w:trPr>
        <w:tc>
          <w:tcPr>
            <w:tcW w:w="13320" w:type="dxa"/>
            <w:gridSpan w:val="72"/>
            <w:shd w:val="clear" w:color="auto" w:fill="FFFF00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Етап 1: Идентифициране на местата за позициониране на фокус-точки (Регионален център) в конкретен областен град от Региона на планиране (NUTS-2).</w:t>
            </w:r>
          </w:p>
        </w:tc>
      </w:tr>
      <w:tr w:rsidR="00CD33ED">
        <w:trPr>
          <w:jc w:val="center"/>
        </w:trPr>
        <w:tc>
          <w:tcPr>
            <w:tcW w:w="3700" w:type="dxa"/>
            <w:tcBorders>
              <w:right w:val="single" w:sz="24" w:space="0" w:color="000000"/>
            </w:tcBorders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Обследване и идентифициране на заинтересованите страни и на средата в рамките на всеки един от  шестте регион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на планиране.</w:t>
            </w:r>
          </w:p>
        </w:tc>
        <w:tc>
          <w:tcPr>
            <w:tcW w:w="227" w:type="dxa"/>
            <w:gridSpan w:val="2"/>
            <w:tcBorders>
              <w:lef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33" w:type="dxa"/>
            <w:gridSpan w:val="3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30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righ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lef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3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33ED">
        <w:trPr>
          <w:jc w:val="center"/>
        </w:trPr>
        <w:tc>
          <w:tcPr>
            <w:tcW w:w="3700" w:type="dxa"/>
            <w:tcBorders>
              <w:right w:val="single" w:sz="24" w:space="0" w:color="000000"/>
            </w:tcBorders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Придобиване на помещения</w:t>
            </w:r>
          </w:p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gridSpan w:val="2"/>
            <w:tcBorders>
              <w:lef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3" w:type="dxa"/>
            <w:gridSpan w:val="3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0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0" w:type="dxa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6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righ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lef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3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33ED">
        <w:trPr>
          <w:jc w:val="center"/>
        </w:trPr>
        <w:tc>
          <w:tcPr>
            <w:tcW w:w="13320" w:type="dxa"/>
            <w:gridSpan w:val="72"/>
            <w:shd w:val="clear" w:color="auto" w:fill="FFFF00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Етап 2: Рехабилитация на инфраструктурата и техническо осигуряване</w:t>
            </w:r>
          </w:p>
        </w:tc>
      </w:tr>
      <w:tr w:rsidR="00CD33ED">
        <w:trPr>
          <w:jc w:val="center"/>
        </w:trPr>
        <w:tc>
          <w:tcPr>
            <w:tcW w:w="3700" w:type="dxa"/>
            <w:tcBorders>
              <w:right w:val="single" w:sz="24" w:space="0" w:color="000000"/>
            </w:tcBorders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Закупуване на хардуерно оборудване за всяка фокус-точка (Регионален център):</w:t>
            </w:r>
          </w:p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gridSpan w:val="2"/>
            <w:tcBorders>
              <w:lef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233" w:type="dxa"/>
            <w:gridSpan w:val="3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0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0" w:type="dxa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6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4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4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6" w:type="dxa"/>
            <w:gridSpan w:val="2"/>
            <w:tcBorders>
              <w:righ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4" w:type="dxa"/>
            <w:gridSpan w:val="2"/>
            <w:tcBorders>
              <w:lef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3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33ED">
        <w:trPr>
          <w:jc w:val="center"/>
        </w:trPr>
        <w:tc>
          <w:tcPr>
            <w:tcW w:w="3700" w:type="dxa"/>
            <w:tcBorders>
              <w:right w:val="single" w:sz="24" w:space="0" w:color="000000"/>
            </w:tcBorders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Закупуване на специализирано  софтуерно оборудване за всяка фокус-точка (Регионален център):</w:t>
            </w:r>
          </w:p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gridSpan w:val="2"/>
            <w:tcBorders>
              <w:lef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3" w:type="dxa"/>
            <w:gridSpan w:val="3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0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0" w:type="dxa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6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4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4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6" w:type="dxa"/>
            <w:gridSpan w:val="2"/>
            <w:tcBorders>
              <w:righ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4" w:type="dxa"/>
            <w:gridSpan w:val="2"/>
            <w:tcBorders>
              <w:lef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3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33ED">
        <w:trPr>
          <w:jc w:val="center"/>
        </w:trPr>
        <w:tc>
          <w:tcPr>
            <w:tcW w:w="3700" w:type="dxa"/>
            <w:tcBorders>
              <w:right w:val="single" w:sz="24" w:space="0" w:color="000000"/>
            </w:tcBorders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Закупуване на офис оборудване за всяка фокус-точка (Регионален център):</w:t>
            </w:r>
          </w:p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gridSpan w:val="2"/>
            <w:tcBorders>
              <w:lef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dxa"/>
            <w:gridSpan w:val="3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0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0" w:type="dxa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6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4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righ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lef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3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33ED">
        <w:trPr>
          <w:jc w:val="center"/>
        </w:trPr>
        <w:tc>
          <w:tcPr>
            <w:tcW w:w="3700" w:type="dxa"/>
            <w:tcBorders>
              <w:right w:val="single" w:sz="24" w:space="0" w:color="000000"/>
            </w:tcBorders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Закупуване на смартфони, СИМ карти с пренос /трафик на данни 35 месеца</w:t>
            </w:r>
          </w:p>
        </w:tc>
        <w:tc>
          <w:tcPr>
            <w:tcW w:w="227" w:type="dxa"/>
            <w:gridSpan w:val="2"/>
            <w:tcBorders>
              <w:lef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3" w:type="dxa"/>
            <w:gridSpan w:val="3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0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0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righ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lef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3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33ED">
        <w:trPr>
          <w:jc w:val="center"/>
        </w:trPr>
        <w:tc>
          <w:tcPr>
            <w:tcW w:w="13320" w:type="dxa"/>
            <w:gridSpan w:val="72"/>
            <w:shd w:val="clear" w:color="auto" w:fill="FFFF0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Етап 3: Осигуряване на експертен капацитет</w:t>
            </w:r>
          </w:p>
        </w:tc>
      </w:tr>
      <w:tr w:rsidR="00CD33ED">
        <w:trPr>
          <w:jc w:val="center"/>
        </w:trPr>
        <w:tc>
          <w:tcPr>
            <w:tcW w:w="3700" w:type="dxa"/>
            <w:tcBorders>
              <w:right w:val="single" w:sz="24" w:space="0" w:color="000000"/>
            </w:tcBorders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Наемане на персонал</w:t>
            </w:r>
          </w:p>
        </w:tc>
        <w:tc>
          <w:tcPr>
            <w:tcW w:w="227" w:type="dxa"/>
            <w:gridSpan w:val="2"/>
            <w:tcBorders>
              <w:lef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6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7" w:type="dxa"/>
            <w:gridSpan w:val="3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0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righ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lef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3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33ED">
        <w:trPr>
          <w:jc w:val="center"/>
        </w:trPr>
        <w:tc>
          <w:tcPr>
            <w:tcW w:w="3700" w:type="dxa"/>
            <w:vMerge w:val="restart"/>
            <w:tcBorders>
              <w:top w:val="single" w:sz="24" w:space="0" w:color="000000"/>
            </w:tcBorders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Дейност 2:  </w:t>
            </w:r>
          </w:p>
        </w:tc>
        <w:tc>
          <w:tcPr>
            <w:tcW w:w="9620" w:type="dxa"/>
            <w:gridSpan w:val="71"/>
            <w:tcBorders>
              <w:top w:val="single" w:sz="24" w:space="0" w:color="000000"/>
              <w:bottom w:val="single" w:sz="4" w:space="0" w:color="000000"/>
              <w:right w:val="single" w:sz="2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Обследване на нуждите и интеграция на решения за дигитализация и екологично въздействие на процесите на субектите на социалната и солидарна икономика</w:t>
            </w:r>
          </w:p>
        </w:tc>
      </w:tr>
      <w:tr w:rsidR="00CD33ED">
        <w:trPr>
          <w:jc w:val="center"/>
        </w:trPr>
        <w:tc>
          <w:tcPr>
            <w:tcW w:w="3700" w:type="dxa"/>
            <w:vMerge/>
            <w:tcBorders>
              <w:top w:val="single" w:sz="24" w:space="0" w:color="000000"/>
            </w:tcBorders>
            <w:shd w:val="clear" w:color="auto" w:fill="92D050"/>
          </w:tcPr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0" w:type="dxa"/>
            <w:gridSpan w:val="71"/>
            <w:tcBorders>
              <w:top w:val="single" w:sz="4" w:space="0" w:color="000000"/>
              <w:right w:val="single" w:sz="2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Месеци</w:t>
            </w:r>
          </w:p>
        </w:tc>
      </w:tr>
      <w:tr w:rsidR="003A0282">
        <w:trPr>
          <w:jc w:val="center"/>
        </w:trPr>
        <w:tc>
          <w:tcPr>
            <w:tcW w:w="3700" w:type="dxa"/>
            <w:vMerge/>
            <w:tcBorders>
              <w:top w:val="single" w:sz="24" w:space="0" w:color="000000"/>
            </w:tcBorders>
            <w:shd w:val="clear" w:color="auto" w:fill="92D050"/>
          </w:tcPr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3" w:type="dxa"/>
            <w:gridSpan w:val="3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0" w:type="dxa"/>
            <w:gridSpan w:val="2"/>
            <w:tcBorders>
              <w:right w:val="single" w:sz="2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0" w:type="dxa"/>
            <w:tcBorders>
              <w:left w:val="single" w:sz="2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6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4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4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34" w:type="dxa"/>
            <w:gridSpan w:val="2"/>
            <w:tcBorders>
              <w:left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78" w:type="dxa"/>
            <w:gridSpan w:val="3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78" w:type="dxa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79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79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22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83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04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94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85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79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04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94" w:type="dxa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79" w:type="dxa"/>
            <w:gridSpan w:val="2"/>
            <w:tcBorders>
              <w:right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79" w:type="dxa"/>
            <w:gridSpan w:val="2"/>
            <w:tcBorders>
              <w:left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43" w:type="dxa"/>
            <w:gridSpan w:val="2"/>
            <w:tcBorders>
              <w:right w:val="single" w:sz="2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CD33ED">
        <w:trPr>
          <w:trHeight w:val="333"/>
          <w:jc w:val="center"/>
        </w:trPr>
        <w:tc>
          <w:tcPr>
            <w:tcW w:w="13320" w:type="dxa"/>
            <w:gridSpan w:val="72"/>
            <w:tcBorders>
              <w:right w:val="single" w:sz="24" w:space="0" w:color="000000"/>
            </w:tcBorders>
            <w:shd w:val="clear" w:color="auto" w:fill="FFFF0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Етап 1: Дигитализация на  процесите на работа</w:t>
            </w:r>
          </w:p>
        </w:tc>
      </w:tr>
      <w:tr w:rsidR="00CD33ED">
        <w:trPr>
          <w:jc w:val="center"/>
        </w:trPr>
        <w:tc>
          <w:tcPr>
            <w:tcW w:w="3700" w:type="dxa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Обследване на специфичните нужди и дефицити на конкретни социални предприятия и субекти на социалната и солидарна икономика</w:t>
            </w:r>
          </w:p>
        </w:tc>
        <w:tc>
          <w:tcPr>
            <w:tcW w:w="227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dxa"/>
            <w:gridSpan w:val="3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dxa"/>
            <w:gridSpan w:val="2"/>
            <w:tcBorders>
              <w:righ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6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4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4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4" w:type="dxa"/>
            <w:gridSpan w:val="2"/>
            <w:tcBorders>
              <w:left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3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2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4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4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4BACC6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4BACC6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4BACC6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auto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  <w:shd w:val="clear" w:color="auto" w:fill="auto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shd w:val="clear" w:color="auto" w:fill="auto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shd w:val="clear" w:color="auto" w:fill="auto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shd w:val="clear" w:color="auto" w:fill="auto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dxa"/>
            <w:gridSpan w:val="2"/>
            <w:shd w:val="clear" w:color="auto" w:fill="auto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dxa"/>
            <w:shd w:val="clear" w:color="auto" w:fill="auto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shd w:val="clear" w:color="auto" w:fill="auto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shd w:val="clear" w:color="auto" w:fill="auto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shd w:val="clear" w:color="auto" w:fill="auto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shd w:val="clear" w:color="auto" w:fill="auto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right w:val="single" w:sz="24" w:space="0" w:color="000000"/>
            </w:tcBorders>
            <w:shd w:val="clear" w:color="auto" w:fill="auto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0282">
        <w:trPr>
          <w:trHeight w:val="2879"/>
          <w:jc w:val="center"/>
        </w:trPr>
        <w:tc>
          <w:tcPr>
            <w:tcW w:w="3700" w:type="dxa"/>
            <w:tcBorders>
              <w:right w:val="single" w:sz="4" w:space="0" w:color="000000"/>
            </w:tcBorders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Закупуване и внедряване в работата на субектите от социалната и солидарна икономика на софтуерни и хардуерни решения, изкуствен интелект, оборудване с 3D-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принтери, 3D-скенери и др. </w:t>
            </w:r>
          </w:p>
        </w:tc>
        <w:tc>
          <w:tcPr>
            <w:tcW w:w="227" w:type="dxa"/>
            <w:gridSpan w:val="2"/>
            <w:tcBorders>
              <w:left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dxa"/>
            <w:gridSpan w:val="3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dxa"/>
            <w:gridSpan w:val="2"/>
            <w:tcBorders>
              <w:righ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3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2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83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04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4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5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4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4" w:type="dxa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right w:val="single" w:sz="24" w:space="0" w:color="000000"/>
            </w:tcBorders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33ED">
        <w:trPr>
          <w:jc w:val="center"/>
        </w:trPr>
        <w:tc>
          <w:tcPr>
            <w:tcW w:w="3700" w:type="dxa"/>
            <w:vMerge w:val="restart"/>
            <w:tcBorders>
              <w:top w:val="single" w:sz="24" w:space="0" w:color="000000"/>
              <w:right w:val="single" w:sz="4" w:space="0" w:color="000000"/>
            </w:tcBorders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Дейност 3:</w:t>
            </w:r>
          </w:p>
        </w:tc>
        <w:tc>
          <w:tcPr>
            <w:tcW w:w="9620" w:type="dxa"/>
            <w:gridSpan w:val="71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Насърчаване създаването на мрежи и провеждане на обучения, дискусии, инициативи и партньорства за приобщаване на социалните пре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дприемачи към социалния и граждански диалог с държавните институции, местната власт, местните общности (местен бизнес, граждански сдружения, училища, влиятелни граждани (неформални местни лидери) и др.)</w:t>
            </w:r>
          </w:p>
        </w:tc>
      </w:tr>
      <w:tr w:rsidR="00CD33ED">
        <w:trPr>
          <w:jc w:val="center"/>
        </w:trPr>
        <w:tc>
          <w:tcPr>
            <w:tcW w:w="3700" w:type="dxa"/>
            <w:vMerge/>
            <w:tcBorders>
              <w:top w:val="single" w:sz="24" w:space="0" w:color="000000"/>
              <w:right w:val="single" w:sz="4" w:space="0" w:color="000000"/>
            </w:tcBorders>
            <w:shd w:val="clear" w:color="auto" w:fill="92D050"/>
          </w:tcPr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0" w:type="dxa"/>
            <w:gridSpan w:val="71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Месеци</w:t>
            </w:r>
          </w:p>
        </w:tc>
      </w:tr>
      <w:tr w:rsidR="003A0282">
        <w:trPr>
          <w:jc w:val="center"/>
        </w:trPr>
        <w:tc>
          <w:tcPr>
            <w:tcW w:w="3706" w:type="dxa"/>
            <w:gridSpan w:val="2"/>
            <w:tcBorders>
              <w:top w:val="single" w:sz="24" w:space="0" w:color="000000"/>
              <w:right w:val="single" w:sz="4" w:space="0" w:color="000000"/>
            </w:tcBorders>
            <w:shd w:val="clear" w:color="auto" w:fill="92D050"/>
          </w:tcPr>
          <w:p w:rsidR="00CD33ED" w:rsidRDefault="00CD33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" w:type="dxa"/>
            <w:gridSpan w:val="3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" w:type="dxa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5" w:type="dxa"/>
            <w:gridSpan w:val="3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3" w:type="dxa"/>
            <w:gridSpan w:val="2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5" w:type="dxa"/>
            <w:gridSpan w:val="2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5" w:type="dxa"/>
            <w:gridSpan w:val="2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9" w:type="dxa"/>
            <w:tcBorders>
              <w:top w:val="single" w:sz="4" w:space="0" w:color="000000"/>
              <w:right w:val="single" w:sz="2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CD33ED">
        <w:trPr>
          <w:jc w:val="center"/>
        </w:trPr>
        <w:tc>
          <w:tcPr>
            <w:tcW w:w="13320" w:type="dxa"/>
            <w:gridSpan w:val="72"/>
            <w:tcBorders>
              <w:right w:val="single" w:sz="24" w:space="0" w:color="000000"/>
            </w:tcBorders>
            <w:shd w:val="clear" w:color="auto" w:fill="FFFF00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Етап 1: Създаване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база данни от специалисти</w:t>
            </w:r>
          </w:p>
        </w:tc>
      </w:tr>
      <w:tr w:rsidR="00CD33ED">
        <w:trPr>
          <w:jc w:val="center"/>
        </w:trPr>
        <w:tc>
          <w:tcPr>
            <w:tcW w:w="370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Създаване и актуализиране на база данни от специалисти,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включително от академичните среди, местните структури на бизнеса, специалисти от местната власт и др.</w:t>
            </w:r>
          </w:p>
        </w:tc>
        <w:tc>
          <w:tcPr>
            <w:tcW w:w="23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3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" w:type="dxa"/>
            <w:tcBorders>
              <w:bottom w:val="single" w:sz="4" w:space="0" w:color="000000"/>
              <w:righ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  <w:gridSpan w:val="2"/>
            <w:tcBorders>
              <w:left w:val="single" w:sz="24" w:space="0" w:color="000000"/>
              <w:bottom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7" w:type="dxa"/>
            <w:gridSpan w:val="2"/>
            <w:tcBorders>
              <w:bottom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5" w:type="dxa"/>
            <w:gridSpan w:val="2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" w:type="dxa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tcBorders>
              <w:bottom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gridSpan w:val="2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" w:type="dxa"/>
            <w:gridSpan w:val="2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tcBorders>
              <w:bottom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tcBorders>
              <w:bottom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dxa"/>
            <w:gridSpan w:val="2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tcBorders>
              <w:bottom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bottom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bottom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bottom w:val="single" w:sz="4" w:space="0" w:color="000000"/>
              <w:righ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33ED">
        <w:trPr>
          <w:jc w:val="center"/>
        </w:trPr>
        <w:tc>
          <w:tcPr>
            <w:tcW w:w="13320" w:type="dxa"/>
            <w:gridSpan w:val="72"/>
            <w:tcBorders>
              <w:right w:val="single" w:sz="24" w:space="0" w:color="000000"/>
            </w:tcBorders>
            <w:shd w:val="clear" w:color="auto" w:fill="FFFF00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Етап 2: Провеждане на консултации обучения, инициативи и партньорства</w:t>
            </w:r>
          </w:p>
        </w:tc>
      </w:tr>
      <w:tr w:rsidR="003A0282">
        <w:trPr>
          <w:jc w:val="center"/>
        </w:trPr>
        <w:tc>
          <w:tcPr>
            <w:tcW w:w="3706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Провеждане на консултации за стартиране на социално предприятие;</w:t>
            </w: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3"/>
            <w:tcBorders>
              <w:top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4" w:space="0" w:color="000000"/>
              <w:righ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  <w:gridSpan w:val="2"/>
            <w:tcBorders>
              <w:top w:val="single" w:sz="4" w:space="0" w:color="000000"/>
              <w:lef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7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5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5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7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1" w:type="dxa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5" w:type="dxa"/>
            <w:gridSpan w:val="3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2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3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5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5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0" w:type="dxa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9" w:type="dxa"/>
            <w:tcBorders>
              <w:top w:val="single" w:sz="4" w:space="0" w:color="000000"/>
              <w:righ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A0282">
        <w:trPr>
          <w:jc w:val="center"/>
        </w:trPr>
        <w:tc>
          <w:tcPr>
            <w:tcW w:w="3706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Провеждане на консултации относно финансови инструменти и дигитализация на стартиращи субекти на социалната и солида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рна икономика;</w:t>
            </w: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3"/>
            <w:tcBorders>
              <w:top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4" w:space="0" w:color="000000"/>
              <w:righ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  <w:gridSpan w:val="2"/>
            <w:tcBorders>
              <w:top w:val="single" w:sz="4" w:space="0" w:color="000000"/>
              <w:lef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7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5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5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7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1" w:type="dxa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5" w:type="dxa"/>
            <w:gridSpan w:val="3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2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3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5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5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0" w:type="dxa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9" w:type="dxa"/>
            <w:tcBorders>
              <w:top w:val="single" w:sz="4" w:space="0" w:color="000000"/>
              <w:righ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A0282">
        <w:trPr>
          <w:jc w:val="center"/>
        </w:trPr>
        <w:tc>
          <w:tcPr>
            <w:tcW w:w="3706" w:type="dxa"/>
            <w:gridSpan w:val="2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Подпомагане субектите на социалната и солидарна икономика при изготвяне на документация за осигуряване на финансов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есурс в партньорство със заинтересовани страни;</w:t>
            </w:r>
          </w:p>
        </w:tc>
        <w:tc>
          <w:tcPr>
            <w:tcW w:w="231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3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" w:type="dxa"/>
            <w:tcBorders>
              <w:righ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  <w:gridSpan w:val="2"/>
            <w:tcBorders>
              <w:lef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7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5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5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7" w:type="dxa"/>
            <w:gridSpan w:val="2"/>
            <w:tcBorders>
              <w:right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5" w:type="dxa"/>
            <w:gridSpan w:val="2"/>
            <w:tcBorders>
              <w:left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1" w:type="dxa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5" w:type="dxa"/>
            <w:gridSpan w:val="3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2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3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5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5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0" w:type="dxa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9" w:type="dxa"/>
            <w:tcBorders>
              <w:righ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A0282">
        <w:trPr>
          <w:jc w:val="center"/>
        </w:trPr>
        <w:tc>
          <w:tcPr>
            <w:tcW w:w="3706" w:type="dxa"/>
            <w:gridSpan w:val="2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Провеждане на обучения за представители на дигитализираните предприятия за работа с нововъведените дигитални инструменти.</w:t>
            </w:r>
          </w:p>
        </w:tc>
        <w:tc>
          <w:tcPr>
            <w:tcW w:w="231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3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" w:type="dxa"/>
            <w:tcBorders>
              <w:righ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  <w:gridSpan w:val="2"/>
            <w:tcBorders>
              <w:lef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gridSpan w:val="2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gridSpan w:val="2"/>
            <w:tcBorders>
              <w:right w:val="single" w:sz="4" w:space="0" w:color="000000"/>
            </w:tcBorders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2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3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5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5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0" w:type="dxa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right w:val="single" w:sz="24" w:space="0" w:color="000000"/>
            </w:tcBorders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0282">
        <w:trPr>
          <w:jc w:val="center"/>
        </w:trPr>
        <w:tc>
          <w:tcPr>
            <w:tcW w:w="3706" w:type="dxa"/>
            <w:gridSpan w:val="2"/>
            <w:tcBorders>
              <w:right w:val="single" w:sz="4" w:space="0" w:color="000000"/>
            </w:tcBorders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Маркетиране на продукти и услуги на предприятията,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включително и чрез стратегически партньорства</w:t>
            </w:r>
          </w:p>
        </w:tc>
        <w:tc>
          <w:tcPr>
            <w:tcW w:w="231" w:type="dxa"/>
            <w:gridSpan w:val="2"/>
            <w:tcBorders>
              <w:left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3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" w:type="dxa"/>
            <w:tcBorders>
              <w:righ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  <w:gridSpan w:val="2"/>
            <w:tcBorders>
              <w:lef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gridSpan w:val="2"/>
            <w:tcBorders>
              <w:right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35" w:type="dxa"/>
            <w:gridSpan w:val="2"/>
            <w:tcBorders>
              <w:left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1" w:type="dxa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5" w:type="dxa"/>
            <w:gridSpan w:val="3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2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3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5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5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0" w:type="dxa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9" w:type="dxa"/>
            <w:tcBorders>
              <w:righ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A0282">
        <w:trPr>
          <w:jc w:val="center"/>
        </w:trPr>
        <w:tc>
          <w:tcPr>
            <w:tcW w:w="3706" w:type="dxa"/>
            <w:gridSpan w:val="2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Консултантски услуги за специфичните нужди на конкретни субекти на социалната икономика, за които няма експертен капацитет в съответната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фокус-точка (Регионален център)</w:t>
            </w:r>
          </w:p>
        </w:tc>
        <w:tc>
          <w:tcPr>
            <w:tcW w:w="231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3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" w:type="dxa"/>
            <w:tcBorders>
              <w:righ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  <w:gridSpan w:val="2"/>
            <w:tcBorders>
              <w:lef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gridSpan w:val="2"/>
            <w:tcBorders>
              <w:right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tcBorders>
              <w:left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2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3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5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5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0" w:type="dxa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9" w:type="dxa"/>
            <w:tcBorders>
              <w:righ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D33ED">
        <w:trPr>
          <w:jc w:val="center"/>
        </w:trPr>
        <w:tc>
          <w:tcPr>
            <w:tcW w:w="3706" w:type="dxa"/>
            <w:gridSpan w:val="2"/>
            <w:vMerge w:val="restart"/>
            <w:tcBorders>
              <w:top w:val="single" w:sz="24" w:space="0" w:color="000000"/>
            </w:tcBorders>
            <w:shd w:val="clear" w:color="auto" w:fill="92D050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Дейност 4:</w:t>
            </w:r>
          </w:p>
        </w:tc>
        <w:tc>
          <w:tcPr>
            <w:tcW w:w="9614" w:type="dxa"/>
            <w:gridSpan w:val="70"/>
            <w:tcBorders>
              <w:top w:val="single" w:sz="24" w:space="0" w:color="000000"/>
              <w:right w:val="single" w:sz="2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Изграждане на мрежи, клъстери в социалната икономика, включително със социално-отговорни корпоративни субекти и институционални представител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на образователната система на ниво средно и висше образование.</w:t>
            </w:r>
          </w:p>
        </w:tc>
      </w:tr>
      <w:tr w:rsidR="00CD33ED">
        <w:trPr>
          <w:jc w:val="center"/>
        </w:trPr>
        <w:tc>
          <w:tcPr>
            <w:tcW w:w="3706" w:type="dxa"/>
            <w:gridSpan w:val="2"/>
            <w:vMerge/>
            <w:tcBorders>
              <w:top w:val="single" w:sz="24" w:space="0" w:color="000000"/>
            </w:tcBorders>
            <w:shd w:val="clear" w:color="auto" w:fill="92D050"/>
          </w:tcPr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14" w:type="dxa"/>
            <w:gridSpan w:val="70"/>
            <w:tcBorders>
              <w:top w:val="single" w:sz="24" w:space="0" w:color="000000"/>
              <w:right w:val="single" w:sz="2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Месеци</w:t>
            </w:r>
          </w:p>
        </w:tc>
      </w:tr>
      <w:tr w:rsidR="003A0282">
        <w:trPr>
          <w:jc w:val="center"/>
        </w:trPr>
        <w:tc>
          <w:tcPr>
            <w:tcW w:w="3706" w:type="dxa"/>
            <w:gridSpan w:val="2"/>
            <w:vMerge/>
            <w:tcBorders>
              <w:top w:val="single" w:sz="24" w:space="0" w:color="000000"/>
            </w:tcBorders>
            <w:shd w:val="clear" w:color="auto" w:fill="92D050"/>
          </w:tcPr>
          <w:p w:rsidR="00CD33ED" w:rsidRDefault="00CD33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" w:type="dxa"/>
            <w:gridSpan w:val="3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" w:type="dxa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" w:type="dxa"/>
            <w:gridSpan w:val="2"/>
            <w:tcBorders>
              <w:right w:val="single" w:sz="2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5" w:type="dxa"/>
            <w:gridSpan w:val="2"/>
            <w:tcBorders>
              <w:left w:val="single" w:sz="2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" w:type="dxa"/>
            <w:gridSpan w:val="2"/>
            <w:tcBorders>
              <w:right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5" w:type="dxa"/>
            <w:gridSpan w:val="2"/>
            <w:tcBorders>
              <w:left w:val="single" w:sz="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" w:type="dxa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5" w:type="dxa"/>
            <w:gridSpan w:val="3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9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9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2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3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5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5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9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0" w:type="dxa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9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9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8" w:type="dxa"/>
            <w:gridSpan w:val="2"/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9" w:type="dxa"/>
            <w:tcBorders>
              <w:right w:val="single" w:sz="24" w:space="0" w:color="000000"/>
            </w:tcBorders>
            <w:shd w:val="clear" w:color="auto" w:fill="92D05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3A0282">
        <w:trPr>
          <w:jc w:val="center"/>
        </w:trPr>
        <w:tc>
          <w:tcPr>
            <w:tcW w:w="3706" w:type="dxa"/>
            <w:gridSpan w:val="2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Изграждане на мрежи, клъстери в социалната и солидарна икономика</w:t>
            </w:r>
          </w:p>
        </w:tc>
        <w:tc>
          <w:tcPr>
            <w:tcW w:w="231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3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tcBorders>
              <w:righ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tcBorders>
              <w:lef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7" w:type="dxa"/>
            <w:gridSpan w:val="2"/>
            <w:tcBorders>
              <w:right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5" w:type="dxa"/>
            <w:gridSpan w:val="2"/>
            <w:tcBorders>
              <w:left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1" w:type="dxa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5" w:type="dxa"/>
            <w:gridSpan w:val="3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2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3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5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5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0" w:type="dxa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9" w:type="dxa"/>
            <w:tcBorders>
              <w:righ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A0282">
        <w:trPr>
          <w:jc w:val="center"/>
        </w:trPr>
        <w:tc>
          <w:tcPr>
            <w:tcW w:w="3706" w:type="dxa"/>
            <w:gridSpan w:val="2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Подпомагане създаването на връзки с подобни структури в България и други страни на и извън ЕС и обмяна на опит, идеи, обучения и т.н.;</w:t>
            </w:r>
          </w:p>
        </w:tc>
        <w:tc>
          <w:tcPr>
            <w:tcW w:w="231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3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tcBorders>
              <w:righ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tcBorders>
              <w:lef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gridSpan w:val="2"/>
            <w:tcBorders>
              <w:right w:val="single" w:sz="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tcBorders>
              <w:left w:val="single" w:sz="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1" w:type="dxa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5" w:type="dxa"/>
            <w:gridSpan w:val="3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2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3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5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5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0" w:type="dxa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9" w:type="dxa"/>
            <w:tcBorders>
              <w:righ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A0282">
        <w:trPr>
          <w:jc w:val="center"/>
        </w:trPr>
        <w:tc>
          <w:tcPr>
            <w:tcW w:w="3706" w:type="dxa"/>
            <w:gridSpan w:val="2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Подпомагане изграждането на мрежи със социално-отговорни корпоративни субекти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институционални представители на образователната система на ниво средно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висше образование; </w:t>
            </w:r>
          </w:p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3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tcBorders>
              <w:righ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tcBorders>
              <w:lef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gridSpan w:val="2"/>
            <w:tcBorders>
              <w:right w:val="single" w:sz="4" w:space="0" w:color="000000"/>
            </w:tcBorders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2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3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5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5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0" w:type="dxa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9" w:type="dxa"/>
            <w:tcBorders>
              <w:righ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A0282">
        <w:trPr>
          <w:jc w:val="center"/>
        </w:trPr>
        <w:tc>
          <w:tcPr>
            <w:tcW w:w="3706" w:type="dxa"/>
            <w:gridSpan w:val="2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Тестване на нови програми за подкрепа и тестване на нови форми за обмен и мрежуване;</w:t>
            </w:r>
          </w:p>
        </w:tc>
        <w:tc>
          <w:tcPr>
            <w:tcW w:w="231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3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tcBorders>
              <w:righ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tcBorders>
              <w:lef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gridSpan w:val="2"/>
            <w:tcBorders>
              <w:right w:val="single" w:sz="4" w:space="0" w:color="000000"/>
            </w:tcBorders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2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3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5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5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0" w:type="dxa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9" w:type="dxa"/>
            <w:tcBorders>
              <w:righ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D33ED">
        <w:trPr>
          <w:trHeight w:val="1661"/>
          <w:jc w:val="center"/>
        </w:trPr>
        <w:tc>
          <w:tcPr>
            <w:tcW w:w="3706" w:type="dxa"/>
            <w:gridSpan w:val="2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провеждане на публични събития и др. за промотиране на бизнес моделите на субектите на социалната солидарна икономика</w:t>
            </w:r>
          </w:p>
        </w:tc>
        <w:tc>
          <w:tcPr>
            <w:tcW w:w="231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3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tcBorders>
              <w:righ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tcBorders>
              <w:left w:val="single" w:sz="24" w:space="0" w:color="000000"/>
            </w:tcBorders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7" w:type="dxa"/>
            <w:gridSpan w:val="2"/>
            <w:tcBorders>
              <w:right w:val="single" w:sz="4" w:space="0" w:color="000000"/>
            </w:tcBorders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" w:type="dxa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dxa"/>
            <w:gridSpan w:val="2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8" w:type="dxa"/>
            <w:gridSpan w:val="2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00B0F0"/>
            <w:vAlign w:val="center"/>
          </w:tcPr>
          <w:p w:rsidR="00CD33ED" w:rsidRDefault="00697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dxa"/>
            <w:gridSpan w:val="2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shd w:val="clear" w:color="auto" w:fill="FFFFFF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right w:val="single" w:sz="24" w:space="0" w:color="000000"/>
            </w:tcBorders>
            <w:vAlign w:val="center"/>
          </w:tcPr>
          <w:p w:rsidR="00CD33ED" w:rsidRDefault="00CD3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D33ED" w:rsidRDefault="00CD33ED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CD33ED">
      <w:pgSz w:w="16834" w:h="11909" w:orient="landscape"/>
      <w:pgMar w:top="1440" w:right="1440" w:bottom="1440" w:left="1440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12A" w:rsidRDefault="0069712A">
      <w:pPr>
        <w:spacing w:line="240" w:lineRule="auto"/>
      </w:pPr>
      <w:r>
        <w:separator/>
      </w:r>
    </w:p>
  </w:endnote>
  <w:endnote w:type="continuationSeparator" w:id="0">
    <w:p w:rsidR="0069712A" w:rsidRDefault="006971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ngsuh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33ED" w:rsidRDefault="0069712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color w:val="000000"/>
      </w:rPr>
    </w:pPr>
    <w:r>
      <w:rPr>
        <w:color w:val="000000"/>
      </w:rPr>
      <w:t xml:space="preserve">Стр. </w:t>
    </w:r>
    <w:r>
      <w:rPr>
        <w:color w:val="000000"/>
      </w:rPr>
      <w:fldChar w:fldCharType="begin"/>
    </w:r>
    <w:r>
      <w:rPr>
        <w:color w:val="000000"/>
      </w:rPr>
      <w:instrText>PAGE</w:instrText>
    </w:r>
    <w:r w:rsidR="003A0282">
      <w:rPr>
        <w:color w:val="000000"/>
      </w:rPr>
      <w:fldChar w:fldCharType="separate"/>
    </w:r>
    <w:r w:rsidR="003A0282">
      <w:rPr>
        <w:noProof/>
        <w:color w:val="000000"/>
      </w:rPr>
      <w:t>30</w:t>
    </w:r>
    <w:r>
      <w:rPr>
        <w:color w:val="000000"/>
      </w:rPr>
      <w:fldChar w:fldCharType="end"/>
    </w:r>
  </w:p>
  <w:p w:rsidR="00CD33ED" w:rsidRDefault="00CD33E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12A" w:rsidRDefault="0069712A">
      <w:pPr>
        <w:spacing w:line="240" w:lineRule="auto"/>
      </w:pPr>
      <w:r>
        <w:separator/>
      </w:r>
    </w:p>
  </w:footnote>
  <w:footnote w:type="continuationSeparator" w:id="0">
    <w:p w:rsidR="0069712A" w:rsidRDefault="0069712A">
      <w:pPr>
        <w:spacing w:line="240" w:lineRule="auto"/>
      </w:pPr>
      <w:r>
        <w:continuationSeparator/>
      </w:r>
    </w:p>
  </w:footnote>
  <w:footnote w:id="1">
    <w:p w:rsidR="00CD33ED" w:rsidRDefault="006971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писмо на комисар Никола Шмит относно социалните предприятия и социалната икономика, изпратено до министъра на труда и социалната политика на 24.04.2020 г. В писмото на комисар Никола Шмит се отправя призив за гарантиране, че на организациите на социална 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солидарна икономика ще бъдат предоставени условия и ще бъдат подкрепяни, за да могат успешно да изпълнят своята роля за управление и преодоляване на кризата. Посочва се още, че е изключително важно нито една от организационните форми на социалната икономик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 да не бъде изключена от програмите за подпомагане.</w:t>
      </w:r>
    </w:p>
  </w:footnote>
  <w:footnote w:id="2">
    <w:p w:rsidR="00CD33ED" w:rsidRDefault="006971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субекти на социалната и солидарна икономика, съгласно Закона за предприятията на социалната и солидарна икономика, в сила от м. май 2019 г. - </w:t>
      </w:r>
      <w:hyperlink r:id="rId1"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http://seconomy.mlsp.government.bg/bg/page.php?c=38</w:t>
        </w:r>
      </w:hyperlink>
      <w:r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 </w:t>
      </w:r>
    </w:p>
  </w:footnote>
  <w:footnote w:id="3">
    <w:p w:rsidR="00CD33ED" w:rsidRDefault="006971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hyperlink r:id="rId2"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https://secprod.mlsp.government.bg/index.php?section=REG</w:t>
        </w:r>
      </w:hyperlink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</w:footnote>
  <w:footnote w:id="4">
    <w:p w:rsidR="00CD33ED" w:rsidRDefault="006971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0"/>
          <w:szCs w:val="20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Второстепенен разпоредител с бюджет към министъра на труда и социалната политика - </w:t>
      </w:r>
      <w:hyperlink r:id="rId3"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https://ahu.mlsp.government.bg/portal/se/</w:t>
        </w:r>
      </w:hyperlink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</w:p>
  </w:footnote>
  <w:footnote w:id="5">
    <w:p w:rsidR="00CD33ED" w:rsidRDefault="006971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FootnoteReference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Национален статистически институт </w:t>
      </w:r>
    </w:p>
  </w:footnote>
  <w:footnote w:id="6">
    <w:p w:rsidR="00CD33ED" w:rsidRDefault="0069712A">
      <w:pPr>
        <w:spacing w:line="240" w:lineRule="auto"/>
        <w:rPr>
          <w:sz w:val="20"/>
          <w:szCs w:val="20"/>
        </w:rPr>
      </w:pPr>
      <w:r>
        <w:rPr>
          <w:rStyle w:val="FootnoteReference"/>
        </w:rPr>
        <w:footnoteRef/>
      </w:r>
      <w:r>
        <w:rPr>
          <w:sz w:val="20"/>
          <w:szCs w:val="20"/>
        </w:rPr>
        <w:t xml:space="preserve">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устойчивост.</w:t>
      </w:r>
    </w:p>
  </w:footnote>
  <w:footnote w:id="7">
    <w:p w:rsidR="00CD33ED" w:rsidRDefault="006971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0"/>
          <w:szCs w:val="20"/>
        </w:rPr>
      </w:pPr>
      <w:r>
        <w:rPr>
          <w:rStyle w:val="FootnoteReference"/>
        </w:rPr>
        <w:footnoteRef/>
      </w:r>
      <w:r>
        <w:rPr>
          <w:color w:val="000000"/>
          <w:sz w:val="20"/>
          <w:szCs w:val="20"/>
        </w:rPr>
        <w:t xml:space="preserve"> Ако МТСП не е бен</w:t>
      </w:r>
      <w:r>
        <w:rPr>
          <w:color w:val="000000"/>
          <w:sz w:val="20"/>
          <w:szCs w:val="20"/>
        </w:rPr>
        <w:t>ефициент, няма да бъде необходима процедура по ЗОП.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33ED" w:rsidRDefault="00CD33E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color w:val="000000"/>
      </w:rPr>
    </w:pPr>
  </w:p>
  <w:p w:rsidR="00CD33ED" w:rsidRDefault="00CD33E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7754E"/>
    <w:multiLevelType w:val="multilevel"/>
    <w:tmpl w:val="161697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7266076"/>
    <w:multiLevelType w:val="multilevel"/>
    <w:tmpl w:val="C018E9B6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A8F37E4"/>
    <w:multiLevelType w:val="multilevel"/>
    <w:tmpl w:val="A36625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23A35"/>
    <w:multiLevelType w:val="multilevel"/>
    <w:tmpl w:val="67906BE2"/>
    <w:lvl w:ilvl="0">
      <w:start w:val="1"/>
      <w:numFmt w:val="bullet"/>
      <w:lvlText w:val="●"/>
      <w:lvlJc w:val="left"/>
      <w:pPr>
        <w:ind w:left="14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6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DF83A9F"/>
    <w:multiLevelType w:val="multilevel"/>
    <w:tmpl w:val="45C862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5176FA9"/>
    <w:multiLevelType w:val="multilevel"/>
    <w:tmpl w:val="E65C120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2B2567E"/>
    <w:multiLevelType w:val="multilevel"/>
    <w:tmpl w:val="DB1C4E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4522657E"/>
    <w:multiLevelType w:val="multilevel"/>
    <w:tmpl w:val="D20833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491B66FB"/>
    <w:multiLevelType w:val="multilevel"/>
    <w:tmpl w:val="FB2EB7C2"/>
    <w:lvl w:ilvl="0">
      <w:start w:val="1"/>
      <w:numFmt w:val="bullet"/>
      <w:lvlText w:val="●"/>
      <w:lvlJc w:val="left"/>
      <w:pPr>
        <w:ind w:left="78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3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F2C54F5"/>
    <w:multiLevelType w:val="multilevel"/>
    <w:tmpl w:val="F69EB15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9B75158"/>
    <w:multiLevelType w:val="multilevel"/>
    <w:tmpl w:val="E8AA7DAE"/>
    <w:lvl w:ilvl="0">
      <w:start w:val="1"/>
      <w:numFmt w:val="bullet"/>
      <w:lvlText w:val="●"/>
      <w:lvlJc w:val="left"/>
      <w:pPr>
        <w:ind w:left="13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7068041D"/>
    <w:multiLevelType w:val="multilevel"/>
    <w:tmpl w:val="166EE562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70D43D7D"/>
    <w:multiLevelType w:val="multilevel"/>
    <w:tmpl w:val="5628B7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7EED26EC"/>
    <w:multiLevelType w:val="multilevel"/>
    <w:tmpl w:val="B44C75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1"/>
  </w:num>
  <w:num w:numId="9">
    <w:abstractNumId w:val="5"/>
  </w:num>
  <w:num w:numId="10">
    <w:abstractNumId w:val="7"/>
  </w:num>
  <w:num w:numId="11">
    <w:abstractNumId w:val="12"/>
  </w:num>
  <w:num w:numId="12">
    <w:abstractNumId w:val="3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3ED"/>
    <w:rsid w:val="003A0282"/>
    <w:rsid w:val="0069712A"/>
    <w:rsid w:val="00CD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B962027-25D0-4AE0-A9B7-60AE7A19F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bg-BG" w:eastAsia="bg-BG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95B49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073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73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F4B6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50BB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50BB"/>
  </w:style>
  <w:style w:type="paragraph" w:styleId="Footer">
    <w:name w:val="footer"/>
    <w:basedOn w:val="Normal"/>
    <w:link w:val="FooterChar"/>
    <w:uiPriority w:val="99"/>
    <w:unhideWhenUsed/>
    <w:rsid w:val="000750BB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50BB"/>
  </w:style>
  <w:style w:type="character" w:styleId="CommentReference">
    <w:name w:val="annotation reference"/>
    <w:basedOn w:val="DefaultParagraphFont"/>
    <w:uiPriority w:val="99"/>
    <w:semiHidden/>
    <w:unhideWhenUsed/>
    <w:rsid w:val="00805E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E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E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E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E96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E2919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E29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E2919"/>
    <w:rPr>
      <w:vertAlign w:val="superscript"/>
    </w:rPr>
  </w:style>
  <w:style w:type="paragraph" w:styleId="Revision">
    <w:name w:val="Revision"/>
    <w:hidden/>
    <w:uiPriority w:val="99"/>
    <w:semiHidden/>
    <w:rsid w:val="002215C7"/>
    <w:pPr>
      <w:spacing w:line="240" w:lineRule="auto"/>
    </w:pPr>
  </w:style>
  <w:style w:type="table" w:styleId="TableGrid">
    <w:name w:val="Table Grid"/>
    <w:basedOn w:val="TableNormal"/>
    <w:uiPriority w:val="39"/>
    <w:unhideWhenUsed/>
    <w:rsid w:val="00841CE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E0D06"/>
    <w:rPr>
      <w:color w:val="0000FF" w:themeColor="hyperlink"/>
      <w:u w:val="single"/>
    </w:r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83" w:type="dxa"/>
        <w:left w:w="5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ahu.mlsp.government.bg/portal/se/" TargetMode="External"/><Relationship Id="rId2" Type="http://schemas.openxmlformats.org/officeDocument/2006/relationships/hyperlink" Target="https://secprod.mlsp.government.bg/index.php?section=REG" TargetMode="External"/><Relationship Id="rId1" Type="http://schemas.openxmlformats.org/officeDocument/2006/relationships/hyperlink" Target="http://seconomy.mlsp.government.bg/bg/page.php?c=3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di2B/SJ++FCxPmB6iTvzwsWpdg==">AMUW2mVUosiS/g0yg1zwEFp3ty/4Xmmza6DlwSCLVlx0lW7gAIQEqC6QnIOJE5tnPbEtZgBTVerxr2DjfUyZGkQRmj94BtXOOAUD1KMMqiXbOdNtQUWa2URtmLAqTPWASW+ySxbmtHmsYun9lKUh4dYDEF4Oy61nQ0pomVjHlsYH6o4LYtxEvu5yPOEG9WCC8sLVuv3iLEkbIe4I+WFzv9NZ8v8Gi/AkI3eP/3IB59j61tPtQ/ytMgk7w4v5iMDd3lM2YHwklkYEUPT8h8FMjG4+SbrRfvZIlmJcU1OOjm59qbUZY1938jwxFZsX7+6s+OPCyaJ8WPURhOp65GTt217xvfzHX07+hLQXimr7ZHft4MoGkfQLnNvol3Urxk8HpVyWwU80dnByXos9nKmp8flW3Moye8fpVKcttG3yuHJ9jzDJatoHIWXFalzyex+P4KypwGI77TXrWQhY1XIQdKxu1yytN1gJ+shICORLR1TSArtD8YdqlvRQxL32Xs75PytLB0t2Y9sjX6rlFu4VJB6wRMm2tiD8q+Oj3ZPtQWv4XDkhgEuzQy+KPbn4d6l82/MH/5QAx9Xtfd2L5kJtCwQBugo/7LDf9wdANlRI7xBexGAPgt3DEsAD3j5TZcqBtLpa1oFuHFeEkGjpnqm/9omJcCDqGV12a8H0vzcxtSi6g2EiUd+dKpM5MrmOIxpH/MJHn8Gg8aV+2XMmZpNfshlhY5yTfwj4aes6mxAmwisoDThwycZN52oth+6l8wMO+S+r5P3dAiCO5H+x15gLyGe9lHahK2YvbAGu7gVkcJZFW9doOnk7wAE41eVOrwe4goCtEFeE9T8pLrqEPu1N/1MAgke1XyK6x67b6Sk89euxv0whYkU0FGoA9HxufSBC5DPxmCyXoW9Sj4REhHnFGsOflOoE9LFZe1HoD8Nw0E4eEPQbqaHYNzAmFezbyQ0sRClyzqA0613FI6k/dZrDbqIpOIE/bnHu6F9kHBZkc/JI+vUTJqbz+u7UkGI5Li6oDAgHDBm3TM/M+QzRUCkiy4ToMV0JRUUpQM1OUXGpU8950KuRzivCMoYUJ8fS89r5Izqa6Rld1xpAeaSL+iupc0s25+BhTdDoDctvqC2GnRAiuxq5qMLhlvm3uNwK1B9UlCMdS7LyAtVxOLgzLN8iRw8mGWbnoFSEYYpfya/SlFizI6xyKcMGn5D2WZMI9qEnYTYy5bAjWztX+Yyl5bJd99V8SWYa9agI1S3fg7NloxcZS+nzEZVPwYoF5FigRmzYR8tV31RlIEv09ImLXPmctIzIj7DaL7La/QOQur9ErjpTpVVSJbqErJb5xqmOjzDiWn2RjyQiyzi7pzfGTSqqWRhOb9pK0L4S9AJ3ODpjNDpXnGVukdHmh9oisyJQvVUC7RRzKdx8xwe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9684</Words>
  <Characters>55203</Characters>
  <DocSecurity>0</DocSecurity>
  <Lines>460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2021-03-31T09:46:00Z</dcterms:created>
  <dcterms:modified xsi:type="dcterms:W3CDTF">2021-03-31T09:46:00Z</dcterms:modified>
</cp:coreProperties>
</file>