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96489122"/>
        <w:docPartObj>
          <w:docPartGallery w:val="Cover Pages"/>
          <w:docPartUnique/>
        </w:docPartObj>
      </w:sdtPr>
      <w:sdtEndPr>
        <w:rPr>
          <w:rFonts w:cs="Times New Roman"/>
          <w:caps/>
          <w:color w:val="5B9BD5" w:themeColor="accent1"/>
          <w:sz w:val="64"/>
          <w:szCs w:val="64"/>
        </w:rPr>
      </w:sdtEndPr>
      <w:sdtContent>
        <w:p w14:paraId="7A8E6FC1" w14:textId="77777777" w:rsidR="00C358AF" w:rsidRDefault="00C358AF"/>
        <w:p w14:paraId="45623054" w14:textId="77777777" w:rsidR="00C358AF" w:rsidRDefault="00C358AF">
          <w:pPr>
            <w:rPr>
              <w:rFonts w:eastAsiaTheme="majorEastAsia" w:cs="Times New Roman"/>
              <w:caps/>
              <w:color w:val="5B9BD5" w:themeColor="accent1"/>
              <w:sz w:val="64"/>
              <w:szCs w:val="64"/>
            </w:rPr>
          </w:pPr>
          <w:r>
            <w:rPr>
              <w:noProof/>
              <w:lang w:val="bg-BG" w:eastAsia="bg-BG"/>
            </w:rPr>
            <mc:AlternateContent>
              <mc:Choice Requires="wpg">
                <w:drawing>
                  <wp:anchor distT="0" distB="0" distL="114300" distR="114300" simplePos="0" relativeHeight="251659264" behindDoc="1" locked="0" layoutInCell="1" allowOverlap="1" wp14:anchorId="22AB715A" wp14:editId="26283D53">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4F98D5C" w14:textId="77777777" w:rsidR="007C52F2" w:rsidRDefault="00DC2DA2">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7C52F2">
                                        <w:rPr>
                                          <w:color w:val="FFFFFF" w:themeColor="background1"/>
                                          <w:sz w:val="72"/>
                                          <w:szCs w:val="72"/>
                                        </w:rPr>
                                        <w:t xml:space="preserve">МЕЖДИНЕН МОНИТОРИНГОВ ДОКЛАД ЗА </w:t>
                                      </w:r>
                                      <w:r w:rsidR="007C52F2">
                                        <w:rPr>
                                          <w:color w:val="FFFFFF" w:themeColor="background1"/>
                                          <w:sz w:val="72"/>
                                          <w:szCs w:val="72"/>
                                          <w:lang w:val="bg-BG"/>
                                        </w:rPr>
                                        <w:t>ИЗПЪЛНЕНИЕТО</w:t>
                                      </w:r>
                                      <w:r w:rsidR="007C52F2">
                                        <w:rPr>
                                          <w:color w:val="FFFFFF" w:themeColor="background1"/>
                                          <w:sz w:val="72"/>
                                          <w:szCs w:val="72"/>
                                        </w:rPr>
                                        <w:t xml:space="preserve"> </w:t>
                                      </w:r>
                                      <w:r w:rsidR="007C52F2">
                                        <w:rPr>
                                          <w:color w:val="FFFFFF" w:themeColor="background1"/>
                                          <w:sz w:val="72"/>
                                          <w:szCs w:val="72"/>
                                          <w:lang w:val="bg-BG"/>
                                        </w:rPr>
                                        <w:t>НА Иновационната Стратегия</w:t>
                                      </w:r>
                                      <w:r w:rsidR="007C52F2">
                                        <w:rPr>
                                          <w:color w:val="FFFFFF" w:themeColor="background1"/>
                                          <w:sz w:val="72"/>
                                          <w:szCs w:val="72"/>
                                        </w:rPr>
                                        <w:t xml:space="preserve"> </w:t>
                                      </w:r>
                                      <w:proofErr w:type="spellStart"/>
                                      <w:r w:rsidR="007C52F2">
                                        <w:rPr>
                                          <w:color w:val="FFFFFF" w:themeColor="background1"/>
                                          <w:sz w:val="72"/>
                                          <w:szCs w:val="72"/>
                                        </w:rPr>
                                        <w:t>за</w:t>
                                      </w:r>
                                      <w:proofErr w:type="spellEnd"/>
                                      <w:r w:rsidR="007C52F2">
                                        <w:rPr>
                                          <w:color w:val="FFFFFF" w:themeColor="background1"/>
                                          <w:sz w:val="72"/>
                                          <w:szCs w:val="72"/>
                                        </w:rPr>
                                        <w:t xml:space="preserve"> </w:t>
                                      </w:r>
                                      <w:proofErr w:type="spellStart"/>
                                      <w:r w:rsidR="007C52F2">
                                        <w:rPr>
                                          <w:color w:val="FFFFFF" w:themeColor="background1"/>
                                          <w:sz w:val="72"/>
                                          <w:szCs w:val="72"/>
                                        </w:rPr>
                                        <w:t>интелигентна</w:t>
                                      </w:r>
                                      <w:proofErr w:type="spellEnd"/>
                                      <w:r w:rsidR="007C52F2">
                                        <w:rPr>
                                          <w:color w:val="FFFFFF" w:themeColor="background1"/>
                                          <w:sz w:val="72"/>
                                          <w:szCs w:val="72"/>
                                        </w:rPr>
                                        <w:t xml:space="preserve"> </w:t>
                                      </w:r>
                                      <w:proofErr w:type="spellStart"/>
                                      <w:r w:rsidR="007C52F2">
                                        <w:rPr>
                                          <w:color w:val="FFFFFF" w:themeColor="background1"/>
                                          <w:sz w:val="72"/>
                                          <w:szCs w:val="72"/>
                                        </w:rPr>
                                        <w:t>специализация</w:t>
                                      </w:r>
                                      <w:proofErr w:type="spellEnd"/>
                                      <w:r w:rsidR="007C52F2">
                                        <w:rPr>
                                          <w:color w:val="FFFFFF" w:themeColor="background1"/>
                                          <w:sz w:val="72"/>
                                          <w:szCs w:val="72"/>
                                        </w:rPr>
                                        <w:t xml:space="preserve">       2021–2027 г.</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22AB715A" id="Group 126"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44F98D5C" w14:textId="77777777" w:rsidR="007C52F2" w:rsidRDefault="00DC2DA2">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7C52F2">
                                  <w:rPr>
                                    <w:color w:val="FFFFFF" w:themeColor="background1"/>
                                    <w:sz w:val="72"/>
                                    <w:szCs w:val="72"/>
                                  </w:rPr>
                                  <w:t xml:space="preserve">МЕЖДИНЕН МОНИТОРИНГОВ ДОКЛАД ЗА </w:t>
                                </w:r>
                                <w:r w:rsidR="007C52F2">
                                  <w:rPr>
                                    <w:color w:val="FFFFFF" w:themeColor="background1"/>
                                    <w:sz w:val="72"/>
                                    <w:szCs w:val="72"/>
                                    <w:lang w:val="bg-BG"/>
                                  </w:rPr>
                                  <w:t>ИЗПЪЛНЕНИЕТО</w:t>
                                </w:r>
                                <w:r w:rsidR="007C52F2">
                                  <w:rPr>
                                    <w:color w:val="FFFFFF" w:themeColor="background1"/>
                                    <w:sz w:val="72"/>
                                    <w:szCs w:val="72"/>
                                  </w:rPr>
                                  <w:t xml:space="preserve"> </w:t>
                                </w:r>
                                <w:r w:rsidR="007C52F2">
                                  <w:rPr>
                                    <w:color w:val="FFFFFF" w:themeColor="background1"/>
                                    <w:sz w:val="72"/>
                                    <w:szCs w:val="72"/>
                                    <w:lang w:val="bg-BG"/>
                                  </w:rPr>
                                  <w:t>НА Иновационната Стратегия</w:t>
                                </w:r>
                                <w:r w:rsidR="007C52F2">
                                  <w:rPr>
                                    <w:color w:val="FFFFFF" w:themeColor="background1"/>
                                    <w:sz w:val="72"/>
                                    <w:szCs w:val="72"/>
                                  </w:rPr>
                                  <w:t xml:space="preserve"> </w:t>
                                </w:r>
                                <w:proofErr w:type="spellStart"/>
                                <w:r w:rsidR="007C52F2">
                                  <w:rPr>
                                    <w:color w:val="FFFFFF" w:themeColor="background1"/>
                                    <w:sz w:val="72"/>
                                    <w:szCs w:val="72"/>
                                  </w:rPr>
                                  <w:t>за</w:t>
                                </w:r>
                                <w:proofErr w:type="spellEnd"/>
                                <w:r w:rsidR="007C52F2">
                                  <w:rPr>
                                    <w:color w:val="FFFFFF" w:themeColor="background1"/>
                                    <w:sz w:val="72"/>
                                    <w:szCs w:val="72"/>
                                  </w:rPr>
                                  <w:t xml:space="preserve"> </w:t>
                                </w:r>
                                <w:proofErr w:type="spellStart"/>
                                <w:r w:rsidR="007C52F2">
                                  <w:rPr>
                                    <w:color w:val="FFFFFF" w:themeColor="background1"/>
                                    <w:sz w:val="72"/>
                                    <w:szCs w:val="72"/>
                                  </w:rPr>
                                  <w:t>интелигентна</w:t>
                                </w:r>
                                <w:proofErr w:type="spellEnd"/>
                                <w:r w:rsidR="007C52F2">
                                  <w:rPr>
                                    <w:color w:val="FFFFFF" w:themeColor="background1"/>
                                    <w:sz w:val="72"/>
                                    <w:szCs w:val="72"/>
                                  </w:rPr>
                                  <w:t xml:space="preserve"> </w:t>
                                </w:r>
                                <w:proofErr w:type="spellStart"/>
                                <w:r w:rsidR="007C52F2">
                                  <w:rPr>
                                    <w:color w:val="FFFFFF" w:themeColor="background1"/>
                                    <w:sz w:val="72"/>
                                    <w:szCs w:val="72"/>
                                  </w:rPr>
                                  <w:t>специализация</w:t>
                                </w:r>
                                <w:proofErr w:type="spellEnd"/>
                                <w:r w:rsidR="007C52F2">
                                  <w:rPr>
                                    <w:color w:val="FFFFFF" w:themeColor="background1"/>
                                    <w:sz w:val="72"/>
                                    <w:szCs w:val="72"/>
                                  </w:rPr>
                                  <w:t xml:space="preserve">       2021–2027 г.</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lang w:val="bg-BG" w:eastAsia="bg-BG"/>
            </w:rPr>
            <mc:AlternateContent>
              <mc:Choice Requires="wps">
                <w:drawing>
                  <wp:anchor distT="0" distB="0" distL="114300" distR="114300" simplePos="0" relativeHeight="251662336" behindDoc="0" locked="0" layoutInCell="1" allowOverlap="1" wp14:anchorId="70C55265" wp14:editId="5CF6E433">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54AD1E" w14:textId="77777777" w:rsidR="007C52F2" w:rsidRPr="00C358AF" w:rsidRDefault="00DC2DA2" w:rsidP="00C358AF">
                                <w:pPr>
                                  <w:pStyle w:val="NoSpacing"/>
                                  <w:jc w:val="center"/>
                                  <w:rPr>
                                    <w:color w:val="7F7F7F" w:themeColor="text1" w:themeTint="80"/>
                                    <w:sz w:val="18"/>
                                    <w:szCs w:val="18"/>
                                    <w:lang w:val="bg-BG"/>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7C52F2">
                                      <w:rPr>
                                        <w:caps/>
                                        <w:color w:val="7F7F7F" w:themeColor="text1" w:themeTint="80"/>
                                        <w:sz w:val="18"/>
                                        <w:szCs w:val="18"/>
                                      </w:rPr>
                                      <w:t>Министерство на иновациите и растежа</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70C55265" id="_x0000_t202" coordsize="21600,21600" o:spt="202" path="m,l,21600r21600,l21600,xe">
                    <v:stroke joinstyle="miter"/>
                    <v:path gradientshapeok="t" o:connecttype="rect"/>
                  </v:shapetype>
                  <v:shape id="Text Box 128"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vcC0zbgIAAD8FAAAOAAAAAAAAAAAAAAAAAC4CAABk&#10;cnMvZTJvRG9jLnhtbFBLAQItABQABgAIAAAAIQDeHwic1wAAAAQBAAAPAAAAAAAAAAAAAAAAAMgE&#10;AABkcnMvZG93bnJldi54bWxQSwUGAAAAAAQABADzAAAAzAUAAAAA&#10;" filled="f" stroked="f" strokeweight=".5pt">
                    <v:textbox style="mso-fit-shape-to-text:t" inset="1in,0,86.4pt,0">
                      <w:txbxContent>
                        <w:p w14:paraId="0254AD1E" w14:textId="77777777" w:rsidR="007C52F2" w:rsidRPr="00C358AF" w:rsidRDefault="00DC2DA2" w:rsidP="00C358AF">
                          <w:pPr>
                            <w:pStyle w:val="NoSpacing"/>
                            <w:jc w:val="center"/>
                            <w:rPr>
                              <w:color w:val="7F7F7F" w:themeColor="text1" w:themeTint="80"/>
                              <w:sz w:val="18"/>
                              <w:szCs w:val="18"/>
                              <w:lang w:val="bg-BG"/>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7C52F2">
                                <w:rPr>
                                  <w:caps/>
                                  <w:color w:val="7F7F7F" w:themeColor="text1" w:themeTint="80"/>
                                  <w:sz w:val="18"/>
                                  <w:szCs w:val="18"/>
                                </w:rPr>
                                <w:t>Министерство на иновациите и растежа</w:t>
                              </w:r>
                            </w:sdtContent>
                          </w:sdt>
                        </w:p>
                      </w:txbxContent>
                    </v:textbox>
                    <w10:wrap type="square" anchorx="page" anchory="margin"/>
                  </v:shape>
                </w:pict>
              </mc:Fallback>
            </mc:AlternateContent>
          </w:r>
          <w:r>
            <w:rPr>
              <w:noProof/>
              <w:lang w:val="bg-BG" w:eastAsia="bg-BG"/>
            </w:rPr>
            <mc:AlternateContent>
              <mc:Choice Requires="wps">
                <w:drawing>
                  <wp:anchor distT="0" distB="0" distL="114300" distR="114300" simplePos="0" relativeHeight="251661312" behindDoc="0" locked="0" layoutInCell="1" allowOverlap="1" wp14:anchorId="069D6DF2" wp14:editId="608F823A">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00B16" w14:textId="77777777" w:rsidR="007C52F2" w:rsidRDefault="007C52F2">
                                <w:pPr>
                                  <w:pStyle w:val="NoSpacing"/>
                                  <w:spacing w:before="40" w:after="40"/>
                                  <w:rPr>
                                    <w:caps/>
                                    <w:color w:val="4472C4"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069D6DF2" id="Text Box 129"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p w14:paraId="66F00B16" w14:textId="77777777" w:rsidR="007C52F2" w:rsidRDefault="007C52F2">
                          <w:pPr>
                            <w:pStyle w:val="NoSpacing"/>
                            <w:spacing w:before="40" w:after="40"/>
                            <w:rPr>
                              <w:caps/>
                              <w:color w:val="4472C4" w:themeColor="accent5"/>
                              <w:sz w:val="24"/>
                              <w:szCs w:val="24"/>
                            </w:rPr>
                          </w:pPr>
                        </w:p>
                      </w:txbxContent>
                    </v:textbox>
                    <w10:wrap type="square" anchorx="page" anchory="page"/>
                  </v:shape>
                </w:pict>
              </mc:Fallback>
            </mc:AlternateContent>
          </w:r>
          <w:r>
            <w:rPr>
              <w:noProof/>
              <w:lang w:val="bg-BG" w:eastAsia="bg-BG"/>
            </w:rPr>
            <mc:AlternateContent>
              <mc:Choice Requires="wps">
                <w:drawing>
                  <wp:anchor distT="0" distB="0" distL="114300" distR="114300" simplePos="0" relativeHeight="251660288" behindDoc="0" locked="0" layoutInCell="1" allowOverlap="1" wp14:anchorId="7C83D670" wp14:editId="68C6920D">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15EB8BDC" w14:textId="77777777" w:rsidR="007C52F2" w:rsidRDefault="007C52F2">
                                    <w:pPr>
                                      <w:pStyle w:val="NoSpacing"/>
                                      <w:jc w:val="right"/>
                                      <w:rPr>
                                        <w:color w:val="FFFFFF" w:themeColor="background1"/>
                                        <w:sz w:val="24"/>
                                        <w:szCs w:val="24"/>
                                      </w:rPr>
                                    </w:pPr>
                                    <w:r>
                                      <w:rPr>
                                        <w:color w:val="FFFFFF" w:themeColor="background1"/>
                                        <w:sz w:val="24"/>
                                        <w:szCs w:val="24"/>
                                        <w:lang w:val="bg-BG"/>
                                      </w:rPr>
                                      <w:t xml:space="preserve">2025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C83D670" id="Rectangle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5b9bd5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15EB8BDC" w14:textId="77777777" w:rsidR="007C52F2" w:rsidRDefault="007C52F2">
                              <w:pPr>
                                <w:pStyle w:val="NoSpacing"/>
                                <w:jc w:val="right"/>
                                <w:rPr>
                                  <w:color w:val="FFFFFF" w:themeColor="background1"/>
                                  <w:sz w:val="24"/>
                                  <w:szCs w:val="24"/>
                                </w:rPr>
                              </w:pPr>
                              <w:r>
                                <w:rPr>
                                  <w:color w:val="FFFFFF" w:themeColor="background1"/>
                                  <w:sz w:val="24"/>
                                  <w:szCs w:val="24"/>
                                  <w:lang w:val="bg-BG"/>
                                </w:rPr>
                                <w:t xml:space="preserve">2025 </w:t>
                              </w:r>
                            </w:p>
                          </w:sdtContent>
                        </w:sdt>
                      </w:txbxContent>
                    </v:textbox>
                    <w10:wrap anchorx="margin" anchory="page"/>
                  </v:rect>
                </w:pict>
              </mc:Fallback>
            </mc:AlternateContent>
          </w:r>
          <w:r>
            <w:rPr>
              <w:rFonts w:cs="Times New Roman"/>
              <w:caps/>
              <w:color w:val="5B9BD5" w:themeColor="accent1"/>
              <w:sz w:val="64"/>
              <w:szCs w:val="64"/>
            </w:rPr>
            <w:br w:type="page"/>
          </w:r>
        </w:p>
      </w:sdtContent>
    </w:sdt>
    <w:sdt>
      <w:sdtPr>
        <w:rPr>
          <w:rFonts w:ascii="Times New Roman" w:eastAsiaTheme="minorHAnsi" w:hAnsi="Times New Roman" w:cstheme="minorBidi"/>
          <w:color w:val="auto"/>
          <w:sz w:val="24"/>
          <w:szCs w:val="22"/>
        </w:rPr>
        <w:id w:val="-2114577240"/>
        <w:docPartObj>
          <w:docPartGallery w:val="Table of Contents"/>
          <w:docPartUnique/>
        </w:docPartObj>
      </w:sdtPr>
      <w:sdtEndPr>
        <w:rPr>
          <w:rFonts w:cs="Times New Roman"/>
          <w:b/>
          <w:bCs/>
          <w:sz w:val="26"/>
          <w:szCs w:val="26"/>
          <w:lang w:val="bg-BG"/>
        </w:rPr>
      </w:sdtEndPr>
      <w:sdtContent>
        <w:p w14:paraId="62E4F209" w14:textId="77777777" w:rsidR="009A22C5" w:rsidRPr="00E743DA" w:rsidRDefault="009A22C5">
          <w:pPr>
            <w:pStyle w:val="TOCHeading"/>
            <w:rPr>
              <w:rFonts w:ascii="Times New Roman" w:hAnsi="Times New Roman" w:cs="Times New Roman"/>
              <w:b/>
              <w:bCs/>
              <w:lang w:val="bg-BG"/>
            </w:rPr>
          </w:pPr>
          <w:r w:rsidRPr="00E743DA">
            <w:rPr>
              <w:rFonts w:ascii="Times New Roman" w:hAnsi="Times New Roman" w:cs="Times New Roman"/>
              <w:b/>
              <w:bCs/>
              <w:lang w:val="bg-BG"/>
            </w:rPr>
            <w:t>Съдържание</w:t>
          </w:r>
        </w:p>
        <w:p w14:paraId="04263637" w14:textId="77777777" w:rsidR="00F77293" w:rsidRDefault="009A22C5">
          <w:pPr>
            <w:pStyle w:val="TOC1"/>
            <w:tabs>
              <w:tab w:val="left" w:pos="480"/>
              <w:tab w:val="right" w:leader="dot" w:pos="9068"/>
            </w:tabs>
            <w:rPr>
              <w:rFonts w:asciiTheme="minorHAnsi" w:eastAsiaTheme="minorEastAsia" w:hAnsiTheme="minorHAnsi"/>
              <w:noProof/>
              <w:kern w:val="2"/>
              <w:szCs w:val="24"/>
              <w:lang w:val="bg-BG" w:eastAsia="bg-BG"/>
              <w14:ligatures w14:val="standardContextual"/>
            </w:rPr>
          </w:pPr>
          <w:r w:rsidRPr="00E743DA">
            <w:rPr>
              <w:rFonts w:eastAsiaTheme="majorEastAsia" w:cs="Times New Roman"/>
              <w:b/>
              <w:bCs/>
              <w:color w:val="2E74B5" w:themeColor="accent1" w:themeShade="BF"/>
              <w:sz w:val="22"/>
              <w:lang w:val="bg-BG"/>
            </w:rPr>
            <w:fldChar w:fldCharType="begin"/>
          </w:r>
          <w:r w:rsidRPr="00E743DA">
            <w:rPr>
              <w:rFonts w:eastAsiaTheme="majorEastAsia" w:cs="Times New Roman"/>
              <w:b/>
              <w:bCs/>
              <w:color w:val="2E74B5" w:themeColor="accent1" w:themeShade="BF"/>
              <w:sz w:val="22"/>
              <w:lang w:val="bg-BG"/>
            </w:rPr>
            <w:instrText xml:space="preserve"> TOC \o "1-3" \h \z \u </w:instrText>
          </w:r>
          <w:r w:rsidRPr="00E743DA">
            <w:rPr>
              <w:rFonts w:eastAsiaTheme="majorEastAsia" w:cs="Times New Roman"/>
              <w:b/>
              <w:bCs/>
              <w:color w:val="2E74B5" w:themeColor="accent1" w:themeShade="BF"/>
              <w:sz w:val="22"/>
              <w:lang w:val="bg-BG"/>
            </w:rPr>
            <w:fldChar w:fldCharType="separate"/>
          </w:r>
          <w:hyperlink w:anchor="_Toc216427796" w:history="1">
            <w:r w:rsidR="00F77293" w:rsidRPr="006E6C05">
              <w:rPr>
                <w:rStyle w:val="Hyperlink"/>
                <w:rFonts w:cs="Times New Roman"/>
                <w:b/>
                <w:bCs/>
                <w:noProof/>
                <w:lang w:val="bg-BG"/>
              </w:rPr>
              <w:t>1</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rPr>
              <w:t>Резюме.</w:t>
            </w:r>
            <w:r w:rsidR="00F77293">
              <w:rPr>
                <w:noProof/>
                <w:webHidden/>
              </w:rPr>
              <w:tab/>
            </w:r>
            <w:r w:rsidR="00F77293">
              <w:rPr>
                <w:noProof/>
                <w:webHidden/>
              </w:rPr>
              <w:fldChar w:fldCharType="begin"/>
            </w:r>
            <w:r w:rsidR="00F77293">
              <w:rPr>
                <w:noProof/>
                <w:webHidden/>
              </w:rPr>
              <w:instrText xml:space="preserve"> PAGEREF _Toc216427796 \h </w:instrText>
            </w:r>
            <w:r w:rsidR="00F77293">
              <w:rPr>
                <w:noProof/>
                <w:webHidden/>
              </w:rPr>
            </w:r>
            <w:r w:rsidR="00F77293">
              <w:rPr>
                <w:noProof/>
                <w:webHidden/>
              </w:rPr>
              <w:fldChar w:fldCharType="separate"/>
            </w:r>
            <w:r w:rsidR="0040263A">
              <w:rPr>
                <w:noProof/>
                <w:webHidden/>
              </w:rPr>
              <w:t>3</w:t>
            </w:r>
            <w:r w:rsidR="00F77293">
              <w:rPr>
                <w:noProof/>
                <w:webHidden/>
              </w:rPr>
              <w:fldChar w:fldCharType="end"/>
            </w:r>
          </w:hyperlink>
        </w:p>
        <w:p w14:paraId="48FA8185"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797" w:history="1">
            <w:r w:rsidR="00F77293" w:rsidRPr="006E6C05">
              <w:rPr>
                <w:rStyle w:val="Hyperlink"/>
                <w:rFonts w:cs="Times New Roman"/>
                <w:b/>
                <w:bCs/>
                <w:noProof/>
                <w:lang w:val="bg-BG"/>
              </w:rPr>
              <w:t>1.1</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rPr>
              <w:t>Какво представлява ИСИС?</w:t>
            </w:r>
            <w:r w:rsidR="00F77293">
              <w:rPr>
                <w:noProof/>
                <w:webHidden/>
              </w:rPr>
              <w:tab/>
            </w:r>
            <w:r w:rsidR="00F77293">
              <w:rPr>
                <w:noProof/>
                <w:webHidden/>
              </w:rPr>
              <w:fldChar w:fldCharType="begin"/>
            </w:r>
            <w:r w:rsidR="00F77293">
              <w:rPr>
                <w:noProof/>
                <w:webHidden/>
              </w:rPr>
              <w:instrText xml:space="preserve"> PAGEREF _Toc216427797 \h </w:instrText>
            </w:r>
            <w:r w:rsidR="00F77293">
              <w:rPr>
                <w:noProof/>
                <w:webHidden/>
              </w:rPr>
            </w:r>
            <w:r w:rsidR="00F77293">
              <w:rPr>
                <w:noProof/>
                <w:webHidden/>
              </w:rPr>
              <w:fldChar w:fldCharType="separate"/>
            </w:r>
            <w:r w:rsidR="0040263A">
              <w:rPr>
                <w:noProof/>
                <w:webHidden/>
              </w:rPr>
              <w:t>3</w:t>
            </w:r>
            <w:r w:rsidR="00F77293">
              <w:rPr>
                <w:noProof/>
                <w:webHidden/>
              </w:rPr>
              <w:fldChar w:fldCharType="end"/>
            </w:r>
          </w:hyperlink>
        </w:p>
        <w:p w14:paraId="4D47A53B"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798" w:history="1">
            <w:r w:rsidR="00F77293" w:rsidRPr="006E6C05">
              <w:rPr>
                <w:rStyle w:val="Hyperlink"/>
                <w:rFonts w:cs="Times New Roman"/>
                <w:b/>
                <w:bCs/>
                <w:noProof/>
                <w:lang w:val="bg-BG"/>
              </w:rPr>
              <w:t>1.2</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rPr>
              <w:t>Цел на междинната оценка.</w:t>
            </w:r>
            <w:r w:rsidR="00F77293">
              <w:rPr>
                <w:noProof/>
                <w:webHidden/>
              </w:rPr>
              <w:tab/>
            </w:r>
            <w:r w:rsidR="00F77293">
              <w:rPr>
                <w:noProof/>
                <w:webHidden/>
              </w:rPr>
              <w:fldChar w:fldCharType="begin"/>
            </w:r>
            <w:r w:rsidR="00F77293">
              <w:rPr>
                <w:noProof/>
                <w:webHidden/>
              </w:rPr>
              <w:instrText xml:space="preserve"> PAGEREF _Toc216427798 \h </w:instrText>
            </w:r>
            <w:r w:rsidR="00F77293">
              <w:rPr>
                <w:noProof/>
                <w:webHidden/>
              </w:rPr>
            </w:r>
            <w:r w:rsidR="00F77293">
              <w:rPr>
                <w:noProof/>
                <w:webHidden/>
              </w:rPr>
              <w:fldChar w:fldCharType="separate"/>
            </w:r>
            <w:r w:rsidR="0040263A">
              <w:rPr>
                <w:noProof/>
                <w:webHidden/>
              </w:rPr>
              <w:t>3</w:t>
            </w:r>
            <w:r w:rsidR="00F77293">
              <w:rPr>
                <w:noProof/>
                <w:webHidden/>
              </w:rPr>
              <w:fldChar w:fldCharType="end"/>
            </w:r>
          </w:hyperlink>
        </w:p>
        <w:p w14:paraId="509AA113"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799" w:history="1">
            <w:r w:rsidR="00F77293" w:rsidRPr="006E6C05">
              <w:rPr>
                <w:rStyle w:val="Hyperlink"/>
                <w:rFonts w:cs="Times New Roman"/>
                <w:b/>
                <w:bCs/>
                <w:noProof/>
                <w:lang w:val="bg-BG"/>
              </w:rPr>
              <w:t>1.3</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rPr>
              <w:t>Обобщена оценка на напредъка.</w:t>
            </w:r>
            <w:r w:rsidR="00F77293">
              <w:rPr>
                <w:noProof/>
                <w:webHidden/>
              </w:rPr>
              <w:tab/>
            </w:r>
            <w:r w:rsidR="00F77293">
              <w:rPr>
                <w:noProof/>
                <w:webHidden/>
              </w:rPr>
              <w:fldChar w:fldCharType="begin"/>
            </w:r>
            <w:r w:rsidR="00F77293">
              <w:rPr>
                <w:noProof/>
                <w:webHidden/>
              </w:rPr>
              <w:instrText xml:space="preserve"> PAGEREF _Toc216427799 \h </w:instrText>
            </w:r>
            <w:r w:rsidR="00F77293">
              <w:rPr>
                <w:noProof/>
                <w:webHidden/>
              </w:rPr>
            </w:r>
            <w:r w:rsidR="00F77293">
              <w:rPr>
                <w:noProof/>
                <w:webHidden/>
              </w:rPr>
              <w:fldChar w:fldCharType="separate"/>
            </w:r>
            <w:r w:rsidR="0040263A">
              <w:rPr>
                <w:noProof/>
                <w:webHidden/>
              </w:rPr>
              <w:t>3</w:t>
            </w:r>
            <w:r w:rsidR="00F77293">
              <w:rPr>
                <w:noProof/>
                <w:webHidden/>
              </w:rPr>
              <w:fldChar w:fldCharType="end"/>
            </w:r>
          </w:hyperlink>
        </w:p>
        <w:p w14:paraId="57222B2B"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00" w:history="1">
            <w:r w:rsidR="00F77293" w:rsidRPr="006E6C05">
              <w:rPr>
                <w:rStyle w:val="Hyperlink"/>
                <w:rFonts w:cs="Times New Roman"/>
                <w:b/>
                <w:bCs/>
                <w:noProof/>
                <w:lang w:val="bg-BG"/>
              </w:rPr>
              <w:t>1.4</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rPr>
              <w:t>Основни препоръки.</w:t>
            </w:r>
            <w:r w:rsidR="00F77293">
              <w:rPr>
                <w:noProof/>
                <w:webHidden/>
              </w:rPr>
              <w:tab/>
            </w:r>
            <w:r w:rsidR="00F77293">
              <w:rPr>
                <w:noProof/>
                <w:webHidden/>
              </w:rPr>
              <w:fldChar w:fldCharType="begin"/>
            </w:r>
            <w:r w:rsidR="00F77293">
              <w:rPr>
                <w:noProof/>
                <w:webHidden/>
              </w:rPr>
              <w:instrText xml:space="preserve"> PAGEREF _Toc216427800 \h </w:instrText>
            </w:r>
            <w:r w:rsidR="00F77293">
              <w:rPr>
                <w:noProof/>
                <w:webHidden/>
              </w:rPr>
            </w:r>
            <w:r w:rsidR="00F77293">
              <w:rPr>
                <w:noProof/>
                <w:webHidden/>
              </w:rPr>
              <w:fldChar w:fldCharType="separate"/>
            </w:r>
            <w:r w:rsidR="0040263A">
              <w:rPr>
                <w:noProof/>
                <w:webHidden/>
              </w:rPr>
              <w:t>3</w:t>
            </w:r>
            <w:r w:rsidR="00F77293">
              <w:rPr>
                <w:noProof/>
                <w:webHidden/>
              </w:rPr>
              <w:fldChar w:fldCharType="end"/>
            </w:r>
          </w:hyperlink>
        </w:p>
        <w:p w14:paraId="54DF0595" w14:textId="77777777" w:rsidR="00F77293" w:rsidRDefault="00DC2DA2">
          <w:pPr>
            <w:pStyle w:val="TOC1"/>
            <w:tabs>
              <w:tab w:val="left" w:pos="480"/>
              <w:tab w:val="right" w:leader="dot" w:pos="9068"/>
            </w:tabs>
            <w:rPr>
              <w:rFonts w:asciiTheme="minorHAnsi" w:eastAsiaTheme="minorEastAsia" w:hAnsiTheme="minorHAnsi"/>
              <w:noProof/>
              <w:kern w:val="2"/>
              <w:szCs w:val="24"/>
              <w:lang w:val="bg-BG" w:eastAsia="bg-BG"/>
              <w14:ligatures w14:val="standardContextual"/>
            </w:rPr>
          </w:pPr>
          <w:hyperlink w:anchor="_Toc216427801" w:history="1">
            <w:r w:rsidR="00F77293" w:rsidRPr="006E6C05">
              <w:rPr>
                <w:rStyle w:val="Hyperlink"/>
                <w:rFonts w:cs="Times New Roman"/>
                <w:b/>
                <w:bCs/>
                <w:noProof/>
                <w:lang w:val="bg-BG"/>
              </w:rPr>
              <w:t>2</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rPr>
              <w:t>Въведение, методология, рамка.</w:t>
            </w:r>
            <w:r w:rsidR="00F77293">
              <w:rPr>
                <w:noProof/>
                <w:webHidden/>
              </w:rPr>
              <w:tab/>
            </w:r>
            <w:r w:rsidR="00F77293">
              <w:rPr>
                <w:noProof/>
                <w:webHidden/>
              </w:rPr>
              <w:fldChar w:fldCharType="begin"/>
            </w:r>
            <w:r w:rsidR="00F77293">
              <w:rPr>
                <w:noProof/>
                <w:webHidden/>
              </w:rPr>
              <w:instrText xml:space="preserve"> PAGEREF _Toc216427801 \h </w:instrText>
            </w:r>
            <w:r w:rsidR="00F77293">
              <w:rPr>
                <w:noProof/>
                <w:webHidden/>
              </w:rPr>
            </w:r>
            <w:r w:rsidR="00F77293">
              <w:rPr>
                <w:noProof/>
                <w:webHidden/>
              </w:rPr>
              <w:fldChar w:fldCharType="separate"/>
            </w:r>
            <w:r w:rsidR="0040263A">
              <w:rPr>
                <w:noProof/>
                <w:webHidden/>
              </w:rPr>
              <w:t>4</w:t>
            </w:r>
            <w:r w:rsidR="00F77293">
              <w:rPr>
                <w:noProof/>
                <w:webHidden/>
              </w:rPr>
              <w:fldChar w:fldCharType="end"/>
            </w:r>
          </w:hyperlink>
        </w:p>
        <w:p w14:paraId="0AE613BA"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02" w:history="1">
            <w:r w:rsidR="00F77293" w:rsidRPr="006E6C05">
              <w:rPr>
                <w:rStyle w:val="Hyperlink"/>
                <w:rFonts w:cs="Times New Roman"/>
                <w:b/>
                <w:bCs/>
                <w:noProof/>
                <w:lang w:val="bg-BG"/>
              </w:rPr>
              <w:t>2.1</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rPr>
              <w:t>Цели и обхват.</w:t>
            </w:r>
            <w:r w:rsidR="00F77293">
              <w:rPr>
                <w:noProof/>
                <w:webHidden/>
              </w:rPr>
              <w:tab/>
            </w:r>
            <w:r w:rsidR="00F77293">
              <w:rPr>
                <w:noProof/>
                <w:webHidden/>
              </w:rPr>
              <w:fldChar w:fldCharType="begin"/>
            </w:r>
            <w:r w:rsidR="00F77293">
              <w:rPr>
                <w:noProof/>
                <w:webHidden/>
              </w:rPr>
              <w:instrText xml:space="preserve"> PAGEREF _Toc216427802 \h </w:instrText>
            </w:r>
            <w:r w:rsidR="00F77293">
              <w:rPr>
                <w:noProof/>
                <w:webHidden/>
              </w:rPr>
            </w:r>
            <w:r w:rsidR="00F77293">
              <w:rPr>
                <w:noProof/>
                <w:webHidden/>
              </w:rPr>
              <w:fldChar w:fldCharType="separate"/>
            </w:r>
            <w:r w:rsidR="0040263A">
              <w:rPr>
                <w:noProof/>
                <w:webHidden/>
              </w:rPr>
              <w:t>4</w:t>
            </w:r>
            <w:r w:rsidR="00F77293">
              <w:rPr>
                <w:noProof/>
                <w:webHidden/>
              </w:rPr>
              <w:fldChar w:fldCharType="end"/>
            </w:r>
          </w:hyperlink>
        </w:p>
        <w:p w14:paraId="378F7DF1"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03" w:history="1">
            <w:r w:rsidR="00F77293" w:rsidRPr="006E6C05">
              <w:rPr>
                <w:rStyle w:val="Hyperlink"/>
                <w:rFonts w:cs="Times New Roman"/>
                <w:b/>
                <w:bCs/>
                <w:noProof/>
                <w:lang w:val="bg-BG" w:bidi="en-US"/>
              </w:rPr>
              <w:t>2.2</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Приоритетни тематични области.</w:t>
            </w:r>
            <w:r w:rsidR="00F77293">
              <w:rPr>
                <w:noProof/>
                <w:webHidden/>
              </w:rPr>
              <w:tab/>
            </w:r>
            <w:r w:rsidR="00F77293">
              <w:rPr>
                <w:noProof/>
                <w:webHidden/>
              </w:rPr>
              <w:fldChar w:fldCharType="begin"/>
            </w:r>
            <w:r w:rsidR="00F77293">
              <w:rPr>
                <w:noProof/>
                <w:webHidden/>
              </w:rPr>
              <w:instrText xml:space="preserve"> PAGEREF _Toc216427803 \h </w:instrText>
            </w:r>
            <w:r w:rsidR="00F77293">
              <w:rPr>
                <w:noProof/>
                <w:webHidden/>
              </w:rPr>
            </w:r>
            <w:r w:rsidR="00F77293">
              <w:rPr>
                <w:noProof/>
                <w:webHidden/>
              </w:rPr>
              <w:fldChar w:fldCharType="separate"/>
            </w:r>
            <w:r w:rsidR="0040263A">
              <w:rPr>
                <w:noProof/>
                <w:webHidden/>
              </w:rPr>
              <w:t>5</w:t>
            </w:r>
            <w:r w:rsidR="00F77293">
              <w:rPr>
                <w:noProof/>
                <w:webHidden/>
              </w:rPr>
              <w:fldChar w:fldCharType="end"/>
            </w:r>
          </w:hyperlink>
        </w:p>
        <w:p w14:paraId="16DF694F"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04" w:history="1">
            <w:r w:rsidR="00F77293" w:rsidRPr="006E6C05">
              <w:rPr>
                <w:rStyle w:val="Hyperlink"/>
                <w:rFonts w:cs="Times New Roman"/>
                <w:b/>
                <w:bCs/>
                <w:noProof/>
                <w:lang w:val="bg-BG" w:bidi="en-US"/>
              </w:rPr>
              <w:t>2.3</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Стратегическа и нормативна рамка.</w:t>
            </w:r>
            <w:r w:rsidR="00F77293">
              <w:rPr>
                <w:noProof/>
                <w:webHidden/>
              </w:rPr>
              <w:tab/>
            </w:r>
            <w:r w:rsidR="00F77293">
              <w:rPr>
                <w:noProof/>
                <w:webHidden/>
              </w:rPr>
              <w:fldChar w:fldCharType="begin"/>
            </w:r>
            <w:r w:rsidR="00F77293">
              <w:rPr>
                <w:noProof/>
                <w:webHidden/>
              </w:rPr>
              <w:instrText xml:space="preserve"> PAGEREF _Toc216427804 \h </w:instrText>
            </w:r>
            <w:r w:rsidR="00F77293">
              <w:rPr>
                <w:noProof/>
                <w:webHidden/>
              </w:rPr>
            </w:r>
            <w:r w:rsidR="00F77293">
              <w:rPr>
                <w:noProof/>
                <w:webHidden/>
              </w:rPr>
              <w:fldChar w:fldCharType="separate"/>
            </w:r>
            <w:r w:rsidR="0040263A">
              <w:rPr>
                <w:noProof/>
                <w:webHidden/>
              </w:rPr>
              <w:t>6</w:t>
            </w:r>
            <w:r w:rsidR="00F77293">
              <w:rPr>
                <w:noProof/>
                <w:webHidden/>
              </w:rPr>
              <w:fldChar w:fldCharType="end"/>
            </w:r>
          </w:hyperlink>
        </w:p>
        <w:p w14:paraId="13D7BE9D"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05" w:history="1">
            <w:r w:rsidR="00F77293" w:rsidRPr="006E6C05">
              <w:rPr>
                <w:rStyle w:val="Hyperlink"/>
                <w:rFonts w:cs="Times New Roman"/>
                <w:b/>
                <w:bCs/>
                <w:noProof/>
                <w:lang w:val="bg-BG" w:bidi="en-US"/>
              </w:rPr>
              <w:t>2.4</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Институционален механизъм за управление.</w:t>
            </w:r>
            <w:r w:rsidR="00F77293">
              <w:rPr>
                <w:noProof/>
                <w:webHidden/>
              </w:rPr>
              <w:tab/>
            </w:r>
            <w:r w:rsidR="00F77293">
              <w:rPr>
                <w:noProof/>
                <w:webHidden/>
              </w:rPr>
              <w:fldChar w:fldCharType="begin"/>
            </w:r>
            <w:r w:rsidR="00F77293">
              <w:rPr>
                <w:noProof/>
                <w:webHidden/>
              </w:rPr>
              <w:instrText xml:space="preserve"> PAGEREF _Toc216427805 \h </w:instrText>
            </w:r>
            <w:r w:rsidR="00F77293">
              <w:rPr>
                <w:noProof/>
                <w:webHidden/>
              </w:rPr>
            </w:r>
            <w:r w:rsidR="00F77293">
              <w:rPr>
                <w:noProof/>
                <w:webHidden/>
              </w:rPr>
              <w:fldChar w:fldCharType="separate"/>
            </w:r>
            <w:r w:rsidR="0040263A">
              <w:rPr>
                <w:noProof/>
                <w:webHidden/>
              </w:rPr>
              <w:t>7</w:t>
            </w:r>
            <w:r w:rsidR="00F77293">
              <w:rPr>
                <w:noProof/>
                <w:webHidden/>
              </w:rPr>
              <w:fldChar w:fldCharType="end"/>
            </w:r>
          </w:hyperlink>
        </w:p>
        <w:p w14:paraId="56B84861"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06" w:history="1">
            <w:r w:rsidR="00F77293" w:rsidRPr="006E6C05">
              <w:rPr>
                <w:rStyle w:val="Hyperlink"/>
                <w:rFonts w:cs="Times New Roman"/>
                <w:b/>
                <w:bCs/>
                <w:noProof/>
                <w:lang w:val="bg-BG" w:bidi="en-US"/>
              </w:rPr>
              <w:t>2.5</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Методологическа рамка, използвани инструменти и данни.</w:t>
            </w:r>
            <w:r w:rsidR="00F77293">
              <w:rPr>
                <w:noProof/>
                <w:webHidden/>
              </w:rPr>
              <w:tab/>
            </w:r>
            <w:r w:rsidR="00F77293">
              <w:rPr>
                <w:noProof/>
                <w:webHidden/>
              </w:rPr>
              <w:fldChar w:fldCharType="begin"/>
            </w:r>
            <w:r w:rsidR="00F77293">
              <w:rPr>
                <w:noProof/>
                <w:webHidden/>
              </w:rPr>
              <w:instrText xml:space="preserve"> PAGEREF _Toc216427806 \h </w:instrText>
            </w:r>
            <w:r w:rsidR="00F77293">
              <w:rPr>
                <w:noProof/>
                <w:webHidden/>
              </w:rPr>
            </w:r>
            <w:r w:rsidR="00F77293">
              <w:rPr>
                <w:noProof/>
                <w:webHidden/>
              </w:rPr>
              <w:fldChar w:fldCharType="separate"/>
            </w:r>
            <w:r w:rsidR="0040263A">
              <w:rPr>
                <w:noProof/>
                <w:webHidden/>
              </w:rPr>
              <w:t>7</w:t>
            </w:r>
            <w:r w:rsidR="00F77293">
              <w:rPr>
                <w:noProof/>
                <w:webHidden/>
              </w:rPr>
              <w:fldChar w:fldCharType="end"/>
            </w:r>
          </w:hyperlink>
        </w:p>
        <w:p w14:paraId="76BD85AE" w14:textId="77777777" w:rsidR="00F77293" w:rsidRDefault="00DC2DA2">
          <w:pPr>
            <w:pStyle w:val="TOC1"/>
            <w:tabs>
              <w:tab w:val="left" w:pos="480"/>
              <w:tab w:val="right" w:leader="dot" w:pos="9068"/>
            </w:tabs>
            <w:rPr>
              <w:rFonts w:asciiTheme="minorHAnsi" w:eastAsiaTheme="minorEastAsia" w:hAnsiTheme="minorHAnsi"/>
              <w:noProof/>
              <w:kern w:val="2"/>
              <w:szCs w:val="24"/>
              <w:lang w:val="bg-BG" w:eastAsia="bg-BG"/>
              <w14:ligatures w14:val="standardContextual"/>
            </w:rPr>
          </w:pPr>
          <w:hyperlink w:anchor="_Toc216427807" w:history="1">
            <w:r w:rsidR="00F77293" w:rsidRPr="006E6C05">
              <w:rPr>
                <w:rStyle w:val="Hyperlink"/>
                <w:rFonts w:cs="Times New Roman"/>
                <w:b/>
                <w:bCs/>
                <w:noProof/>
                <w:lang w:val="bg-BG" w:bidi="en-US"/>
              </w:rPr>
              <w:t>3</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Социално-икономически контекст</w:t>
            </w:r>
            <w:r w:rsidR="00F77293">
              <w:rPr>
                <w:noProof/>
                <w:webHidden/>
              </w:rPr>
              <w:tab/>
            </w:r>
            <w:r w:rsidR="00F77293">
              <w:rPr>
                <w:noProof/>
                <w:webHidden/>
              </w:rPr>
              <w:fldChar w:fldCharType="begin"/>
            </w:r>
            <w:r w:rsidR="00F77293">
              <w:rPr>
                <w:noProof/>
                <w:webHidden/>
              </w:rPr>
              <w:instrText xml:space="preserve"> PAGEREF _Toc216427807 \h </w:instrText>
            </w:r>
            <w:r w:rsidR="00F77293">
              <w:rPr>
                <w:noProof/>
                <w:webHidden/>
              </w:rPr>
            </w:r>
            <w:r w:rsidR="00F77293">
              <w:rPr>
                <w:noProof/>
                <w:webHidden/>
              </w:rPr>
              <w:fldChar w:fldCharType="separate"/>
            </w:r>
            <w:r w:rsidR="0040263A">
              <w:rPr>
                <w:noProof/>
                <w:webHidden/>
              </w:rPr>
              <w:t>9</w:t>
            </w:r>
            <w:r w:rsidR="00F77293">
              <w:rPr>
                <w:noProof/>
                <w:webHidden/>
              </w:rPr>
              <w:fldChar w:fldCharType="end"/>
            </w:r>
          </w:hyperlink>
        </w:p>
        <w:p w14:paraId="5FBE593F"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08" w:history="1">
            <w:r w:rsidR="00F77293" w:rsidRPr="006E6C05">
              <w:rPr>
                <w:rStyle w:val="Hyperlink"/>
                <w:rFonts w:cs="Times New Roman"/>
                <w:b/>
                <w:bCs/>
                <w:noProof/>
                <w:lang w:bidi="en-US"/>
              </w:rPr>
              <w:t>3.1</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Позициониране на България в европейски и глобален</w:t>
            </w:r>
            <w:r w:rsidR="00F77293" w:rsidRPr="006E6C05">
              <w:rPr>
                <w:rStyle w:val="Hyperlink"/>
                <w:rFonts w:cs="Times New Roman"/>
                <w:b/>
                <w:bCs/>
                <w:noProof/>
                <w:lang w:bidi="en-US"/>
              </w:rPr>
              <w:t xml:space="preserve"> </w:t>
            </w:r>
            <w:r w:rsidR="00F77293" w:rsidRPr="006E6C05">
              <w:rPr>
                <w:rStyle w:val="Hyperlink"/>
                <w:rFonts w:cs="Times New Roman"/>
                <w:b/>
                <w:bCs/>
                <w:noProof/>
                <w:lang w:val="bg-BG" w:bidi="en-US"/>
              </w:rPr>
              <w:t>контекст (</w:t>
            </w:r>
            <w:r w:rsidR="00F77293" w:rsidRPr="006E6C05">
              <w:rPr>
                <w:rStyle w:val="Hyperlink"/>
                <w:rFonts w:cs="Times New Roman"/>
                <w:b/>
                <w:bCs/>
                <w:noProof/>
                <w:lang w:bidi="en-US"/>
              </w:rPr>
              <w:t>EIS, GII).</w:t>
            </w:r>
            <w:r w:rsidR="00F77293">
              <w:rPr>
                <w:noProof/>
                <w:webHidden/>
              </w:rPr>
              <w:tab/>
            </w:r>
            <w:r w:rsidR="00F77293">
              <w:rPr>
                <w:noProof/>
                <w:webHidden/>
              </w:rPr>
              <w:fldChar w:fldCharType="begin"/>
            </w:r>
            <w:r w:rsidR="00F77293">
              <w:rPr>
                <w:noProof/>
                <w:webHidden/>
              </w:rPr>
              <w:instrText xml:space="preserve"> PAGEREF _Toc216427808 \h </w:instrText>
            </w:r>
            <w:r w:rsidR="00F77293">
              <w:rPr>
                <w:noProof/>
                <w:webHidden/>
              </w:rPr>
            </w:r>
            <w:r w:rsidR="00F77293">
              <w:rPr>
                <w:noProof/>
                <w:webHidden/>
              </w:rPr>
              <w:fldChar w:fldCharType="separate"/>
            </w:r>
            <w:r w:rsidR="0040263A">
              <w:rPr>
                <w:noProof/>
                <w:webHidden/>
              </w:rPr>
              <w:t>9</w:t>
            </w:r>
            <w:r w:rsidR="00F77293">
              <w:rPr>
                <w:noProof/>
                <w:webHidden/>
              </w:rPr>
              <w:fldChar w:fldCharType="end"/>
            </w:r>
          </w:hyperlink>
        </w:p>
        <w:p w14:paraId="2472BB9A"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09" w:history="1">
            <w:r w:rsidR="00F77293" w:rsidRPr="006E6C05">
              <w:rPr>
                <w:rStyle w:val="Hyperlink"/>
                <w:rFonts w:cs="Times New Roman"/>
                <w:b/>
                <w:bCs/>
                <w:noProof/>
                <w:lang w:val="bg-BG" w:bidi="en-US"/>
              </w:rPr>
              <w:t>3.2</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Разходи за научноизследователска и развойна дейност и финансиране.</w:t>
            </w:r>
            <w:r w:rsidR="00F77293">
              <w:rPr>
                <w:noProof/>
                <w:webHidden/>
              </w:rPr>
              <w:tab/>
            </w:r>
            <w:r w:rsidR="00F77293">
              <w:rPr>
                <w:noProof/>
                <w:webHidden/>
              </w:rPr>
              <w:fldChar w:fldCharType="begin"/>
            </w:r>
            <w:r w:rsidR="00F77293">
              <w:rPr>
                <w:noProof/>
                <w:webHidden/>
              </w:rPr>
              <w:instrText xml:space="preserve"> PAGEREF _Toc216427809 \h </w:instrText>
            </w:r>
            <w:r w:rsidR="00F77293">
              <w:rPr>
                <w:noProof/>
                <w:webHidden/>
              </w:rPr>
            </w:r>
            <w:r w:rsidR="00F77293">
              <w:rPr>
                <w:noProof/>
                <w:webHidden/>
              </w:rPr>
              <w:fldChar w:fldCharType="separate"/>
            </w:r>
            <w:r w:rsidR="0040263A">
              <w:rPr>
                <w:noProof/>
                <w:webHidden/>
              </w:rPr>
              <w:t>14</w:t>
            </w:r>
            <w:r w:rsidR="00F77293">
              <w:rPr>
                <w:noProof/>
                <w:webHidden/>
              </w:rPr>
              <w:fldChar w:fldCharType="end"/>
            </w:r>
          </w:hyperlink>
        </w:p>
        <w:p w14:paraId="6093C422"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10" w:history="1">
            <w:r w:rsidR="00F77293" w:rsidRPr="006E6C05">
              <w:rPr>
                <w:rStyle w:val="Hyperlink"/>
                <w:rFonts w:cs="Times New Roman"/>
                <w:b/>
                <w:bCs/>
                <w:noProof/>
                <w:lang w:val="bg-BG" w:bidi="en-US"/>
              </w:rPr>
              <w:t>3.3</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Човешки капитал и дигитални умения.</w:t>
            </w:r>
            <w:r w:rsidR="00F77293">
              <w:rPr>
                <w:noProof/>
                <w:webHidden/>
              </w:rPr>
              <w:tab/>
            </w:r>
            <w:r w:rsidR="00F77293">
              <w:rPr>
                <w:noProof/>
                <w:webHidden/>
              </w:rPr>
              <w:fldChar w:fldCharType="begin"/>
            </w:r>
            <w:r w:rsidR="00F77293">
              <w:rPr>
                <w:noProof/>
                <w:webHidden/>
              </w:rPr>
              <w:instrText xml:space="preserve"> PAGEREF _Toc216427810 \h </w:instrText>
            </w:r>
            <w:r w:rsidR="00F77293">
              <w:rPr>
                <w:noProof/>
                <w:webHidden/>
              </w:rPr>
            </w:r>
            <w:r w:rsidR="00F77293">
              <w:rPr>
                <w:noProof/>
                <w:webHidden/>
              </w:rPr>
              <w:fldChar w:fldCharType="separate"/>
            </w:r>
            <w:r w:rsidR="0040263A">
              <w:rPr>
                <w:noProof/>
                <w:webHidden/>
              </w:rPr>
              <w:t>16</w:t>
            </w:r>
            <w:r w:rsidR="00F77293">
              <w:rPr>
                <w:noProof/>
                <w:webHidden/>
              </w:rPr>
              <w:fldChar w:fldCharType="end"/>
            </w:r>
          </w:hyperlink>
        </w:p>
        <w:p w14:paraId="1FD8273E"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11" w:history="1">
            <w:r w:rsidR="00F77293" w:rsidRPr="006E6C05">
              <w:rPr>
                <w:rStyle w:val="Hyperlink"/>
                <w:rFonts w:cs="Times New Roman"/>
                <w:b/>
                <w:bCs/>
                <w:noProof/>
                <w:lang w:val="bg-BG" w:bidi="en-US"/>
              </w:rPr>
              <w:t>3.4</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Регионални дисбаланси и иновационен потенциал.</w:t>
            </w:r>
            <w:r w:rsidR="00F77293">
              <w:rPr>
                <w:noProof/>
                <w:webHidden/>
              </w:rPr>
              <w:tab/>
            </w:r>
            <w:r w:rsidR="00F77293">
              <w:rPr>
                <w:noProof/>
                <w:webHidden/>
              </w:rPr>
              <w:fldChar w:fldCharType="begin"/>
            </w:r>
            <w:r w:rsidR="00F77293">
              <w:rPr>
                <w:noProof/>
                <w:webHidden/>
              </w:rPr>
              <w:instrText xml:space="preserve"> PAGEREF _Toc216427811 \h </w:instrText>
            </w:r>
            <w:r w:rsidR="00F77293">
              <w:rPr>
                <w:noProof/>
                <w:webHidden/>
              </w:rPr>
            </w:r>
            <w:r w:rsidR="00F77293">
              <w:rPr>
                <w:noProof/>
                <w:webHidden/>
              </w:rPr>
              <w:fldChar w:fldCharType="separate"/>
            </w:r>
            <w:r w:rsidR="0040263A">
              <w:rPr>
                <w:noProof/>
                <w:webHidden/>
              </w:rPr>
              <w:t>17</w:t>
            </w:r>
            <w:r w:rsidR="00F77293">
              <w:rPr>
                <w:noProof/>
                <w:webHidden/>
              </w:rPr>
              <w:fldChar w:fldCharType="end"/>
            </w:r>
          </w:hyperlink>
        </w:p>
        <w:p w14:paraId="426635AA"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12" w:history="1">
            <w:r w:rsidR="00F77293" w:rsidRPr="006E6C05">
              <w:rPr>
                <w:rStyle w:val="Hyperlink"/>
                <w:rFonts w:cs="Times New Roman"/>
                <w:b/>
                <w:bCs/>
                <w:noProof/>
                <w:lang w:val="bg-BG" w:bidi="en-US"/>
              </w:rPr>
              <w:t>3.5</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Сравнителен анализ с референтни държави.</w:t>
            </w:r>
            <w:r w:rsidR="00F77293">
              <w:rPr>
                <w:noProof/>
                <w:webHidden/>
              </w:rPr>
              <w:tab/>
            </w:r>
            <w:r w:rsidR="00F77293">
              <w:rPr>
                <w:noProof/>
                <w:webHidden/>
              </w:rPr>
              <w:fldChar w:fldCharType="begin"/>
            </w:r>
            <w:r w:rsidR="00F77293">
              <w:rPr>
                <w:noProof/>
                <w:webHidden/>
              </w:rPr>
              <w:instrText xml:space="preserve"> PAGEREF _Toc216427812 \h </w:instrText>
            </w:r>
            <w:r w:rsidR="00F77293">
              <w:rPr>
                <w:noProof/>
                <w:webHidden/>
              </w:rPr>
            </w:r>
            <w:r w:rsidR="00F77293">
              <w:rPr>
                <w:noProof/>
                <w:webHidden/>
              </w:rPr>
              <w:fldChar w:fldCharType="separate"/>
            </w:r>
            <w:r w:rsidR="0040263A">
              <w:rPr>
                <w:noProof/>
                <w:webHidden/>
              </w:rPr>
              <w:t>18</w:t>
            </w:r>
            <w:r w:rsidR="00F77293">
              <w:rPr>
                <w:noProof/>
                <w:webHidden/>
              </w:rPr>
              <w:fldChar w:fldCharType="end"/>
            </w:r>
          </w:hyperlink>
        </w:p>
        <w:p w14:paraId="662580D0" w14:textId="77777777" w:rsidR="00F77293" w:rsidRDefault="00DC2DA2">
          <w:pPr>
            <w:pStyle w:val="TOC1"/>
            <w:tabs>
              <w:tab w:val="left" w:pos="480"/>
              <w:tab w:val="right" w:leader="dot" w:pos="9068"/>
            </w:tabs>
            <w:rPr>
              <w:rFonts w:asciiTheme="minorHAnsi" w:eastAsiaTheme="minorEastAsia" w:hAnsiTheme="minorHAnsi"/>
              <w:noProof/>
              <w:kern w:val="2"/>
              <w:szCs w:val="24"/>
              <w:lang w:val="bg-BG" w:eastAsia="bg-BG"/>
              <w14:ligatures w14:val="standardContextual"/>
            </w:rPr>
          </w:pPr>
          <w:hyperlink w:anchor="_Toc216427813" w:history="1">
            <w:r w:rsidR="00F77293" w:rsidRPr="006E6C05">
              <w:rPr>
                <w:rStyle w:val="Hyperlink"/>
                <w:rFonts w:cs="Times New Roman"/>
                <w:b/>
                <w:bCs/>
                <w:noProof/>
                <w:lang w:val="bg-BG" w:bidi="en-US"/>
              </w:rPr>
              <w:t>4</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Външна среда и фактори</w:t>
            </w:r>
            <w:r w:rsidR="00F77293">
              <w:rPr>
                <w:noProof/>
                <w:webHidden/>
              </w:rPr>
              <w:tab/>
            </w:r>
            <w:r w:rsidR="00F77293">
              <w:rPr>
                <w:noProof/>
                <w:webHidden/>
              </w:rPr>
              <w:fldChar w:fldCharType="begin"/>
            </w:r>
            <w:r w:rsidR="00F77293">
              <w:rPr>
                <w:noProof/>
                <w:webHidden/>
              </w:rPr>
              <w:instrText xml:space="preserve"> PAGEREF _Toc216427813 \h </w:instrText>
            </w:r>
            <w:r w:rsidR="00F77293">
              <w:rPr>
                <w:noProof/>
                <w:webHidden/>
              </w:rPr>
            </w:r>
            <w:r w:rsidR="00F77293">
              <w:rPr>
                <w:noProof/>
                <w:webHidden/>
              </w:rPr>
              <w:fldChar w:fldCharType="separate"/>
            </w:r>
            <w:r w:rsidR="0040263A">
              <w:rPr>
                <w:noProof/>
                <w:webHidden/>
              </w:rPr>
              <w:t>21</w:t>
            </w:r>
            <w:r w:rsidR="00F77293">
              <w:rPr>
                <w:noProof/>
                <w:webHidden/>
              </w:rPr>
              <w:fldChar w:fldCharType="end"/>
            </w:r>
          </w:hyperlink>
        </w:p>
        <w:p w14:paraId="47CBA565"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14" w:history="1">
            <w:r w:rsidR="00F77293" w:rsidRPr="006E6C05">
              <w:rPr>
                <w:rStyle w:val="Hyperlink"/>
                <w:rFonts w:cs="Times New Roman"/>
                <w:b/>
                <w:bCs/>
                <w:noProof/>
                <w:lang w:val="bg-BG" w:bidi="en-US"/>
              </w:rPr>
              <w:t>4.1</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Геополитически контекст.</w:t>
            </w:r>
            <w:r w:rsidR="00F77293">
              <w:rPr>
                <w:noProof/>
                <w:webHidden/>
              </w:rPr>
              <w:tab/>
            </w:r>
            <w:r w:rsidR="00F77293">
              <w:rPr>
                <w:noProof/>
                <w:webHidden/>
              </w:rPr>
              <w:fldChar w:fldCharType="begin"/>
            </w:r>
            <w:r w:rsidR="00F77293">
              <w:rPr>
                <w:noProof/>
                <w:webHidden/>
              </w:rPr>
              <w:instrText xml:space="preserve"> PAGEREF _Toc216427814 \h </w:instrText>
            </w:r>
            <w:r w:rsidR="00F77293">
              <w:rPr>
                <w:noProof/>
                <w:webHidden/>
              </w:rPr>
            </w:r>
            <w:r w:rsidR="00F77293">
              <w:rPr>
                <w:noProof/>
                <w:webHidden/>
              </w:rPr>
              <w:fldChar w:fldCharType="separate"/>
            </w:r>
            <w:r w:rsidR="0040263A">
              <w:rPr>
                <w:noProof/>
                <w:webHidden/>
              </w:rPr>
              <w:t>21</w:t>
            </w:r>
            <w:r w:rsidR="00F77293">
              <w:rPr>
                <w:noProof/>
                <w:webHidden/>
              </w:rPr>
              <w:fldChar w:fldCharType="end"/>
            </w:r>
          </w:hyperlink>
        </w:p>
        <w:p w14:paraId="6A94FADE"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15" w:history="1">
            <w:r w:rsidR="00F77293" w:rsidRPr="006E6C05">
              <w:rPr>
                <w:rStyle w:val="Hyperlink"/>
                <w:rFonts w:cs="Times New Roman"/>
                <w:b/>
                <w:bCs/>
                <w:noProof/>
                <w:lang w:val="bg-BG" w:bidi="en-US"/>
              </w:rPr>
              <w:t>4.2</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Технологични тенденции.</w:t>
            </w:r>
            <w:r w:rsidR="00F77293">
              <w:rPr>
                <w:noProof/>
                <w:webHidden/>
              </w:rPr>
              <w:tab/>
            </w:r>
            <w:r w:rsidR="00F77293">
              <w:rPr>
                <w:noProof/>
                <w:webHidden/>
              </w:rPr>
              <w:fldChar w:fldCharType="begin"/>
            </w:r>
            <w:r w:rsidR="00F77293">
              <w:rPr>
                <w:noProof/>
                <w:webHidden/>
              </w:rPr>
              <w:instrText xml:space="preserve"> PAGEREF _Toc216427815 \h </w:instrText>
            </w:r>
            <w:r w:rsidR="00F77293">
              <w:rPr>
                <w:noProof/>
                <w:webHidden/>
              </w:rPr>
            </w:r>
            <w:r w:rsidR="00F77293">
              <w:rPr>
                <w:noProof/>
                <w:webHidden/>
              </w:rPr>
              <w:fldChar w:fldCharType="separate"/>
            </w:r>
            <w:r w:rsidR="0040263A">
              <w:rPr>
                <w:noProof/>
                <w:webHidden/>
              </w:rPr>
              <w:t>23</w:t>
            </w:r>
            <w:r w:rsidR="00F77293">
              <w:rPr>
                <w:noProof/>
                <w:webHidden/>
              </w:rPr>
              <w:fldChar w:fldCharType="end"/>
            </w:r>
          </w:hyperlink>
        </w:p>
        <w:p w14:paraId="7068F50E"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16" w:history="1">
            <w:r w:rsidR="00F77293" w:rsidRPr="006E6C05">
              <w:rPr>
                <w:rStyle w:val="Hyperlink"/>
                <w:rFonts w:cs="Times New Roman"/>
                <w:b/>
                <w:bCs/>
                <w:noProof/>
                <w:lang w:val="bg-BG" w:bidi="en-US"/>
              </w:rPr>
              <w:t>4.3</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Европейски политики и инициативи.</w:t>
            </w:r>
            <w:r w:rsidR="00F77293">
              <w:rPr>
                <w:noProof/>
                <w:webHidden/>
              </w:rPr>
              <w:tab/>
            </w:r>
            <w:r w:rsidR="00F77293">
              <w:rPr>
                <w:noProof/>
                <w:webHidden/>
              </w:rPr>
              <w:fldChar w:fldCharType="begin"/>
            </w:r>
            <w:r w:rsidR="00F77293">
              <w:rPr>
                <w:noProof/>
                <w:webHidden/>
              </w:rPr>
              <w:instrText xml:space="preserve"> PAGEREF _Toc216427816 \h </w:instrText>
            </w:r>
            <w:r w:rsidR="00F77293">
              <w:rPr>
                <w:noProof/>
                <w:webHidden/>
              </w:rPr>
            </w:r>
            <w:r w:rsidR="00F77293">
              <w:rPr>
                <w:noProof/>
                <w:webHidden/>
              </w:rPr>
              <w:fldChar w:fldCharType="separate"/>
            </w:r>
            <w:r w:rsidR="0040263A">
              <w:rPr>
                <w:noProof/>
                <w:webHidden/>
              </w:rPr>
              <w:t>25</w:t>
            </w:r>
            <w:r w:rsidR="00F77293">
              <w:rPr>
                <w:noProof/>
                <w:webHidden/>
              </w:rPr>
              <w:fldChar w:fldCharType="end"/>
            </w:r>
          </w:hyperlink>
        </w:p>
        <w:p w14:paraId="058E1532"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17" w:history="1">
            <w:r w:rsidR="00F77293" w:rsidRPr="006E6C05">
              <w:rPr>
                <w:rStyle w:val="Hyperlink"/>
                <w:rFonts w:cs="Times New Roman"/>
                <w:b/>
                <w:bCs/>
                <w:noProof/>
                <w:lang w:val="bg-BG" w:bidi="en-US"/>
              </w:rPr>
              <w:t>4.4</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Въздействие върху реализацията на ИСИС.</w:t>
            </w:r>
            <w:r w:rsidR="00F77293">
              <w:rPr>
                <w:noProof/>
                <w:webHidden/>
              </w:rPr>
              <w:tab/>
            </w:r>
            <w:r w:rsidR="00F77293">
              <w:rPr>
                <w:noProof/>
                <w:webHidden/>
              </w:rPr>
              <w:fldChar w:fldCharType="begin"/>
            </w:r>
            <w:r w:rsidR="00F77293">
              <w:rPr>
                <w:noProof/>
                <w:webHidden/>
              </w:rPr>
              <w:instrText xml:space="preserve"> PAGEREF _Toc216427817 \h </w:instrText>
            </w:r>
            <w:r w:rsidR="00F77293">
              <w:rPr>
                <w:noProof/>
                <w:webHidden/>
              </w:rPr>
            </w:r>
            <w:r w:rsidR="00F77293">
              <w:rPr>
                <w:noProof/>
                <w:webHidden/>
              </w:rPr>
              <w:fldChar w:fldCharType="separate"/>
            </w:r>
            <w:r w:rsidR="0040263A">
              <w:rPr>
                <w:noProof/>
                <w:webHidden/>
              </w:rPr>
              <w:t>27</w:t>
            </w:r>
            <w:r w:rsidR="00F77293">
              <w:rPr>
                <w:noProof/>
                <w:webHidden/>
              </w:rPr>
              <w:fldChar w:fldCharType="end"/>
            </w:r>
          </w:hyperlink>
        </w:p>
        <w:p w14:paraId="36CFE36D" w14:textId="77777777" w:rsidR="00F77293" w:rsidRDefault="00DC2DA2">
          <w:pPr>
            <w:pStyle w:val="TOC1"/>
            <w:tabs>
              <w:tab w:val="left" w:pos="480"/>
              <w:tab w:val="right" w:leader="dot" w:pos="9068"/>
            </w:tabs>
            <w:rPr>
              <w:rFonts w:asciiTheme="minorHAnsi" w:eastAsiaTheme="minorEastAsia" w:hAnsiTheme="minorHAnsi"/>
              <w:noProof/>
              <w:kern w:val="2"/>
              <w:szCs w:val="24"/>
              <w:lang w:val="bg-BG" w:eastAsia="bg-BG"/>
              <w14:ligatures w14:val="standardContextual"/>
            </w:rPr>
          </w:pPr>
          <w:hyperlink w:anchor="_Toc216427818" w:history="1">
            <w:r w:rsidR="00F77293" w:rsidRPr="006E6C05">
              <w:rPr>
                <w:rStyle w:val="Hyperlink"/>
                <w:rFonts w:cs="Times New Roman"/>
                <w:b/>
                <w:bCs/>
                <w:noProof/>
                <w:lang w:val="bg-BG" w:bidi="en-US"/>
              </w:rPr>
              <w:t>5</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Напредък по изпълнението на Стратегията и постигането на стратегическите и оперативни цели</w:t>
            </w:r>
            <w:r w:rsidR="00F77293">
              <w:rPr>
                <w:noProof/>
                <w:webHidden/>
              </w:rPr>
              <w:tab/>
            </w:r>
            <w:r w:rsidR="00F77293">
              <w:rPr>
                <w:noProof/>
                <w:webHidden/>
              </w:rPr>
              <w:fldChar w:fldCharType="begin"/>
            </w:r>
            <w:r w:rsidR="00F77293">
              <w:rPr>
                <w:noProof/>
                <w:webHidden/>
              </w:rPr>
              <w:instrText xml:space="preserve"> PAGEREF _Toc216427818 \h </w:instrText>
            </w:r>
            <w:r w:rsidR="00F77293">
              <w:rPr>
                <w:noProof/>
                <w:webHidden/>
              </w:rPr>
            </w:r>
            <w:r w:rsidR="00F77293">
              <w:rPr>
                <w:noProof/>
                <w:webHidden/>
              </w:rPr>
              <w:fldChar w:fldCharType="separate"/>
            </w:r>
            <w:r w:rsidR="0040263A">
              <w:rPr>
                <w:noProof/>
                <w:webHidden/>
              </w:rPr>
              <w:t>29</w:t>
            </w:r>
            <w:r w:rsidR="00F77293">
              <w:rPr>
                <w:noProof/>
                <w:webHidden/>
              </w:rPr>
              <w:fldChar w:fldCharType="end"/>
            </w:r>
          </w:hyperlink>
        </w:p>
        <w:p w14:paraId="60549248"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19" w:history="1">
            <w:r w:rsidR="00F77293" w:rsidRPr="006E6C05">
              <w:rPr>
                <w:rStyle w:val="Hyperlink"/>
                <w:rFonts w:cs="Times New Roman"/>
                <w:b/>
                <w:bCs/>
                <w:noProof/>
                <w:lang w:val="bg-BG" w:bidi="en-US"/>
              </w:rPr>
              <w:t>5.1</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Статус на изпълнение по стратегически цели.</w:t>
            </w:r>
            <w:r w:rsidR="00F77293">
              <w:rPr>
                <w:noProof/>
                <w:webHidden/>
              </w:rPr>
              <w:tab/>
            </w:r>
            <w:r w:rsidR="00F77293">
              <w:rPr>
                <w:noProof/>
                <w:webHidden/>
              </w:rPr>
              <w:fldChar w:fldCharType="begin"/>
            </w:r>
            <w:r w:rsidR="00F77293">
              <w:rPr>
                <w:noProof/>
                <w:webHidden/>
              </w:rPr>
              <w:instrText xml:space="preserve"> PAGEREF _Toc216427819 \h </w:instrText>
            </w:r>
            <w:r w:rsidR="00F77293">
              <w:rPr>
                <w:noProof/>
                <w:webHidden/>
              </w:rPr>
            </w:r>
            <w:r w:rsidR="00F77293">
              <w:rPr>
                <w:noProof/>
                <w:webHidden/>
              </w:rPr>
              <w:fldChar w:fldCharType="separate"/>
            </w:r>
            <w:r w:rsidR="0040263A">
              <w:rPr>
                <w:noProof/>
                <w:webHidden/>
              </w:rPr>
              <w:t>29</w:t>
            </w:r>
            <w:r w:rsidR="00F77293">
              <w:rPr>
                <w:noProof/>
                <w:webHidden/>
              </w:rPr>
              <w:fldChar w:fldCharType="end"/>
            </w:r>
          </w:hyperlink>
        </w:p>
        <w:p w14:paraId="277CAB26"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20" w:history="1">
            <w:r w:rsidR="00F77293" w:rsidRPr="006E6C05">
              <w:rPr>
                <w:rStyle w:val="Hyperlink"/>
                <w:rFonts w:cs="Times New Roman"/>
                <w:b/>
                <w:bCs/>
                <w:noProof/>
                <w:lang w:val="bg-BG" w:bidi="en-US"/>
              </w:rPr>
              <w:t>5.2</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Напредък по изпълнението на оперативни цели.</w:t>
            </w:r>
            <w:r w:rsidR="00F77293">
              <w:rPr>
                <w:noProof/>
                <w:webHidden/>
              </w:rPr>
              <w:tab/>
            </w:r>
            <w:r w:rsidR="00F77293">
              <w:rPr>
                <w:noProof/>
                <w:webHidden/>
              </w:rPr>
              <w:fldChar w:fldCharType="begin"/>
            </w:r>
            <w:r w:rsidR="00F77293">
              <w:rPr>
                <w:noProof/>
                <w:webHidden/>
              </w:rPr>
              <w:instrText xml:space="preserve"> PAGEREF _Toc216427820 \h </w:instrText>
            </w:r>
            <w:r w:rsidR="00F77293">
              <w:rPr>
                <w:noProof/>
                <w:webHidden/>
              </w:rPr>
            </w:r>
            <w:r w:rsidR="00F77293">
              <w:rPr>
                <w:noProof/>
                <w:webHidden/>
              </w:rPr>
              <w:fldChar w:fldCharType="separate"/>
            </w:r>
            <w:r w:rsidR="0040263A">
              <w:rPr>
                <w:noProof/>
                <w:webHidden/>
              </w:rPr>
              <w:t>31</w:t>
            </w:r>
            <w:r w:rsidR="00F77293">
              <w:rPr>
                <w:noProof/>
                <w:webHidden/>
              </w:rPr>
              <w:fldChar w:fldCharType="end"/>
            </w:r>
          </w:hyperlink>
        </w:p>
        <w:p w14:paraId="74BEA638"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21" w:history="1">
            <w:r w:rsidR="00F77293" w:rsidRPr="006E6C05">
              <w:rPr>
                <w:rStyle w:val="Hyperlink"/>
                <w:rFonts w:cs="Times New Roman"/>
                <w:b/>
                <w:bCs/>
                <w:noProof/>
                <w:lang w:val="bg-BG" w:bidi="en-US"/>
              </w:rPr>
              <w:t>5.3</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Индикатори и отчетен напредък по тях разделен по тематични области.</w:t>
            </w:r>
            <w:r w:rsidR="00F77293">
              <w:rPr>
                <w:noProof/>
                <w:webHidden/>
              </w:rPr>
              <w:tab/>
            </w:r>
            <w:r w:rsidR="00F77293">
              <w:rPr>
                <w:noProof/>
                <w:webHidden/>
              </w:rPr>
              <w:fldChar w:fldCharType="begin"/>
            </w:r>
            <w:r w:rsidR="00F77293">
              <w:rPr>
                <w:noProof/>
                <w:webHidden/>
              </w:rPr>
              <w:instrText xml:space="preserve"> PAGEREF _Toc216427821 \h </w:instrText>
            </w:r>
            <w:r w:rsidR="00F77293">
              <w:rPr>
                <w:noProof/>
                <w:webHidden/>
              </w:rPr>
            </w:r>
            <w:r w:rsidR="00F77293">
              <w:rPr>
                <w:noProof/>
                <w:webHidden/>
              </w:rPr>
              <w:fldChar w:fldCharType="separate"/>
            </w:r>
            <w:r w:rsidR="0040263A">
              <w:rPr>
                <w:noProof/>
                <w:webHidden/>
              </w:rPr>
              <w:t>32</w:t>
            </w:r>
            <w:r w:rsidR="00F77293">
              <w:rPr>
                <w:noProof/>
                <w:webHidden/>
              </w:rPr>
              <w:fldChar w:fldCharType="end"/>
            </w:r>
          </w:hyperlink>
        </w:p>
        <w:p w14:paraId="50FBB53E"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22" w:history="1">
            <w:r w:rsidR="00F77293" w:rsidRPr="006E6C05">
              <w:rPr>
                <w:rStyle w:val="Hyperlink"/>
                <w:rFonts w:cs="Times New Roman"/>
                <w:b/>
                <w:bCs/>
                <w:noProof/>
                <w:lang w:val="bg-BG" w:bidi="en-US"/>
              </w:rPr>
              <w:t>5.4</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Основни предизвикателства и бариери.</w:t>
            </w:r>
            <w:r w:rsidR="00F77293">
              <w:rPr>
                <w:noProof/>
                <w:webHidden/>
              </w:rPr>
              <w:tab/>
            </w:r>
            <w:r w:rsidR="00F77293">
              <w:rPr>
                <w:noProof/>
                <w:webHidden/>
              </w:rPr>
              <w:fldChar w:fldCharType="begin"/>
            </w:r>
            <w:r w:rsidR="00F77293">
              <w:rPr>
                <w:noProof/>
                <w:webHidden/>
              </w:rPr>
              <w:instrText xml:space="preserve"> PAGEREF _Toc216427822 \h </w:instrText>
            </w:r>
            <w:r w:rsidR="00F77293">
              <w:rPr>
                <w:noProof/>
                <w:webHidden/>
              </w:rPr>
            </w:r>
            <w:r w:rsidR="00F77293">
              <w:rPr>
                <w:noProof/>
                <w:webHidden/>
              </w:rPr>
              <w:fldChar w:fldCharType="separate"/>
            </w:r>
            <w:r w:rsidR="0040263A">
              <w:rPr>
                <w:noProof/>
                <w:webHidden/>
              </w:rPr>
              <w:t>35</w:t>
            </w:r>
            <w:r w:rsidR="00F77293">
              <w:rPr>
                <w:noProof/>
                <w:webHidden/>
              </w:rPr>
              <w:fldChar w:fldCharType="end"/>
            </w:r>
          </w:hyperlink>
        </w:p>
        <w:p w14:paraId="6364F1F3" w14:textId="77777777" w:rsidR="00F77293" w:rsidRDefault="00DC2DA2">
          <w:pPr>
            <w:pStyle w:val="TOC1"/>
            <w:tabs>
              <w:tab w:val="left" w:pos="480"/>
              <w:tab w:val="right" w:leader="dot" w:pos="9068"/>
            </w:tabs>
            <w:rPr>
              <w:rFonts w:asciiTheme="minorHAnsi" w:eastAsiaTheme="minorEastAsia" w:hAnsiTheme="minorHAnsi"/>
              <w:noProof/>
              <w:kern w:val="2"/>
              <w:szCs w:val="24"/>
              <w:lang w:val="bg-BG" w:eastAsia="bg-BG"/>
              <w14:ligatures w14:val="standardContextual"/>
            </w:rPr>
          </w:pPr>
          <w:hyperlink w:anchor="_Toc216427823" w:history="1">
            <w:r w:rsidR="00F77293" w:rsidRPr="006E6C05">
              <w:rPr>
                <w:rStyle w:val="Hyperlink"/>
                <w:rFonts w:cs="Times New Roman"/>
                <w:b/>
                <w:bCs/>
                <w:noProof/>
                <w:lang w:val="bg-BG" w:bidi="en-US"/>
              </w:rPr>
              <w:t>6</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Препоръки.</w:t>
            </w:r>
            <w:r w:rsidR="00F77293">
              <w:rPr>
                <w:noProof/>
                <w:webHidden/>
              </w:rPr>
              <w:tab/>
            </w:r>
            <w:r w:rsidR="00F77293">
              <w:rPr>
                <w:noProof/>
                <w:webHidden/>
              </w:rPr>
              <w:fldChar w:fldCharType="begin"/>
            </w:r>
            <w:r w:rsidR="00F77293">
              <w:rPr>
                <w:noProof/>
                <w:webHidden/>
              </w:rPr>
              <w:instrText xml:space="preserve"> PAGEREF _Toc216427823 \h </w:instrText>
            </w:r>
            <w:r w:rsidR="00F77293">
              <w:rPr>
                <w:noProof/>
                <w:webHidden/>
              </w:rPr>
            </w:r>
            <w:r w:rsidR="00F77293">
              <w:rPr>
                <w:noProof/>
                <w:webHidden/>
              </w:rPr>
              <w:fldChar w:fldCharType="separate"/>
            </w:r>
            <w:r w:rsidR="0040263A">
              <w:rPr>
                <w:noProof/>
                <w:webHidden/>
              </w:rPr>
              <w:t>39</w:t>
            </w:r>
            <w:r w:rsidR="00F77293">
              <w:rPr>
                <w:noProof/>
                <w:webHidden/>
              </w:rPr>
              <w:fldChar w:fldCharType="end"/>
            </w:r>
          </w:hyperlink>
        </w:p>
        <w:p w14:paraId="32A2DCBB"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24" w:history="1">
            <w:r w:rsidR="00F77293" w:rsidRPr="006E6C05">
              <w:rPr>
                <w:rStyle w:val="Hyperlink"/>
                <w:rFonts w:cs="Times New Roman"/>
                <w:b/>
                <w:bCs/>
                <w:noProof/>
                <w:lang w:bidi="en-US"/>
              </w:rPr>
              <w:t>6.1</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Оперативни препоръки (краткосрочни).</w:t>
            </w:r>
            <w:r w:rsidR="00F77293">
              <w:rPr>
                <w:noProof/>
                <w:webHidden/>
              </w:rPr>
              <w:tab/>
            </w:r>
            <w:r w:rsidR="00F77293">
              <w:rPr>
                <w:noProof/>
                <w:webHidden/>
              </w:rPr>
              <w:fldChar w:fldCharType="begin"/>
            </w:r>
            <w:r w:rsidR="00F77293">
              <w:rPr>
                <w:noProof/>
                <w:webHidden/>
              </w:rPr>
              <w:instrText xml:space="preserve"> PAGEREF _Toc216427824 \h </w:instrText>
            </w:r>
            <w:r w:rsidR="00F77293">
              <w:rPr>
                <w:noProof/>
                <w:webHidden/>
              </w:rPr>
            </w:r>
            <w:r w:rsidR="00F77293">
              <w:rPr>
                <w:noProof/>
                <w:webHidden/>
              </w:rPr>
              <w:fldChar w:fldCharType="separate"/>
            </w:r>
            <w:r w:rsidR="0040263A">
              <w:rPr>
                <w:noProof/>
                <w:webHidden/>
              </w:rPr>
              <w:t>39</w:t>
            </w:r>
            <w:r w:rsidR="00F77293">
              <w:rPr>
                <w:noProof/>
                <w:webHidden/>
              </w:rPr>
              <w:fldChar w:fldCharType="end"/>
            </w:r>
          </w:hyperlink>
        </w:p>
        <w:p w14:paraId="2CFAC987" w14:textId="77777777" w:rsidR="00F77293" w:rsidRDefault="00DC2DA2">
          <w:pPr>
            <w:pStyle w:val="TOC3"/>
            <w:tabs>
              <w:tab w:val="left" w:pos="1440"/>
              <w:tab w:val="right" w:leader="dot" w:pos="9068"/>
            </w:tabs>
            <w:rPr>
              <w:rFonts w:asciiTheme="minorHAnsi" w:eastAsiaTheme="minorEastAsia" w:hAnsiTheme="minorHAnsi"/>
              <w:noProof/>
              <w:kern w:val="2"/>
              <w:szCs w:val="24"/>
              <w:lang w:val="bg-BG" w:eastAsia="bg-BG"/>
              <w14:ligatures w14:val="standardContextual"/>
            </w:rPr>
          </w:pPr>
          <w:hyperlink w:anchor="_Toc216427825" w:history="1">
            <w:r w:rsidR="00F77293" w:rsidRPr="006E6C05">
              <w:rPr>
                <w:rStyle w:val="Hyperlink"/>
                <w:rFonts w:cs="Times New Roman"/>
                <w:b/>
                <w:bCs/>
                <w:noProof/>
                <w:lang w:val="bg-BG" w:bidi="en-US"/>
              </w:rPr>
              <w:t>6.1.1</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ПРЕПОРЪКА 1: Териториално балансиране и подкрепа за регионалните иновации:</w:t>
            </w:r>
            <w:r w:rsidR="00F77293">
              <w:rPr>
                <w:noProof/>
                <w:webHidden/>
              </w:rPr>
              <w:tab/>
            </w:r>
            <w:r w:rsidR="00F77293">
              <w:rPr>
                <w:noProof/>
                <w:webHidden/>
              </w:rPr>
              <w:fldChar w:fldCharType="begin"/>
            </w:r>
            <w:r w:rsidR="00F77293">
              <w:rPr>
                <w:noProof/>
                <w:webHidden/>
              </w:rPr>
              <w:instrText xml:space="preserve"> PAGEREF _Toc216427825 \h </w:instrText>
            </w:r>
            <w:r w:rsidR="00F77293">
              <w:rPr>
                <w:noProof/>
                <w:webHidden/>
              </w:rPr>
            </w:r>
            <w:r w:rsidR="00F77293">
              <w:rPr>
                <w:noProof/>
                <w:webHidden/>
              </w:rPr>
              <w:fldChar w:fldCharType="separate"/>
            </w:r>
            <w:r w:rsidR="0040263A">
              <w:rPr>
                <w:noProof/>
                <w:webHidden/>
              </w:rPr>
              <w:t>39</w:t>
            </w:r>
            <w:r w:rsidR="00F77293">
              <w:rPr>
                <w:noProof/>
                <w:webHidden/>
              </w:rPr>
              <w:fldChar w:fldCharType="end"/>
            </w:r>
          </w:hyperlink>
        </w:p>
        <w:p w14:paraId="2C12007C" w14:textId="77777777" w:rsidR="00F77293" w:rsidRDefault="00DC2DA2">
          <w:pPr>
            <w:pStyle w:val="TOC3"/>
            <w:tabs>
              <w:tab w:val="left" w:pos="1440"/>
              <w:tab w:val="right" w:leader="dot" w:pos="9068"/>
            </w:tabs>
            <w:rPr>
              <w:rFonts w:asciiTheme="minorHAnsi" w:eastAsiaTheme="minorEastAsia" w:hAnsiTheme="minorHAnsi"/>
              <w:noProof/>
              <w:kern w:val="2"/>
              <w:szCs w:val="24"/>
              <w:lang w:val="bg-BG" w:eastAsia="bg-BG"/>
              <w14:ligatures w14:val="standardContextual"/>
            </w:rPr>
          </w:pPr>
          <w:hyperlink w:anchor="_Toc216427826" w:history="1">
            <w:r w:rsidR="00F77293" w:rsidRPr="006E6C05">
              <w:rPr>
                <w:rStyle w:val="Hyperlink"/>
                <w:rFonts w:cs="Times New Roman"/>
                <w:b/>
                <w:bCs/>
                <w:noProof/>
                <w:lang w:val="bg-BG" w:bidi="en-US"/>
              </w:rPr>
              <w:t>6.1.2</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ПРЕПОРЪКА 2: Повишаване участието на МСП и академичния сектор:</w:t>
            </w:r>
            <w:r w:rsidR="00F77293">
              <w:rPr>
                <w:noProof/>
                <w:webHidden/>
              </w:rPr>
              <w:tab/>
            </w:r>
            <w:r w:rsidR="00F77293">
              <w:rPr>
                <w:noProof/>
                <w:webHidden/>
              </w:rPr>
              <w:fldChar w:fldCharType="begin"/>
            </w:r>
            <w:r w:rsidR="00F77293">
              <w:rPr>
                <w:noProof/>
                <w:webHidden/>
              </w:rPr>
              <w:instrText xml:space="preserve"> PAGEREF _Toc216427826 \h </w:instrText>
            </w:r>
            <w:r w:rsidR="00F77293">
              <w:rPr>
                <w:noProof/>
                <w:webHidden/>
              </w:rPr>
            </w:r>
            <w:r w:rsidR="00F77293">
              <w:rPr>
                <w:noProof/>
                <w:webHidden/>
              </w:rPr>
              <w:fldChar w:fldCharType="separate"/>
            </w:r>
            <w:r w:rsidR="0040263A">
              <w:rPr>
                <w:noProof/>
                <w:webHidden/>
              </w:rPr>
              <w:t>40</w:t>
            </w:r>
            <w:r w:rsidR="00F77293">
              <w:rPr>
                <w:noProof/>
                <w:webHidden/>
              </w:rPr>
              <w:fldChar w:fldCharType="end"/>
            </w:r>
          </w:hyperlink>
        </w:p>
        <w:p w14:paraId="49A9509D"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27" w:history="1">
            <w:r w:rsidR="00F77293" w:rsidRPr="006E6C05">
              <w:rPr>
                <w:rStyle w:val="Hyperlink"/>
                <w:rFonts w:cs="Times New Roman"/>
                <w:b/>
                <w:bCs/>
                <w:noProof/>
                <w:lang w:val="bg-BG" w:bidi="en-US"/>
              </w:rPr>
              <w:t>6.2</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Стратегически препоръки (средносрочни).</w:t>
            </w:r>
            <w:r w:rsidR="00F77293">
              <w:rPr>
                <w:noProof/>
                <w:webHidden/>
              </w:rPr>
              <w:tab/>
            </w:r>
            <w:r w:rsidR="00F77293">
              <w:rPr>
                <w:noProof/>
                <w:webHidden/>
              </w:rPr>
              <w:fldChar w:fldCharType="begin"/>
            </w:r>
            <w:r w:rsidR="00F77293">
              <w:rPr>
                <w:noProof/>
                <w:webHidden/>
              </w:rPr>
              <w:instrText xml:space="preserve"> PAGEREF _Toc216427827 \h </w:instrText>
            </w:r>
            <w:r w:rsidR="00F77293">
              <w:rPr>
                <w:noProof/>
                <w:webHidden/>
              </w:rPr>
            </w:r>
            <w:r w:rsidR="00F77293">
              <w:rPr>
                <w:noProof/>
                <w:webHidden/>
              </w:rPr>
              <w:fldChar w:fldCharType="separate"/>
            </w:r>
            <w:r w:rsidR="0040263A">
              <w:rPr>
                <w:noProof/>
                <w:webHidden/>
              </w:rPr>
              <w:t>41</w:t>
            </w:r>
            <w:r w:rsidR="00F77293">
              <w:rPr>
                <w:noProof/>
                <w:webHidden/>
              </w:rPr>
              <w:fldChar w:fldCharType="end"/>
            </w:r>
          </w:hyperlink>
        </w:p>
        <w:p w14:paraId="7F868061" w14:textId="77777777" w:rsidR="00F77293" w:rsidRDefault="00DC2DA2">
          <w:pPr>
            <w:pStyle w:val="TOC3"/>
            <w:tabs>
              <w:tab w:val="left" w:pos="1440"/>
              <w:tab w:val="right" w:leader="dot" w:pos="9068"/>
            </w:tabs>
            <w:rPr>
              <w:rFonts w:asciiTheme="minorHAnsi" w:eastAsiaTheme="minorEastAsia" w:hAnsiTheme="minorHAnsi"/>
              <w:noProof/>
              <w:kern w:val="2"/>
              <w:szCs w:val="24"/>
              <w:lang w:val="bg-BG" w:eastAsia="bg-BG"/>
              <w14:ligatures w14:val="standardContextual"/>
            </w:rPr>
          </w:pPr>
          <w:hyperlink w:anchor="_Toc216427828" w:history="1">
            <w:r w:rsidR="00F77293" w:rsidRPr="006E6C05">
              <w:rPr>
                <w:rStyle w:val="Hyperlink"/>
                <w:rFonts w:cs="Times New Roman"/>
                <w:b/>
                <w:bCs/>
                <w:noProof/>
                <w:lang w:val="bg-BG" w:bidi="en-US"/>
              </w:rPr>
              <w:t>6.2.1</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ПРЕПОРЪКА 1: Засилване на инвестициите в научно-развойна дейност:</w:t>
            </w:r>
            <w:r w:rsidR="00F77293">
              <w:rPr>
                <w:noProof/>
                <w:webHidden/>
              </w:rPr>
              <w:tab/>
            </w:r>
            <w:r w:rsidR="00F77293">
              <w:rPr>
                <w:noProof/>
                <w:webHidden/>
              </w:rPr>
              <w:fldChar w:fldCharType="begin"/>
            </w:r>
            <w:r w:rsidR="00F77293">
              <w:rPr>
                <w:noProof/>
                <w:webHidden/>
              </w:rPr>
              <w:instrText xml:space="preserve"> PAGEREF _Toc216427828 \h </w:instrText>
            </w:r>
            <w:r w:rsidR="00F77293">
              <w:rPr>
                <w:noProof/>
                <w:webHidden/>
              </w:rPr>
            </w:r>
            <w:r w:rsidR="00F77293">
              <w:rPr>
                <w:noProof/>
                <w:webHidden/>
              </w:rPr>
              <w:fldChar w:fldCharType="separate"/>
            </w:r>
            <w:r w:rsidR="0040263A">
              <w:rPr>
                <w:noProof/>
                <w:webHidden/>
              </w:rPr>
              <w:t>41</w:t>
            </w:r>
            <w:r w:rsidR="00F77293">
              <w:rPr>
                <w:noProof/>
                <w:webHidden/>
              </w:rPr>
              <w:fldChar w:fldCharType="end"/>
            </w:r>
          </w:hyperlink>
        </w:p>
        <w:p w14:paraId="65F81846" w14:textId="77777777" w:rsidR="00F77293" w:rsidRDefault="00DC2DA2">
          <w:pPr>
            <w:pStyle w:val="TOC3"/>
            <w:tabs>
              <w:tab w:val="left" w:pos="1440"/>
              <w:tab w:val="right" w:leader="dot" w:pos="9068"/>
            </w:tabs>
            <w:rPr>
              <w:rFonts w:asciiTheme="minorHAnsi" w:eastAsiaTheme="minorEastAsia" w:hAnsiTheme="minorHAnsi"/>
              <w:noProof/>
              <w:kern w:val="2"/>
              <w:szCs w:val="24"/>
              <w:lang w:val="bg-BG" w:eastAsia="bg-BG"/>
              <w14:ligatures w14:val="standardContextual"/>
            </w:rPr>
          </w:pPr>
          <w:hyperlink w:anchor="_Toc216427829" w:history="1">
            <w:r w:rsidR="00F77293" w:rsidRPr="006E6C05">
              <w:rPr>
                <w:rStyle w:val="Hyperlink"/>
                <w:rFonts w:cs="Times New Roman"/>
                <w:b/>
                <w:bCs/>
                <w:noProof/>
                <w:lang w:val="bg-BG" w:bidi="en-US"/>
              </w:rPr>
              <w:t>6.2.2</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ПРЕПОРЪКА 2: Намаляване на административната тежест и ускоряване на процедурите:</w:t>
            </w:r>
            <w:r w:rsidR="00F77293">
              <w:rPr>
                <w:noProof/>
                <w:webHidden/>
              </w:rPr>
              <w:tab/>
            </w:r>
            <w:r w:rsidR="00F77293">
              <w:rPr>
                <w:noProof/>
                <w:webHidden/>
              </w:rPr>
              <w:fldChar w:fldCharType="begin"/>
            </w:r>
            <w:r w:rsidR="00F77293">
              <w:rPr>
                <w:noProof/>
                <w:webHidden/>
              </w:rPr>
              <w:instrText xml:space="preserve"> PAGEREF _Toc216427829 \h </w:instrText>
            </w:r>
            <w:r w:rsidR="00F77293">
              <w:rPr>
                <w:noProof/>
                <w:webHidden/>
              </w:rPr>
            </w:r>
            <w:r w:rsidR="00F77293">
              <w:rPr>
                <w:noProof/>
                <w:webHidden/>
              </w:rPr>
              <w:fldChar w:fldCharType="separate"/>
            </w:r>
            <w:r w:rsidR="0040263A">
              <w:rPr>
                <w:noProof/>
                <w:webHidden/>
              </w:rPr>
              <w:t>42</w:t>
            </w:r>
            <w:r w:rsidR="00F77293">
              <w:rPr>
                <w:noProof/>
                <w:webHidden/>
              </w:rPr>
              <w:fldChar w:fldCharType="end"/>
            </w:r>
          </w:hyperlink>
        </w:p>
        <w:p w14:paraId="79C82C30" w14:textId="77777777" w:rsidR="00F77293" w:rsidRDefault="00DC2DA2">
          <w:pPr>
            <w:pStyle w:val="TOC3"/>
            <w:tabs>
              <w:tab w:val="left" w:pos="1440"/>
              <w:tab w:val="right" w:leader="dot" w:pos="9068"/>
            </w:tabs>
            <w:rPr>
              <w:rFonts w:asciiTheme="minorHAnsi" w:eastAsiaTheme="minorEastAsia" w:hAnsiTheme="minorHAnsi"/>
              <w:noProof/>
              <w:kern w:val="2"/>
              <w:szCs w:val="24"/>
              <w:lang w:val="bg-BG" w:eastAsia="bg-BG"/>
              <w14:ligatures w14:val="standardContextual"/>
            </w:rPr>
          </w:pPr>
          <w:hyperlink w:anchor="_Toc216427830" w:history="1">
            <w:r w:rsidR="00F77293" w:rsidRPr="006E6C05">
              <w:rPr>
                <w:rStyle w:val="Hyperlink"/>
                <w:rFonts w:cs="Times New Roman"/>
                <w:b/>
                <w:bCs/>
                <w:noProof/>
                <w:lang w:val="bg-BG" w:bidi="en-US"/>
              </w:rPr>
              <w:t>6.2.3</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ПРЕПОРЪКА 3: Укрепване на институционалния капацитет и координация:</w:t>
            </w:r>
            <w:r w:rsidR="00F77293">
              <w:rPr>
                <w:noProof/>
                <w:webHidden/>
              </w:rPr>
              <w:tab/>
            </w:r>
            <w:r w:rsidR="00F77293">
              <w:rPr>
                <w:noProof/>
                <w:webHidden/>
              </w:rPr>
              <w:fldChar w:fldCharType="begin"/>
            </w:r>
            <w:r w:rsidR="00F77293">
              <w:rPr>
                <w:noProof/>
                <w:webHidden/>
              </w:rPr>
              <w:instrText xml:space="preserve"> PAGEREF _Toc216427830 \h </w:instrText>
            </w:r>
            <w:r w:rsidR="00F77293">
              <w:rPr>
                <w:noProof/>
                <w:webHidden/>
              </w:rPr>
            </w:r>
            <w:r w:rsidR="00F77293">
              <w:rPr>
                <w:noProof/>
                <w:webHidden/>
              </w:rPr>
              <w:fldChar w:fldCharType="separate"/>
            </w:r>
            <w:r w:rsidR="0040263A">
              <w:rPr>
                <w:noProof/>
                <w:webHidden/>
              </w:rPr>
              <w:t>43</w:t>
            </w:r>
            <w:r w:rsidR="00F77293">
              <w:rPr>
                <w:noProof/>
                <w:webHidden/>
              </w:rPr>
              <w:fldChar w:fldCharType="end"/>
            </w:r>
          </w:hyperlink>
        </w:p>
        <w:p w14:paraId="0F5429D2"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31" w:history="1">
            <w:r w:rsidR="00F77293" w:rsidRPr="006E6C05">
              <w:rPr>
                <w:rStyle w:val="Hyperlink"/>
                <w:rFonts w:cs="Times New Roman"/>
                <w:b/>
                <w:bCs/>
                <w:noProof/>
                <w:lang w:val="bg-BG" w:bidi="en-US"/>
              </w:rPr>
              <w:t>6.3</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Препоръки за актуализация на тематичните области.</w:t>
            </w:r>
            <w:r w:rsidR="00F77293">
              <w:rPr>
                <w:noProof/>
                <w:webHidden/>
              </w:rPr>
              <w:tab/>
            </w:r>
            <w:r w:rsidR="00F77293">
              <w:rPr>
                <w:noProof/>
                <w:webHidden/>
              </w:rPr>
              <w:fldChar w:fldCharType="begin"/>
            </w:r>
            <w:r w:rsidR="00F77293">
              <w:rPr>
                <w:noProof/>
                <w:webHidden/>
              </w:rPr>
              <w:instrText xml:space="preserve"> PAGEREF _Toc216427831 \h </w:instrText>
            </w:r>
            <w:r w:rsidR="00F77293">
              <w:rPr>
                <w:noProof/>
                <w:webHidden/>
              </w:rPr>
            </w:r>
            <w:r w:rsidR="00F77293">
              <w:rPr>
                <w:noProof/>
                <w:webHidden/>
              </w:rPr>
              <w:fldChar w:fldCharType="separate"/>
            </w:r>
            <w:r w:rsidR="0040263A">
              <w:rPr>
                <w:noProof/>
                <w:webHidden/>
              </w:rPr>
              <w:t>43</w:t>
            </w:r>
            <w:r w:rsidR="00F77293">
              <w:rPr>
                <w:noProof/>
                <w:webHidden/>
              </w:rPr>
              <w:fldChar w:fldCharType="end"/>
            </w:r>
          </w:hyperlink>
        </w:p>
        <w:p w14:paraId="2AD524D9" w14:textId="77777777" w:rsidR="00F77293" w:rsidRDefault="00DC2DA2">
          <w:pPr>
            <w:pStyle w:val="TOC3"/>
            <w:tabs>
              <w:tab w:val="left" w:pos="1440"/>
              <w:tab w:val="right" w:leader="dot" w:pos="9068"/>
            </w:tabs>
            <w:rPr>
              <w:rFonts w:asciiTheme="minorHAnsi" w:eastAsiaTheme="minorEastAsia" w:hAnsiTheme="minorHAnsi"/>
              <w:noProof/>
              <w:kern w:val="2"/>
              <w:szCs w:val="24"/>
              <w:lang w:val="bg-BG" w:eastAsia="bg-BG"/>
              <w14:ligatures w14:val="standardContextual"/>
            </w:rPr>
          </w:pPr>
          <w:hyperlink w:anchor="_Toc216427832" w:history="1">
            <w:r w:rsidR="00F77293" w:rsidRPr="006E6C05">
              <w:rPr>
                <w:rStyle w:val="Hyperlink"/>
                <w:rFonts w:cs="Times New Roman"/>
                <w:b/>
                <w:bCs/>
                <w:noProof/>
                <w:lang w:val="bg-BG" w:bidi="en-US"/>
              </w:rPr>
              <w:t>6.3.1</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ПРЕПОРЪКА 1: Добавяне на нова тематична област „Космически технологии и технологии с двойна употреба“</w:t>
            </w:r>
            <w:r w:rsidR="00F77293">
              <w:rPr>
                <w:noProof/>
                <w:webHidden/>
              </w:rPr>
              <w:tab/>
            </w:r>
            <w:r w:rsidR="00F77293">
              <w:rPr>
                <w:noProof/>
                <w:webHidden/>
              </w:rPr>
              <w:fldChar w:fldCharType="begin"/>
            </w:r>
            <w:r w:rsidR="00F77293">
              <w:rPr>
                <w:noProof/>
                <w:webHidden/>
              </w:rPr>
              <w:instrText xml:space="preserve"> PAGEREF _Toc216427832 \h </w:instrText>
            </w:r>
            <w:r w:rsidR="00F77293">
              <w:rPr>
                <w:noProof/>
                <w:webHidden/>
              </w:rPr>
            </w:r>
            <w:r w:rsidR="00F77293">
              <w:rPr>
                <w:noProof/>
                <w:webHidden/>
              </w:rPr>
              <w:fldChar w:fldCharType="separate"/>
            </w:r>
            <w:r w:rsidR="0040263A">
              <w:rPr>
                <w:noProof/>
                <w:webHidden/>
              </w:rPr>
              <w:t>44</w:t>
            </w:r>
            <w:r w:rsidR="00F77293">
              <w:rPr>
                <w:noProof/>
                <w:webHidden/>
              </w:rPr>
              <w:fldChar w:fldCharType="end"/>
            </w:r>
          </w:hyperlink>
        </w:p>
        <w:p w14:paraId="4DF35E37" w14:textId="77777777" w:rsidR="00F77293" w:rsidRDefault="00DC2DA2">
          <w:pPr>
            <w:pStyle w:val="TOC3"/>
            <w:tabs>
              <w:tab w:val="left" w:pos="1440"/>
              <w:tab w:val="right" w:leader="dot" w:pos="9068"/>
            </w:tabs>
            <w:rPr>
              <w:rFonts w:asciiTheme="minorHAnsi" w:eastAsiaTheme="minorEastAsia" w:hAnsiTheme="minorHAnsi"/>
              <w:noProof/>
              <w:kern w:val="2"/>
              <w:szCs w:val="24"/>
              <w:lang w:val="bg-BG" w:eastAsia="bg-BG"/>
              <w14:ligatures w14:val="standardContextual"/>
            </w:rPr>
          </w:pPr>
          <w:hyperlink w:anchor="_Toc216427833" w:history="1">
            <w:r w:rsidR="00F77293" w:rsidRPr="006E6C05">
              <w:rPr>
                <w:rStyle w:val="Hyperlink"/>
                <w:rFonts w:cs="Times New Roman"/>
                <w:b/>
                <w:bCs/>
                <w:noProof/>
                <w:lang w:val="bg-BG" w:bidi="en-US"/>
              </w:rPr>
              <w:t>6.3.2</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ПРЕПОРЪКА 2: Добавяне на нова тематична област „Добивна индустрия“</w:t>
            </w:r>
            <w:r w:rsidR="00F77293">
              <w:rPr>
                <w:noProof/>
                <w:webHidden/>
              </w:rPr>
              <w:tab/>
            </w:r>
            <w:r w:rsidR="00F77293">
              <w:rPr>
                <w:noProof/>
                <w:webHidden/>
              </w:rPr>
              <w:fldChar w:fldCharType="begin"/>
            </w:r>
            <w:r w:rsidR="00F77293">
              <w:rPr>
                <w:noProof/>
                <w:webHidden/>
              </w:rPr>
              <w:instrText xml:space="preserve"> PAGEREF _Toc216427833 \h </w:instrText>
            </w:r>
            <w:r w:rsidR="00F77293">
              <w:rPr>
                <w:noProof/>
                <w:webHidden/>
              </w:rPr>
            </w:r>
            <w:r w:rsidR="00F77293">
              <w:rPr>
                <w:noProof/>
                <w:webHidden/>
              </w:rPr>
              <w:fldChar w:fldCharType="separate"/>
            </w:r>
            <w:r w:rsidR="0040263A">
              <w:rPr>
                <w:noProof/>
                <w:webHidden/>
              </w:rPr>
              <w:t>46</w:t>
            </w:r>
            <w:r w:rsidR="00F77293">
              <w:rPr>
                <w:noProof/>
                <w:webHidden/>
              </w:rPr>
              <w:fldChar w:fldCharType="end"/>
            </w:r>
          </w:hyperlink>
        </w:p>
        <w:p w14:paraId="0C724577" w14:textId="77777777" w:rsidR="00F77293" w:rsidRDefault="00DC2DA2">
          <w:pPr>
            <w:pStyle w:val="TOC3"/>
            <w:tabs>
              <w:tab w:val="left" w:pos="1440"/>
              <w:tab w:val="right" w:leader="dot" w:pos="9068"/>
            </w:tabs>
            <w:rPr>
              <w:rFonts w:asciiTheme="minorHAnsi" w:eastAsiaTheme="minorEastAsia" w:hAnsiTheme="minorHAnsi"/>
              <w:noProof/>
              <w:kern w:val="2"/>
              <w:szCs w:val="24"/>
              <w:lang w:val="bg-BG" w:eastAsia="bg-BG"/>
              <w14:ligatures w14:val="standardContextual"/>
            </w:rPr>
          </w:pPr>
          <w:hyperlink w:anchor="_Toc216427834" w:history="1">
            <w:r w:rsidR="00F77293" w:rsidRPr="006E6C05">
              <w:rPr>
                <w:rStyle w:val="Hyperlink"/>
                <w:rFonts w:cs="Times New Roman"/>
                <w:b/>
                <w:bCs/>
                <w:noProof/>
                <w:lang w:val="bg-BG" w:bidi="en-US"/>
              </w:rPr>
              <w:t>6.3.3</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ПРЕПОРЪКА 3: Актуализиране на съществуващите тематични области</w:t>
            </w:r>
            <w:r w:rsidR="00F77293">
              <w:rPr>
                <w:noProof/>
                <w:webHidden/>
              </w:rPr>
              <w:tab/>
            </w:r>
            <w:r w:rsidR="00F77293">
              <w:rPr>
                <w:noProof/>
                <w:webHidden/>
              </w:rPr>
              <w:fldChar w:fldCharType="begin"/>
            </w:r>
            <w:r w:rsidR="00F77293">
              <w:rPr>
                <w:noProof/>
                <w:webHidden/>
              </w:rPr>
              <w:instrText xml:space="preserve"> PAGEREF _Toc216427834 \h </w:instrText>
            </w:r>
            <w:r w:rsidR="00F77293">
              <w:rPr>
                <w:noProof/>
                <w:webHidden/>
              </w:rPr>
            </w:r>
            <w:r w:rsidR="00F77293">
              <w:rPr>
                <w:noProof/>
                <w:webHidden/>
              </w:rPr>
              <w:fldChar w:fldCharType="separate"/>
            </w:r>
            <w:r w:rsidR="0040263A">
              <w:rPr>
                <w:noProof/>
                <w:webHidden/>
              </w:rPr>
              <w:t>47</w:t>
            </w:r>
            <w:r w:rsidR="00F77293">
              <w:rPr>
                <w:noProof/>
                <w:webHidden/>
              </w:rPr>
              <w:fldChar w:fldCharType="end"/>
            </w:r>
          </w:hyperlink>
        </w:p>
        <w:p w14:paraId="16DFA5C6" w14:textId="77777777" w:rsidR="00F77293" w:rsidRDefault="00DC2DA2">
          <w:pPr>
            <w:pStyle w:val="TOC1"/>
            <w:tabs>
              <w:tab w:val="left" w:pos="480"/>
              <w:tab w:val="right" w:leader="dot" w:pos="9068"/>
            </w:tabs>
            <w:rPr>
              <w:rFonts w:asciiTheme="minorHAnsi" w:eastAsiaTheme="minorEastAsia" w:hAnsiTheme="minorHAnsi"/>
              <w:noProof/>
              <w:kern w:val="2"/>
              <w:szCs w:val="24"/>
              <w:lang w:val="bg-BG" w:eastAsia="bg-BG"/>
              <w14:ligatures w14:val="standardContextual"/>
            </w:rPr>
          </w:pPr>
          <w:hyperlink w:anchor="_Toc216427835" w:history="1">
            <w:r w:rsidR="00F77293" w:rsidRPr="006E6C05">
              <w:rPr>
                <w:rStyle w:val="Hyperlink"/>
                <w:rFonts w:cs="Times New Roman"/>
                <w:b/>
                <w:bCs/>
                <w:noProof/>
                <w:lang w:val="bg-BG" w:bidi="en-US"/>
              </w:rPr>
              <w:t>7</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Заключение и следващи стъпки.</w:t>
            </w:r>
            <w:r w:rsidR="00F77293">
              <w:rPr>
                <w:noProof/>
                <w:webHidden/>
              </w:rPr>
              <w:tab/>
            </w:r>
            <w:r w:rsidR="00F77293">
              <w:rPr>
                <w:noProof/>
                <w:webHidden/>
              </w:rPr>
              <w:fldChar w:fldCharType="begin"/>
            </w:r>
            <w:r w:rsidR="00F77293">
              <w:rPr>
                <w:noProof/>
                <w:webHidden/>
              </w:rPr>
              <w:instrText xml:space="preserve"> PAGEREF _Toc216427835 \h </w:instrText>
            </w:r>
            <w:r w:rsidR="00F77293">
              <w:rPr>
                <w:noProof/>
                <w:webHidden/>
              </w:rPr>
            </w:r>
            <w:r w:rsidR="00F77293">
              <w:rPr>
                <w:noProof/>
                <w:webHidden/>
              </w:rPr>
              <w:fldChar w:fldCharType="separate"/>
            </w:r>
            <w:r w:rsidR="0040263A">
              <w:rPr>
                <w:noProof/>
                <w:webHidden/>
              </w:rPr>
              <w:t>50</w:t>
            </w:r>
            <w:r w:rsidR="00F77293">
              <w:rPr>
                <w:noProof/>
                <w:webHidden/>
              </w:rPr>
              <w:fldChar w:fldCharType="end"/>
            </w:r>
          </w:hyperlink>
        </w:p>
        <w:p w14:paraId="1CE7519B"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36" w:history="1">
            <w:r w:rsidR="00F77293" w:rsidRPr="006E6C05">
              <w:rPr>
                <w:rStyle w:val="Hyperlink"/>
                <w:rFonts w:cs="Times New Roman"/>
                <w:b/>
                <w:bCs/>
                <w:noProof/>
                <w:lang w:val="bg-BG" w:bidi="en-US"/>
              </w:rPr>
              <w:t>7.1</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Обобщение.</w:t>
            </w:r>
            <w:r w:rsidR="00F77293">
              <w:rPr>
                <w:noProof/>
                <w:webHidden/>
              </w:rPr>
              <w:tab/>
            </w:r>
            <w:r w:rsidR="00F77293">
              <w:rPr>
                <w:noProof/>
                <w:webHidden/>
              </w:rPr>
              <w:fldChar w:fldCharType="begin"/>
            </w:r>
            <w:r w:rsidR="00F77293">
              <w:rPr>
                <w:noProof/>
                <w:webHidden/>
              </w:rPr>
              <w:instrText xml:space="preserve"> PAGEREF _Toc216427836 \h </w:instrText>
            </w:r>
            <w:r w:rsidR="00F77293">
              <w:rPr>
                <w:noProof/>
                <w:webHidden/>
              </w:rPr>
            </w:r>
            <w:r w:rsidR="00F77293">
              <w:rPr>
                <w:noProof/>
                <w:webHidden/>
              </w:rPr>
              <w:fldChar w:fldCharType="separate"/>
            </w:r>
            <w:r w:rsidR="0040263A">
              <w:rPr>
                <w:noProof/>
                <w:webHidden/>
              </w:rPr>
              <w:t>50</w:t>
            </w:r>
            <w:r w:rsidR="00F77293">
              <w:rPr>
                <w:noProof/>
                <w:webHidden/>
              </w:rPr>
              <w:fldChar w:fldCharType="end"/>
            </w:r>
          </w:hyperlink>
        </w:p>
        <w:p w14:paraId="71327562"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37" w:history="1">
            <w:r w:rsidR="00F77293" w:rsidRPr="006E6C05">
              <w:rPr>
                <w:rStyle w:val="Hyperlink"/>
                <w:rFonts w:cs="Times New Roman"/>
                <w:b/>
                <w:bCs/>
                <w:noProof/>
                <w:lang w:val="bg-BG" w:bidi="en-US"/>
              </w:rPr>
              <w:t>7.2</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Пътна карта за периода 2025-2027 г.</w:t>
            </w:r>
            <w:r w:rsidR="00F77293">
              <w:rPr>
                <w:noProof/>
                <w:webHidden/>
              </w:rPr>
              <w:tab/>
            </w:r>
            <w:r w:rsidR="00F77293">
              <w:rPr>
                <w:noProof/>
                <w:webHidden/>
              </w:rPr>
              <w:fldChar w:fldCharType="begin"/>
            </w:r>
            <w:r w:rsidR="00F77293">
              <w:rPr>
                <w:noProof/>
                <w:webHidden/>
              </w:rPr>
              <w:instrText xml:space="preserve"> PAGEREF _Toc216427837 \h </w:instrText>
            </w:r>
            <w:r w:rsidR="00F77293">
              <w:rPr>
                <w:noProof/>
                <w:webHidden/>
              </w:rPr>
            </w:r>
            <w:r w:rsidR="00F77293">
              <w:rPr>
                <w:noProof/>
                <w:webHidden/>
              </w:rPr>
              <w:fldChar w:fldCharType="separate"/>
            </w:r>
            <w:r w:rsidR="0040263A">
              <w:rPr>
                <w:noProof/>
                <w:webHidden/>
              </w:rPr>
              <w:t>50</w:t>
            </w:r>
            <w:r w:rsidR="00F77293">
              <w:rPr>
                <w:noProof/>
                <w:webHidden/>
              </w:rPr>
              <w:fldChar w:fldCharType="end"/>
            </w:r>
          </w:hyperlink>
        </w:p>
        <w:p w14:paraId="37CE14C8" w14:textId="77777777" w:rsidR="00F77293" w:rsidRDefault="00DC2DA2">
          <w:pPr>
            <w:pStyle w:val="TOC2"/>
            <w:tabs>
              <w:tab w:val="left" w:pos="960"/>
              <w:tab w:val="right" w:leader="dot" w:pos="9068"/>
            </w:tabs>
            <w:rPr>
              <w:rFonts w:asciiTheme="minorHAnsi" w:eastAsiaTheme="minorEastAsia" w:hAnsiTheme="minorHAnsi"/>
              <w:noProof/>
              <w:kern w:val="2"/>
              <w:szCs w:val="24"/>
              <w:lang w:val="bg-BG" w:eastAsia="bg-BG"/>
              <w14:ligatures w14:val="standardContextual"/>
            </w:rPr>
          </w:pPr>
          <w:hyperlink w:anchor="_Toc216427838" w:history="1">
            <w:r w:rsidR="00F77293" w:rsidRPr="006E6C05">
              <w:rPr>
                <w:rStyle w:val="Hyperlink"/>
                <w:rFonts w:cs="Times New Roman"/>
                <w:b/>
                <w:bCs/>
                <w:noProof/>
                <w:lang w:val="bg-BG" w:bidi="en-US"/>
              </w:rPr>
              <w:t>7.3</w:t>
            </w:r>
            <w:r w:rsidR="00F77293">
              <w:rPr>
                <w:rFonts w:asciiTheme="minorHAnsi" w:eastAsiaTheme="minorEastAsia" w:hAnsiTheme="minorHAnsi"/>
                <w:noProof/>
                <w:kern w:val="2"/>
                <w:szCs w:val="24"/>
                <w:lang w:val="bg-BG" w:eastAsia="bg-BG"/>
                <w14:ligatures w14:val="standardContextual"/>
              </w:rPr>
              <w:tab/>
            </w:r>
            <w:r w:rsidR="00F77293" w:rsidRPr="006E6C05">
              <w:rPr>
                <w:rStyle w:val="Hyperlink"/>
                <w:rFonts w:cs="Times New Roman"/>
                <w:b/>
                <w:bCs/>
                <w:noProof/>
                <w:lang w:val="bg-BG" w:bidi="en-US"/>
              </w:rPr>
              <w:t>Подготовка на заключителния доклад.</w:t>
            </w:r>
            <w:r w:rsidR="00F77293">
              <w:rPr>
                <w:noProof/>
                <w:webHidden/>
              </w:rPr>
              <w:tab/>
            </w:r>
            <w:r w:rsidR="00F77293">
              <w:rPr>
                <w:noProof/>
                <w:webHidden/>
              </w:rPr>
              <w:fldChar w:fldCharType="begin"/>
            </w:r>
            <w:r w:rsidR="00F77293">
              <w:rPr>
                <w:noProof/>
                <w:webHidden/>
              </w:rPr>
              <w:instrText xml:space="preserve"> PAGEREF _Toc216427838 \h </w:instrText>
            </w:r>
            <w:r w:rsidR="00F77293">
              <w:rPr>
                <w:noProof/>
                <w:webHidden/>
              </w:rPr>
            </w:r>
            <w:r w:rsidR="00F77293">
              <w:rPr>
                <w:noProof/>
                <w:webHidden/>
              </w:rPr>
              <w:fldChar w:fldCharType="separate"/>
            </w:r>
            <w:r w:rsidR="0040263A">
              <w:rPr>
                <w:noProof/>
                <w:webHidden/>
              </w:rPr>
              <w:t>51</w:t>
            </w:r>
            <w:r w:rsidR="00F77293">
              <w:rPr>
                <w:noProof/>
                <w:webHidden/>
              </w:rPr>
              <w:fldChar w:fldCharType="end"/>
            </w:r>
          </w:hyperlink>
        </w:p>
        <w:p w14:paraId="780010F3" w14:textId="77777777" w:rsidR="009A22C5" w:rsidRPr="00E743DA" w:rsidRDefault="009A22C5">
          <w:pPr>
            <w:rPr>
              <w:rFonts w:eastAsiaTheme="majorEastAsia" w:cs="Times New Roman"/>
              <w:b/>
              <w:bCs/>
              <w:color w:val="2E74B5" w:themeColor="accent1" w:themeShade="BF"/>
              <w:sz w:val="26"/>
              <w:szCs w:val="26"/>
              <w:lang w:val="bg-BG"/>
            </w:rPr>
          </w:pPr>
          <w:r w:rsidRPr="00E743DA">
            <w:rPr>
              <w:rFonts w:eastAsiaTheme="majorEastAsia" w:cs="Times New Roman"/>
              <w:b/>
              <w:bCs/>
              <w:color w:val="2E74B5" w:themeColor="accent1" w:themeShade="BF"/>
              <w:sz w:val="22"/>
              <w:lang w:val="bg-BG"/>
            </w:rPr>
            <w:fldChar w:fldCharType="end"/>
          </w:r>
        </w:p>
      </w:sdtContent>
    </w:sdt>
    <w:p w14:paraId="35972161" w14:textId="77777777" w:rsidR="008D60DA" w:rsidRDefault="008D60DA">
      <w:pPr>
        <w:rPr>
          <w:rFonts w:eastAsiaTheme="majorEastAsia" w:cs="Times New Roman"/>
          <w:b/>
          <w:bCs/>
          <w:color w:val="2E74B5" w:themeColor="accent1" w:themeShade="BF"/>
          <w:sz w:val="32"/>
          <w:szCs w:val="32"/>
        </w:rPr>
      </w:pPr>
      <w:r>
        <w:rPr>
          <w:rFonts w:cs="Times New Roman"/>
          <w:b/>
          <w:bCs/>
        </w:rPr>
        <w:br w:type="page"/>
      </w:r>
    </w:p>
    <w:p w14:paraId="01E85DAF" w14:textId="77777777" w:rsidR="00AE19E9" w:rsidRDefault="00B166E0" w:rsidP="005C5D13">
      <w:pPr>
        <w:pStyle w:val="Heading1"/>
        <w:spacing w:line="360" w:lineRule="auto"/>
        <w:rPr>
          <w:rFonts w:ascii="Times New Roman" w:hAnsi="Times New Roman" w:cs="Times New Roman"/>
          <w:b/>
          <w:bCs/>
          <w:lang w:val="bg-BG"/>
        </w:rPr>
      </w:pPr>
      <w:bookmarkStart w:id="0" w:name="_Toc216427796"/>
      <w:r w:rsidRPr="00233A0B">
        <w:rPr>
          <w:rFonts w:ascii="Times New Roman" w:hAnsi="Times New Roman" w:cs="Times New Roman"/>
          <w:b/>
          <w:bCs/>
          <w:lang w:val="bg-BG"/>
        </w:rPr>
        <w:lastRenderedPageBreak/>
        <w:t>Резюме.</w:t>
      </w:r>
      <w:bookmarkEnd w:id="0"/>
    </w:p>
    <w:p w14:paraId="4A5EB513" w14:textId="77777777" w:rsidR="00D9111A" w:rsidRPr="00845EC6" w:rsidRDefault="00845EC6" w:rsidP="005C5D13">
      <w:pPr>
        <w:pStyle w:val="Heading2"/>
        <w:spacing w:line="360" w:lineRule="auto"/>
        <w:rPr>
          <w:rFonts w:ascii="Times New Roman" w:hAnsi="Times New Roman" w:cs="Times New Roman"/>
          <w:b/>
          <w:bCs/>
          <w:lang w:val="bg-BG"/>
        </w:rPr>
      </w:pPr>
      <w:bookmarkStart w:id="1" w:name="_Toc216427797"/>
      <w:r w:rsidRPr="00845EC6">
        <w:rPr>
          <w:rFonts w:ascii="Times New Roman" w:hAnsi="Times New Roman" w:cs="Times New Roman"/>
          <w:b/>
          <w:bCs/>
          <w:lang w:val="bg-BG"/>
        </w:rPr>
        <w:t>Какво представлява ИСИС?</w:t>
      </w:r>
      <w:bookmarkEnd w:id="1"/>
    </w:p>
    <w:p w14:paraId="2E558414" w14:textId="77777777" w:rsidR="00845EC6" w:rsidRDefault="00845EC6" w:rsidP="00952D51">
      <w:pPr>
        <w:spacing w:line="360" w:lineRule="auto"/>
        <w:ind w:firstLine="284"/>
        <w:jc w:val="both"/>
        <w:rPr>
          <w:lang w:val="bg-BG"/>
        </w:rPr>
      </w:pPr>
      <w:r w:rsidRPr="00845EC6">
        <w:rPr>
          <w:b/>
          <w:bCs/>
          <w:lang w:val="bg-BG"/>
        </w:rPr>
        <w:t xml:space="preserve">Иновационната стратегия за интелигентна специализация 2021–2027 г. (ИСИС) </w:t>
      </w:r>
      <w:r w:rsidRPr="00845EC6">
        <w:rPr>
          <w:lang w:val="bg-BG"/>
        </w:rPr>
        <w:t>на Република България е основополагащ национален стратегически документ, определящ приоритетите и рамката за развитие на иновациите през текущия програмен период.</w:t>
      </w:r>
    </w:p>
    <w:p w14:paraId="21B8CC82" w14:textId="77777777" w:rsidR="005C5D13" w:rsidRPr="00952D51" w:rsidRDefault="00952D51" w:rsidP="00952D51">
      <w:pPr>
        <w:pStyle w:val="Heading2"/>
        <w:rPr>
          <w:rFonts w:ascii="Times New Roman" w:hAnsi="Times New Roman" w:cs="Times New Roman"/>
          <w:b/>
          <w:bCs/>
          <w:lang w:val="bg-BG"/>
        </w:rPr>
      </w:pPr>
      <w:bookmarkStart w:id="2" w:name="_Toc216427798"/>
      <w:r w:rsidRPr="00952D51">
        <w:rPr>
          <w:rFonts w:ascii="Times New Roman" w:hAnsi="Times New Roman" w:cs="Times New Roman"/>
          <w:b/>
          <w:bCs/>
          <w:lang w:val="bg-BG"/>
        </w:rPr>
        <w:t>Цел на междинната оценка.</w:t>
      </w:r>
      <w:bookmarkEnd w:id="2"/>
    </w:p>
    <w:p w14:paraId="498A5784" w14:textId="77777777" w:rsidR="00845EC6" w:rsidRDefault="00952D51" w:rsidP="00952D51">
      <w:pPr>
        <w:spacing w:line="360" w:lineRule="auto"/>
        <w:ind w:firstLine="284"/>
        <w:jc w:val="both"/>
        <w:rPr>
          <w:b/>
          <w:bCs/>
          <w:lang w:val="bg-BG"/>
        </w:rPr>
      </w:pPr>
      <w:r w:rsidRPr="00952D51">
        <w:rPr>
          <w:lang w:val="bg-BG"/>
        </w:rPr>
        <w:t xml:space="preserve">Целта на междинната оценка </w:t>
      </w:r>
      <w:r w:rsidRPr="0090047F">
        <w:rPr>
          <w:b/>
          <w:bCs/>
          <w:lang w:val="bg-BG"/>
        </w:rPr>
        <w:t>е цялостен преглед на напредъка и ефективността на Стратегията, включително анализ доколко приоритетните тематични области остават стратегически актуални, каква е ефективността на реализираните мерки, съответствието с териториалния подход, както и въздействието върху бизнеса, академичните среди и обществото.</w:t>
      </w:r>
    </w:p>
    <w:p w14:paraId="5B4C36F2" w14:textId="77777777" w:rsidR="00C95A1F" w:rsidRPr="00AB0029" w:rsidRDefault="00AB0029" w:rsidP="00AB0029">
      <w:pPr>
        <w:pStyle w:val="Heading2"/>
        <w:rPr>
          <w:rFonts w:ascii="Times New Roman" w:hAnsi="Times New Roman" w:cs="Times New Roman"/>
          <w:b/>
          <w:bCs/>
          <w:lang w:val="bg-BG"/>
        </w:rPr>
      </w:pPr>
      <w:bookmarkStart w:id="3" w:name="_Toc216427799"/>
      <w:r w:rsidRPr="00AB0029">
        <w:rPr>
          <w:rFonts w:ascii="Times New Roman" w:hAnsi="Times New Roman" w:cs="Times New Roman"/>
          <w:b/>
          <w:bCs/>
          <w:lang w:val="bg-BG"/>
        </w:rPr>
        <w:t>Обобщена оценка на напредъка.</w:t>
      </w:r>
      <w:bookmarkEnd w:id="3"/>
    </w:p>
    <w:p w14:paraId="15E4D382" w14:textId="77777777" w:rsidR="00845EC6" w:rsidRDefault="002D2948" w:rsidP="002D2948">
      <w:pPr>
        <w:spacing w:line="360" w:lineRule="auto"/>
        <w:ind w:firstLine="284"/>
        <w:jc w:val="both"/>
        <w:rPr>
          <w:lang w:val="bg-BG"/>
        </w:rPr>
      </w:pPr>
      <w:r w:rsidRPr="002D2948">
        <w:rPr>
          <w:lang w:val="bg-BG"/>
        </w:rPr>
        <w:t xml:space="preserve">Напредъкът по ИСИС е </w:t>
      </w:r>
      <w:r w:rsidRPr="002D2948">
        <w:rPr>
          <w:b/>
          <w:bCs/>
          <w:lang w:val="bg-BG"/>
        </w:rPr>
        <w:t>частичен</w:t>
      </w:r>
      <w:r w:rsidRPr="002D2948">
        <w:rPr>
          <w:lang w:val="bg-BG"/>
        </w:rPr>
        <w:t>. България подобрява резултатите си в европейските и глобалните индекси (EIS и GII), но остава в групата на „</w:t>
      </w:r>
      <w:r w:rsidRPr="002D2948">
        <w:rPr>
          <w:b/>
          <w:bCs/>
          <w:lang w:val="bg-BG"/>
        </w:rPr>
        <w:t>възникващите иноватори</w:t>
      </w:r>
      <w:r w:rsidRPr="002D2948">
        <w:rPr>
          <w:lang w:val="bg-BG"/>
        </w:rPr>
        <w:t xml:space="preserve">“ и на предпоследно място в ЕС по общ иновационен индекс. Отчита се добро развитие на инфраструктура, износ на високотехнологични услуги и интелектуални активи, но системните предизвикателства – </w:t>
      </w:r>
      <w:r w:rsidR="00140110">
        <w:rPr>
          <w:lang w:val="bg-BG"/>
        </w:rPr>
        <w:t>недостиг на</w:t>
      </w:r>
      <w:r w:rsidRPr="002D2948">
        <w:rPr>
          <w:lang w:val="bg-BG"/>
        </w:rPr>
        <w:t xml:space="preserve"> финансиране</w:t>
      </w:r>
      <w:r w:rsidR="00140110">
        <w:rPr>
          <w:lang w:val="bg-BG"/>
        </w:rPr>
        <w:t>,</w:t>
      </w:r>
      <w:r w:rsidRPr="002D2948">
        <w:rPr>
          <w:lang w:val="bg-BG"/>
        </w:rPr>
        <w:t xml:space="preserve"> кадри, институционален капацитет и териториални различия – ограничават ефективността на стратегията.</w:t>
      </w:r>
    </w:p>
    <w:p w14:paraId="0692E3CB" w14:textId="77777777" w:rsidR="00845EC6" w:rsidRPr="00992DE0" w:rsidRDefault="00992DE0" w:rsidP="00992DE0">
      <w:pPr>
        <w:pStyle w:val="Heading2"/>
        <w:rPr>
          <w:rFonts w:ascii="Times New Roman" w:hAnsi="Times New Roman" w:cs="Times New Roman"/>
          <w:b/>
          <w:bCs/>
          <w:lang w:val="bg-BG"/>
        </w:rPr>
      </w:pPr>
      <w:bookmarkStart w:id="4" w:name="_Toc216427800"/>
      <w:r w:rsidRPr="00992DE0">
        <w:rPr>
          <w:rFonts w:ascii="Times New Roman" w:hAnsi="Times New Roman" w:cs="Times New Roman"/>
          <w:b/>
          <w:bCs/>
          <w:lang w:val="bg-BG"/>
        </w:rPr>
        <w:t>Основни препоръки.</w:t>
      </w:r>
      <w:bookmarkEnd w:id="4"/>
    </w:p>
    <w:p w14:paraId="4C3993C0" w14:textId="77777777" w:rsidR="00CB2EA0" w:rsidRDefault="00CB2EA0" w:rsidP="00CB2EA0">
      <w:pPr>
        <w:pStyle w:val="ListParagraph"/>
        <w:numPr>
          <w:ilvl w:val="0"/>
          <w:numId w:val="17"/>
        </w:numPr>
        <w:spacing w:line="360" w:lineRule="auto"/>
        <w:rPr>
          <w:lang w:val="bg-BG"/>
        </w:rPr>
      </w:pPr>
      <w:r w:rsidRPr="00CB2EA0">
        <w:rPr>
          <w:lang w:val="bg-BG"/>
        </w:rPr>
        <w:t>Увеличаване на финансирането за НИРД</w:t>
      </w:r>
      <w:r>
        <w:rPr>
          <w:lang w:val="bg-BG"/>
        </w:rPr>
        <w:t>;</w:t>
      </w:r>
    </w:p>
    <w:p w14:paraId="57E5FEA5" w14:textId="77777777" w:rsidR="00CB2EA0" w:rsidRPr="00CB2EA0" w:rsidRDefault="00590C39" w:rsidP="00CB2EA0">
      <w:pPr>
        <w:pStyle w:val="ListParagraph"/>
        <w:numPr>
          <w:ilvl w:val="0"/>
          <w:numId w:val="17"/>
        </w:numPr>
        <w:spacing w:line="360" w:lineRule="auto"/>
        <w:rPr>
          <w:lang w:val="bg-BG"/>
        </w:rPr>
      </w:pPr>
      <w:r>
        <w:rPr>
          <w:lang w:val="bg-BG"/>
        </w:rPr>
        <w:t xml:space="preserve">Повишаване на регионалния </w:t>
      </w:r>
      <w:r w:rsidR="00CB2EA0" w:rsidRPr="00CB2EA0">
        <w:rPr>
          <w:lang w:val="bg-BG"/>
        </w:rPr>
        <w:t>фокус</w:t>
      </w:r>
      <w:r w:rsidR="00CB2EA0">
        <w:rPr>
          <w:lang w:val="bg-BG"/>
        </w:rPr>
        <w:t>;</w:t>
      </w:r>
    </w:p>
    <w:p w14:paraId="2D66EE3D" w14:textId="77777777" w:rsidR="00CB2EA0" w:rsidRPr="00CB2EA0" w:rsidRDefault="00CB2EA0" w:rsidP="00CB2EA0">
      <w:pPr>
        <w:pStyle w:val="ListParagraph"/>
        <w:numPr>
          <w:ilvl w:val="0"/>
          <w:numId w:val="17"/>
        </w:numPr>
        <w:spacing w:line="360" w:lineRule="auto"/>
        <w:rPr>
          <w:lang w:val="bg-BG"/>
        </w:rPr>
      </w:pPr>
      <w:r w:rsidRPr="00CB2EA0">
        <w:rPr>
          <w:lang w:val="bg-BG"/>
        </w:rPr>
        <w:t>Подобряване на човешкия капитал</w:t>
      </w:r>
      <w:r>
        <w:rPr>
          <w:lang w:val="bg-BG"/>
        </w:rPr>
        <w:t>;</w:t>
      </w:r>
    </w:p>
    <w:p w14:paraId="60CE5C05" w14:textId="77777777" w:rsidR="00CB2EA0" w:rsidRPr="00CB2EA0" w:rsidRDefault="00CB2EA0" w:rsidP="00CB2EA0">
      <w:pPr>
        <w:pStyle w:val="ListParagraph"/>
        <w:numPr>
          <w:ilvl w:val="0"/>
          <w:numId w:val="17"/>
        </w:numPr>
        <w:spacing w:line="360" w:lineRule="auto"/>
        <w:rPr>
          <w:lang w:val="bg-BG"/>
        </w:rPr>
      </w:pPr>
      <w:r w:rsidRPr="00CB2EA0">
        <w:rPr>
          <w:lang w:val="bg-BG"/>
        </w:rPr>
        <w:t>Укрепване на връзката наука</w:t>
      </w:r>
      <w:r>
        <w:rPr>
          <w:lang w:val="bg-BG"/>
        </w:rPr>
        <w:t>-бизнес;</w:t>
      </w:r>
    </w:p>
    <w:p w14:paraId="67AD1F0E" w14:textId="77777777" w:rsidR="00CB2EA0" w:rsidRPr="00CB2EA0" w:rsidRDefault="00CB2EA0" w:rsidP="00CB2EA0">
      <w:pPr>
        <w:pStyle w:val="ListParagraph"/>
        <w:numPr>
          <w:ilvl w:val="0"/>
          <w:numId w:val="17"/>
        </w:numPr>
        <w:spacing w:line="360" w:lineRule="auto"/>
        <w:rPr>
          <w:lang w:val="bg-BG"/>
        </w:rPr>
      </w:pPr>
      <w:r>
        <w:rPr>
          <w:lang w:val="bg-BG"/>
        </w:rPr>
        <w:t>Намаляване на административната тежест;</w:t>
      </w:r>
    </w:p>
    <w:p w14:paraId="778D43DC" w14:textId="77777777" w:rsidR="00992DE0" w:rsidRDefault="00947B33" w:rsidP="00CB2EA0">
      <w:pPr>
        <w:pStyle w:val="ListParagraph"/>
        <w:numPr>
          <w:ilvl w:val="0"/>
          <w:numId w:val="17"/>
        </w:numPr>
        <w:spacing w:line="360" w:lineRule="auto"/>
        <w:rPr>
          <w:lang w:val="bg-BG"/>
        </w:rPr>
      </w:pPr>
      <w:r>
        <w:rPr>
          <w:lang w:val="bg-BG"/>
        </w:rPr>
        <w:t>Добавяне на нови и а</w:t>
      </w:r>
      <w:r w:rsidR="00CB2EA0" w:rsidRPr="00CB2EA0">
        <w:rPr>
          <w:lang w:val="bg-BG"/>
        </w:rPr>
        <w:t>ктуализация на тематичните области</w:t>
      </w:r>
      <w:r w:rsidR="00CB2EA0">
        <w:rPr>
          <w:lang w:val="bg-BG"/>
        </w:rPr>
        <w:t>.</w:t>
      </w:r>
    </w:p>
    <w:p w14:paraId="01713EB8" w14:textId="77777777" w:rsidR="0093494E" w:rsidRDefault="0093494E">
      <w:pPr>
        <w:rPr>
          <w:lang w:val="bg-BG"/>
        </w:rPr>
      </w:pPr>
      <w:r>
        <w:rPr>
          <w:lang w:val="bg-BG"/>
        </w:rPr>
        <w:br w:type="page"/>
      </w:r>
    </w:p>
    <w:p w14:paraId="707FCC9E" w14:textId="77777777" w:rsidR="00B166E0" w:rsidRPr="00233A0B" w:rsidRDefault="00B166E0" w:rsidP="005C5D13">
      <w:pPr>
        <w:pStyle w:val="Heading1"/>
        <w:spacing w:line="360" w:lineRule="auto"/>
        <w:rPr>
          <w:rFonts w:ascii="Times New Roman" w:hAnsi="Times New Roman" w:cs="Times New Roman"/>
          <w:b/>
          <w:bCs/>
          <w:lang w:val="bg-BG"/>
        </w:rPr>
      </w:pPr>
      <w:bookmarkStart w:id="5" w:name="_Toc216427801"/>
      <w:r w:rsidRPr="00233A0B">
        <w:rPr>
          <w:rFonts w:ascii="Times New Roman" w:hAnsi="Times New Roman" w:cs="Times New Roman"/>
          <w:b/>
          <w:bCs/>
          <w:lang w:val="bg-BG"/>
        </w:rPr>
        <w:lastRenderedPageBreak/>
        <w:t>Въведение, методология, рамка.</w:t>
      </w:r>
      <w:bookmarkEnd w:id="5"/>
    </w:p>
    <w:p w14:paraId="71D9B6F1" w14:textId="77777777" w:rsidR="00B166E0" w:rsidRPr="00233A0B" w:rsidRDefault="00B166E0" w:rsidP="005C5D13">
      <w:pPr>
        <w:pStyle w:val="Heading2"/>
        <w:spacing w:line="360" w:lineRule="auto"/>
        <w:rPr>
          <w:rFonts w:ascii="Times New Roman" w:hAnsi="Times New Roman" w:cs="Times New Roman"/>
          <w:b/>
          <w:bCs/>
          <w:lang w:val="bg-BG"/>
        </w:rPr>
      </w:pPr>
      <w:bookmarkStart w:id="6" w:name="_Toc216427802"/>
      <w:r w:rsidRPr="00233A0B">
        <w:rPr>
          <w:rFonts w:ascii="Times New Roman" w:hAnsi="Times New Roman" w:cs="Times New Roman"/>
          <w:b/>
          <w:bCs/>
          <w:lang w:val="bg-BG"/>
        </w:rPr>
        <w:t>Цели и обхват.</w:t>
      </w:r>
      <w:bookmarkEnd w:id="6"/>
    </w:p>
    <w:p w14:paraId="484C365C" w14:textId="77777777" w:rsidR="00AE19E9" w:rsidRDefault="00AE19E9" w:rsidP="005C5D13">
      <w:pPr>
        <w:spacing w:after="127" w:line="360" w:lineRule="auto"/>
        <w:ind w:right="2" w:firstLine="360"/>
        <w:jc w:val="both"/>
        <w:rPr>
          <w:rFonts w:cs="Times New Roman"/>
          <w:szCs w:val="24"/>
          <w:lang w:val="bg-BG" w:bidi="en-US"/>
        </w:rPr>
      </w:pPr>
      <w:r w:rsidRPr="00845EC6">
        <w:rPr>
          <w:rFonts w:cs="Times New Roman"/>
          <w:szCs w:val="24"/>
          <w:lang w:val="bg-BG" w:bidi="en-US"/>
        </w:rPr>
        <w:t>Иновационната стратегия за интелигентна специализация 2021–2027 г.</w:t>
      </w:r>
      <w:r w:rsidR="001F0C23" w:rsidRPr="00233A0B">
        <w:rPr>
          <w:rFonts w:cs="Times New Roman"/>
          <w:szCs w:val="24"/>
          <w:lang w:val="bg-BG" w:bidi="en-US"/>
        </w:rPr>
        <w:t xml:space="preserve"> </w:t>
      </w:r>
      <w:r w:rsidRPr="00233A0B">
        <w:rPr>
          <w:rFonts w:cs="Times New Roman"/>
          <w:szCs w:val="24"/>
          <w:lang w:val="bg-BG" w:bidi="en-US"/>
        </w:rPr>
        <w:t>на Република България е основополагащ национален стратегически документ, определящ приоритетите и рамката за развитие на иновациите през текущия програмен период. Стратегията е одобрена от Министерския съвет на 15 декември 2022 г. с Решение</w:t>
      </w:r>
      <w:r w:rsidR="001D7D87">
        <w:rPr>
          <w:rFonts w:cs="Times New Roman"/>
          <w:szCs w:val="24"/>
          <w:lang w:val="bg-BG" w:bidi="en-US"/>
        </w:rPr>
        <w:t> </w:t>
      </w:r>
      <w:r w:rsidRPr="00233A0B">
        <w:rPr>
          <w:rFonts w:cs="Times New Roman"/>
          <w:szCs w:val="24"/>
          <w:lang w:val="bg-BG" w:bidi="en-US"/>
        </w:rPr>
        <w:t xml:space="preserve">№ 1015, като </w:t>
      </w:r>
      <w:r w:rsidR="00E46F3C" w:rsidRPr="00233A0B">
        <w:rPr>
          <w:rFonts w:cs="Times New Roman"/>
          <w:szCs w:val="24"/>
          <w:lang w:val="bg-BG" w:bidi="en-US"/>
        </w:rPr>
        <w:t xml:space="preserve">нейното приемане </w:t>
      </w:r>
      <w:r w:rsidRPr="00233A0B">
        <w:rPr>
          <w:rFonts w:cs="Times New Roman"/>
          <w:szCs w:val="24"/>
          <w:lang w:val="bg-BG" w:bidi="en-US"/>
        </w:rPr>
        <w:t xml:space="preserve">представлява изпълнение на тематично </w:t>
      </w:r>
      <w:r w:rsidRPr="00233A0B">
        <w:rPr>
          <w:rFonts w:cs="Times New Roman"/>
          <w:i/>
          <w:iCs/>
          <w:szCs w:val="24"/>
          <w:lang w:val="bg-BG" w:bidi="en-US"/>
        </w:rPr>
        <w:t>отключващо условие съгласно Регламент (ЕС) 2021/1060.</w:t>
      </w:r>
      <w:r w:rsidRPr="00233A0B">
        <w:rPr>
          <w:rFonts w:cs="Times New Roman"/>
          <w:szCs w:val="24"/>
          <w:lang w:val="bg-BG" w:bidi="en-US"/>
        </w:rPr>
        <w:t xml:space="preserve"> В този смисъл напредъкът по ИСИС подлежи на мониторинг от Европейската комисия през целия програмен период.</w:t>
      </w:r>
    </w:p>
    <w:p w14:paraId="2ECE362C" w14:textId="77777777" w:rsidR="00AE4F4A" w:rsidRPr="00233A0B" w:rsidRDefault="00AE4F4A"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Като част от мониторинга на стратегията, </w:t>
      </w:r>
      <w:r>
        <w:rPr>
          <w:rFonts w:cs="Times New Roman"/>
          <w:szCs w:val="24"/>
          <w:lang w:val="bg-BG" w:bidi="en-US"/>
        </w:rPr>
        <w:t>Министерството на иновациите и растежа (МИР)</w:t>
      </w:r>
      <w:r w:rsidRPr="00233A0B">
        <w:rPr>
          <w:rFonts w:cs="Times New Roman"/>
          <w:szCs w:val="24"/>
          <w:lang w:val="bg-BG" w:bidi="en-US"/>
        </w:rPr>
        <w:t xml:space="preserve"> изготвя ежегодни доклади за изпълнението на Плана за действие на ИСИС в съответствие с чл. 13, ал. 4 от </w:t>
      </w:r>
      <w:r>
        <w:rPr>
          <w:rFonts w:cs="Times New Roman"/>
          <w:szCs w:val="24"/>
          <w:lang w:val="bg-BG" w:bidi="en-US"/>
        </w:rPr>
        <w:t>Закона за насърчаване на научните изследвания и иновациите (</w:t>
      </w:r>
      <w:r w:rsidRPr="00233A0B">
        <w:rPr>
          <w:rFonts w:cs="Times New Roman"/>
          <w:szCs w:val="24"/>
          <w:lang w:val="bg-BG" w:bidi="en-US"/>
        </w:rPr>
        <w:t>ЗННИИ</w:t>
      </w:r>
      <w:r>
        <w:rPr>
          <w:rFonts w:cs="Times New Roman"/>
          <w:szCs w:val="24"/>
          <w:lang w:val="bg-BG" w:bidi="en-US"/>
        </w:rPr>
        <w:t>)</w:t>
      </w:r>
      <w:r w:rsidRPr="00233A0B">
        <w:rPr>
          <w:rFonts w:cs="Times New Roman"/>
          <w:szCs w:val="24"/>
          <w:lang w:val="bg-BG" w:bidi="en-US"/>
        </w:rPr>
        <w:t xml:space="preserve">. В допълнение през 2025 г. се провежда и процес на междинна оценка на изпълнението на ИСИС. Целта на междинната оценка </w:t>
      </w:r>
      <w:r w:rsidRPr="00233A0B">
        <w:rPr>
          <w:rFonts w:cs="Times New Roman"/>
          <w:b/>
          <w:bCs/>
          <w:i/>
          <w:iCs/>
          <w:szCs w:val="24"/>
          <w:lang w:val="bg-BG" w:bidi="en-US"/>
        </w:rPr>
        <w:t>е цялостен преглед на напредъка и ефективността на Стратегията, включително анализ доколко приоритетните тематични области остават стратегически актуални, каква е ефективността на реализираните мерки, съответствието с териториалния подход, както и въздействието върху бизнеса, академичните среди и обществото</w:t>
      </w:r>
      <w:r w:rsidRPr="00233A0B">
        <w:rPr>
          <w:rFonts w:cs="Times New Roman"/>
          <w:szCs w:val="24"/>
          <w:lang w:val="bg-BG" w:bidi="en-US"/>
        </w:rPr>
        <w:t xml:space="preserve">. </w:t>
      </w:r>
    </w:p>
    <w:p w14:paraId="38010C27" w14:textId="77777777" w:rsidR="00451CE9"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Основната </w:t>
      </w:r>
      <w:r w:rsidRPr="00233A0B">
        <w:rPr>
          <w:rFonts w:cs="Times New Roman"/>
          <w:b/>
          <w:bCs/>
          <w:szCs w:val="24"/>
          <w:lang w:val="bg-BG" w:bidi="en-US"/>
        </w:rPr>
        <w:t>визия</w:t>
      </w:r>
      <w:r w:rsidRPr="00233A0B">
        <w:rPr>
          <w:rFonts w:cs="Times New Roman"/>
          <w:szCs w:val="24"/>
          <w:lang w:val="bg-BG" w:bidi="en-US"/>
        </w:rPr>
        <w:t xml:space="preserve"> на ИСИС е </w:t>
      </w:r>
      <w:r w:rsidR="00451CE9">
        <w:rPr>
          <w:rFonts w:cs="Times New Roman"/>
          <w:szCs w:val="24"/>
          <w:lang w:val="bg-BG" w:bidi="en-US"/>
        </w:rPr>
        <w:t xml:space="preserve">България да се превърне </w:t>
      </w:r>
      <w:r w:rsidR="00451CE9" w:rsidRPr="00451CE9">
        <w:rPr>
          <w:rFonts w:cs="Times New Roman"/>
          <w:szCs w:val="24"/>
          <w:lang w:val="bg-BG" w:bidi="en-US"/>
        </w:rPr>
        <w:t>в иновативна, интелигентна, зелена, цифрова и свързана страна чрез нова обща политика за взаимодействие между научните изследвания, иновациите и технологиите, както и повишаване на международното и междусекторното сътрудничество и интензивно използване на данни за ускорена специализация в продукти и услуги с висока технологична и научна интензивност и значими икономически въздействия за устойчива конкурентоспособност, технологична трансформация на икономиката, повишаване на ресурсната ефективност и цифровизацията.</w:t>
      </w:r>
    </w:p>
    <w:p w14:paraId="1B3C09AA" w14:textId="77777777" w:rsidR="00B43C67"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За постигането на тази визия Стратегията формулира </w:t>
      </w:r>
      <w:r w:rsidRPr="002B3D42">
        <w:rPr>
          <w:rFonts w:cs="Times New Roman"/>
          <w:b/>
          <w:bCs/>
          <w:szCs w:val="24"/>
          <w:lang w:val="bg-BG" w:bidi="en-US"/>
        </w:rPr>
        <w:t>две стратегически цели</w:t>
      </w:r>
      <w:r w:rsidRPr="00233A0B">
        <w:rPr>
          <w:rFonts w:cs="Times New Roman"/>
          <w:szCs w:val="24"/>
          <w:lang w:val="bg-BG" w:bidi="en-US"/>
        </w:rPr>
        <w:t xml:space="preserve">: </w:t>
      </w:r>
    </w:p>
    <w:p w14:paraId="694B7BE6" w14:textId="77777777" w:rsidR="00F77293" w:rsidRPr="00F77293" w:rsidRDefault="00B43C67" w:rsidP="00F77293">
      <w:pPr>
        <w:pStyle w:val="ListParagraph"/>
        <w:numPr>
          <w:ilvl w:val="0"/>
          <w:numId w:val="18"/>
        </w:numPr>
        <w:spacing w:after="127" w:line="360" w:lineRule="auto"/>
        <w:ind w:right="2"/>
        <w:jc w:val="both"/>
        <w:rPr>
          <w:rFonts w:cs="Times New Roman"/>
          <w:szCs w:val="24"/>
          <w:lang w:val="bg-BG" w:bidi="en-US"/>
        </w:rPr>
      </w:pPr>
      <w:r w:rsidRPr="00F77293">
        <w:rPr>
          <w:rFonts w:cs="Times New Roman"/>
          <w:szCs w:val="24"/>
          <w:lang w:val="bg-BG" w:bidi="en-US"/>
        </w:rPr>
        <w:t>Да развива и позиционира България като център на средно- и високотехнологични иновации в стратегически области, в които страната има утвърден капацитет и пазарни позиции, както и признати компетентности да се конкурира на световния пазар, повишавайки националното и регионалното иновационно представяне на страната;</w:t>
      </w:r>
    </w:p>
    <w:p w14:paraId="0FDD08CA" w14:textId="77777777" w:rsidR="00B43C67" w:rsidRPr="00F77293" w:rsidRDefault="00B43C67" w:rsidP="00F77293">
      <w:pPr>
        <w:pStyle w:val="ListParagraph"/>
        <w:numPr>
          <w:ilvl w:val="0"/>
          <w:numId w:val="18"/>
        </w:numPr>
        <w:spacing w:after="127" w:line="360" w:lineRule="auto"/>
        <w:ind w:right="2"/>
        <w:jc w:val="both"/>
        <w:rPr>
          <w:rFonts w:cs="Times New Roman"/>
          <w:szCs w:val="24"/>
          <w:lang w:val="bg-BG" w:bidi="en-US"/>
        </w:rPr>
      </w:pPr>
      <w:r w:rsidRPr="00F77293">
        <w:rPr>
          <w:rFonts w:cs="Times New Roman"/>
          <w:szCs w:val="24"/>
          <w:lang w:val="bg-BG" w:bidi="en-US"/>
        </w:rPr>
        <w:lastRenderedPageBreak/>
        <w:t>Да подкрепи разгръщането и утвърждаването на устойчива, модерна, динамична, приобщаваща, основана на данни и глобално свързана изследователска, иновативна и предприемаческа екосистема в България.</w:t>
      </w:r>
    </w:p>
    <w:p w14:paraId="2DA6E5E1" w14:textId="77777777" w:rsidR="006B3E2E"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Тези стратегически цели се доразвиват чрез </w:t>
      </w:r>
      <w:r w:rsidRPr="0046769B">
        <w:rPr>
          <w:rFonts w:cs="Times New Roman"/>
          <w:b/>
          <w:bCs/>
          <w:szCs w:val="24"/>
          <w:lang w:val="bg-BG" w:bidi="en-US"/>
        </w:rPr>
        <w:t>три оперативни цели:</w:t>
      </w:r>
    </w:p>
    <w:p w14:paraId="76CDC0ED" w14:textId="77777777" w:rsidR="006B3E2E" w:rsidRPr="006B3E2E" w:rsidRDefault="006B3E2E" w:rsidP="006B3E2E">
      <w:pPr>
        <w:spacing w:after="127" w:line="360" w:lineRule="auto"/>
        <w:ind w:right="2" w:firstLine="360"/>
        <w:jc w:val="both"/>
        <w:rPr>
          <w:rFonts w:cs="Times New Roman"/>
          <w:szCs w:val="24"/>
          <w:lang w:val="bg-BG" w:bidi="en-US"/>
        </w:rPr>
      </w:pPr>
      <w:r w:rsidRPr="0046769B">
        <w:rPr>
          <w:rFonts w:cs="Times New Roman"/>
          <w:b/>
          <w:bCs/>
          <w:szCs w:val="24"/>
          <w:lang w:val="bg-BG" w:bidi="en-US"/>
        </w:rPr>
        <w:t>Оперативна цел № 1:</w:t>
      </w:r>
      <w:r w:rsidRPr="006B3E2E">
        <w:rPr>
          <w:rFonts w:cs="Times New Roman"/>
          <w:szCs w:val="24"/>
          <w:lang w:val="bg-BG" w:bidi="en-US"/>
        </w:rPr>
        <w:t xml:space="preserve"> Подобряване на научноизследователската система и иновационното представяне на предприятията.</w:t>
      </w:r>
      <w:r w:rsidR="00E716D1">
        <w:rPr>
          <w:rFonts w:cs="Times New Roman"/>
          <w:szCs w:val="24"/>
          <w:lang w:val="bg-BG" w:bidi="en-US"/>
        </w:rPr>
        <w:t xml:space="preserve"> </w:t>
      </w:r>
      <w:r w:rsidRPr="006B3E2E">
        <w:rPr>
          <w:rFonts w:cs="Times New Roman"/>
          <w:szCs w:val="24"/>
          <w:lang w:val="bg-BG" w:bidi="en-US"/>
        </w:rPr>
        <w:t>С реализирането на тази цел амбицията е да се достигнат нива от 70% спрямо средното за ЕС, което ще затвърди позицията на България в групата на умерените иноватори до 2027 г.</w:t>
      </w:r>
    </w:p>
    <w:p w14:paraId="4E6F3C48" w14:textId="77777777" w:rsidR="006B3E2E" w:rsidRDefault="006B3E2E" w:rsidP="006B3E2E">
      <w:pPr>
        <w:spacing w:after="127" w:line="360" w:lineRule="auto"/>
        <w:ind w:right="2" w:firstLine="360"/>
        <w:jc w:val="both"/>
        <w:rPr>
          <w:rFonts w:cs="Times New Roman"/>
          <w:szCs w:val="24"/>
          <w:lang w:val="bg-BG" w:bidi="en-US"/>
        </w:rPr>
      </w:pPr>
      <w:r w:rsidRPr="0046769B">
        <w:rPr>
          <w:rFonts w:cs="Times New Roman"/>
          <w:b/>
          <w:bCs/>
          <w:szCs w:val="24"/>
          <w:lang w:val="bg-BG" w:bidi="en-US"/>
        </w:rPr>
        <w:t>Оперативна цел № 2:</w:t>
      </w:r>
      <w:r w:rsidRPr="006B3E2E">
        <w:rPr>
          <w:rFonts w:cs="Times New Roman"/>
          <w:szCs w:val="24"/>
          <w:lang w:val="bg-BG" w:bidi="en-US"/>
        </w:rPr>
        <w:t xml:space="preserve"> Повишаване на технологичния капацитет на предприятията, повишаване на екологичността и интернационализацията на българските продукти и услуги.</w:t>
      </w:r>
      <w:r w:rsidR="00E716D1">
        <w:rPr>
          <w:rFonts w:cs="Times New Roman"/>
          <w:szCs w:val="24"/>
          <w:lang w:val="bg-BG" w:bidi="en-US"/>
        </w:rPr>
        <w:t xml:space="preserve"> </w:t>
      </w:r>
      <w:r w:rsidRPr="006B3E2E">
        <w:rPr>
          <w:rFonts w:cs="Times New Roman"/>
          <w:szCs w:val="24"/>
          <w:lang w:val="bg-BG" w:bidi="en-US"/>
        </w:rPr>
        <w:t>Акцентът при реализирането на цел № 2 е върху приоритетните тематични области за интелигентна специализация и технологиите на Индустрия 4.0.</w:t>
      </w:r>
    </w:p>
    <w:p w14:paraId="1C687D7C" w14:textId="77777777" w:rsidR="009E44CE" w:rsidRPr="00233A0B" w:rsidRDefault="006B3E2E" w:rsidP="006B3E2E">
      <w:pPr>
        <w:spacing w:after="127" w:line="360" w:lineRule="auto"/>
        <w:ind w:right="2" w:firstLine="360"/>
        <w:jc w:val="both"/>
        <w:rPr>
          <w:rFonts w:cs="Times New Roman"/>
          <w:szCs w:val="24"/>
          <w:lang w:bidi="en-US"/>
        </w:rPr>
      </w:pPr>
      <w:r w:rsidRPr="0046769B">
        <w:rPr>
          <w:rFonts w:cs="Times New Roman"/>
          <w:b/>
          <w:bCs/>
          <w:szCs w:val="24"/>
          <w:lang w:val="bg-BG" w:bidi="en-US"/>
        </w:rPr>
        <w:t>Оперативна цел № 3:</w:t>
      </w:r>
      <w:r w:rsidRPr="006B3E2E">
        <w:rPr>
          <w:rFonts w:cs="Times New Roman"/>
          <w:szCs w:val="24"/>
          <w:lang w:val="bg-BG" w:bidi="en-US"/>
        </w:rPr>
        <w:t xml:space="preserve"> Подобряване на капацитета на човешкия ресурс в областта на новите технологии и иновациите.</w:t>
      </w:r>
      <w:r w:rsidR="00E716D1">
        <w:rPr>
          <w:rFonts w:cs="Times New Roman"/>
          <w:szCs w:val="24"/>
          <w:lang w:val="bg-BG" w:bidi="en-US"/>
        </w:rPr>
        <w:t xml:space="preserve"> </w:t>
      </w:r>
      <w:r w:rsidRPr="006B3E2E">
        <w:rPr>
          <w:rFonts w:cs="Times New Roman"/>
          <w:szCs w:val="24"/>
          <w:lang w:val="bg-BG" w:bidi="en-US"/>
        </w:rPr>
        <w:t>Приоритетно е подобряването на цялостната среда за развитие на умения и високотехнологични човешки ресурси в тематичните области за интелигентна специализация и технологиите на Индустрия 4.0 и Индустрия 5.0.</w:t>
      </w:r>
      <w:r w:rsidR="00AE19E9" w:rsidRPr="00233A0B">
        <w:rPr>
          <w:rFonts w:cs="Times New Roman"/>
          <w:szCs w:val="24"/>
          <w:lang w:val="bg-BG" w:bidi="en-US"/>
        </w:rPr>
        <w:t xml:space="preserve"> </w:t>
      </w:r>
    </w:p>
    <w:p w14:paraId="6FA2C407" w14:textId="77777777" w:rsidR="00AE19E9" w:rsidRPr="00233A0B" w:rsidRDefault="00AE19E9" w:rsidP="005C5D13">
      <w:pPr>
        <w:spacing w:after="127" w:line="360" w:lineRule="auto"/>
        <w:ind w:right="2" w:firstLine="360"/>
        <w:jc w:val="both"/>
        <w:rPr>
          <w:rFonts w:cs="Times New Roman"/>
          <w:szCs w:val="24"/>
          <w:lang w:val="bg-BG" w:bidi="en-US"/>
        </w:rPr>
      </w:pPr>
    </w:p>
    <w:p w14:paraId="52473368" w14:textId="77777777" w:rsidR="00233A0B" w:rsidRPr="00233A0B" w:rsidRDefault="00AE19E9" w:rsidP="005C5D13">
      <w:pPr>
        <w:pStyle w:val="Heading2"/>
        <w:spacing w:line="360" w:lineRule="auto"/>
        <w:rPr>
          <w:rFonts w:ascii="Times New Roman" w:hAnsi="Times New Roman" w:cs="Times New Roman"/>
          <w:b/>
          <w:bCs/>
          <w:lang w:val="bg-BG" w:bidi="en-US"/>
        </w:rPr>
      </w:pPr>
      <w:bookmarkStart w:id="7" w:name="_Toc216427803"/>
      <w:r w:rsidRPr="00233A0B">
        <w:rPr>
          <w:rFonts w:ascii="Times New Roman" w:hAnsi="Times New Roman" w:cs="Times New Roman"/>
          <w:b/>
          <w:bCs/>
          <w:lang w:val="bg-BG" w:bidi="en-US"/>
        </w:rPr>
        <w:t>Приоритетни тематични области</w:t>
      </w:r>
      <w:r w:rsidR="00233A0B" w:rsidRPr="00233A0B">
        <w:rPr>
          <w:rFonts w:ascii="Times New Roman" w:hAnsi="Times New Roman" w:cs="Times New Roman"/>
          <w:b/>
          <w:bCs/>
          <w:lang w:val="bg-BG" w:bidi="en-US"/>
        </w:rPr>
        <w:t>.</w:t>
      </w:r>
      <w:bookmarkEnd w:id="7"/>
    </w:p>
    <w:p w14:paraId="108C0828" w14:textId="77777777" w:rsidR="00AE19E9" w:rsidRPr="00233A0B"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В резултат на анализите и консултациите по т.нар. процес на предприемаческо откритие, в ИСИС са идентифицирани пет приоритетни тематични области, в които България притежава конкурентни предимства и потенциал за интелигентна специализация:</w:t>
      </w:r>
    </w:p>
    <w:p w14:paraId="6721A52B" w14:textId="77777777" w:rsidR="00AE19E9" w:rsidRPr="00233A0B" w:rsidRDefault="00AE19E9" w:rsidP="005C5D13">
      <w:pPr>
        <w:pStyle w:val="ListParagraph"/>
        <w:numPr>
          <w:ilvl w:val="0"/>
          <w:numId w:val="8"/>
        </w:numPr>
        <w:spacing w:after="127" w:line="360" w:lineRule="auto"/>
        <w:ind w:right="2"/>
        <w:jc w:val="both"/>
        <w:rPr>
          <w:rFonts w:cs="Times New Roman"/>
          <w:szCs w:val="24"/>
          <w:lang w:val="bg-BG" w:bidi="en-US"/>
        </w:rPr>
      </w:pPr>
      <w:r w:rsidRPr="00233A0B">
        <w:rPr>
          <w:rFonts w:cs="Times New Roman"/>
          <w:i/>
          <w:iCs/>
          <w:szCs w:val="24"/>
          <w:lang w:val="bg-BG" w:bidi="en-US"/>
        </w:rPr>
        <w:t>Информатика и информационни и комуникационни технологии (ИКТ)</w:t>
      </w:r>
      <w:r w:rsidR="001E6B12" w:rsidRPr="00233A0B">
        <w:rPr>
          <w:rFonts w:cs="Times New Roman"/>
          <w:i/>
          <w:iCs/>
          <w:szCs w:val="24"/>
          <w:lang w:val="bg-BG" w:bidi="en-US"/>
        </w:rPr>
        <w:t>;</w:t>
      </w:r>
    </w:p>
    <w:p w14:paraId="10CA5D22" w14:textId="77777777" w:rsidR="00AE19E9" w:rsidRPr="00233A0B" w:rsidRDefault="00AE19E9" w:rsidP="005C5D13">
      <w:pPr>
        <w:pStyle w:val="ListParagraph"/>
        <w:numPr>
          <w:ilvl w:val="0"/>
          <w:numId w:val="8"/>
        </w:numPr>
        <w:spacing w:after="127" w:line="360" w:lineRule="auto"/>
        <w:ind w:right="2"/>
        <w:jc w:val="both"/>
        <w:rPr>
          <w:rFonts w:cs="Times New Roman"/>
          <w:szCs w:val="24"/>
          <w:lang w:val="bg-BG" w:bidi="en-US"/>
        </w:rPr>
      </w:pPr>
      <w:proofErr w:type="spellStart"/>
      <w:r w:rsidRPr="00233A0B">
        <w:rPr>
          <w:rFonts w:cs="Times New Roman"/>
          <w:i/>
          <w:iCs/>
          <w:szCs w:val="24"/>
          <w:lang w:val="bg-BG" w:bidi="en-US"/>
        </w:rPr>
        <w:t>Мехатроника</w:t>
      </w:r>
      <w:proofErr w:type="spellEnd"/>
      <w:r w:rsidRPr="00233A0B">
        <w:rPr>
          <w:rFonts w:cs="Times New Roman"/>
          <w:i/>
          <w:iCs/>
          <w:szCs w:val="24"/>
          <w:lang w:val="bg-BG" w:bidi="en-US"/>
        </w:rPr>
        <w:t xml:space="preserve"> и микроелектроника</w:t>
      </w:r>
      <w:r w:rsidR="001E6B12" w:rsidRPr="00233A0B">
        <w:rPr>
          <w:rFonts w:cs="Times New Roman"/>
          <w:i/>
          <w:iCs/>
          <w:szCs w:val="24"/>
          <w:lang w:val="bg-BG" w:bidi="en-US"/>
        </w:rPr>
        <w:t>;</w:t>
      </w:r>
    </w:p>
    <w:p w14:paraId="3E639427" w14:textId="77777777" w:rsidR="00AE19E9" w:rsidRPr="00233A0B" w:rsidRDefault="00AE19E9" w:rsidP="005C5D13">
      <w:pPr>
        <w:pStyle w:val="ListParagraph"/>
        <w:numPr>
          <w:ilvl w:val="0"/>
          <w:numId w:val="8"/>
        </w:numPr>
        <w:spacing w:after="127" w:line="360" w:lineRule="auto"/>
        <w:ind w:right="2"/>
        <w:jc w:val="both"/>
        <w:rPr>
          <w:rFonts w:cs="Times New Roman"/>
          <w:szCs w:val="24"/>
          <w:lang w:val="bg-BG" w:bidi="en-US"/>
        </w:rPr>
      </w:pPr>
      <w:r w:rsidRPr="00233A0B">
        <w:rPr>
          <w:rFonts w:cs="Times New Roman"/>
          <w:i/>
          <w:iCs/>
          <w:szCs w:val="24"/>
          <w:lang w:val="bg-BG" w:bidi="en-US"/>
        </w:rPr>
        <w:t>Индустрия за здравословен живот, биоикономика и биотехнологии</w:t>
      </w:r>
      <w:r w:rsidR="001E6B12" w:rsidRPr="00233A0B">
        <w:rPr>
          <w:rFonts w:cs="Times New Roman"/>
          <w:i/>
          <w:iCs/>
          <w:szCs w:val="24"/>
          <w:lang w:val="bg-BG" w:bidi="en-US"/>
        </w:rPr>
        <w:t>;</w:t>
      </w:r>
    </w:p>
    <w:p w14:paraId="0D377BDB" w14:textId="77777777" w:rsidR="00AE19E9" w:rsidRPr="00233A0B" w:rsidRDefault="00AE19E9" w:rsidP="005C5D13">
      <w:pPr>
        <w:pStyle w:val="ListParagraph"/>
        <w:numPr>
          <w:ilvl w:val="0"/>
          <w:numId w:val="8"/>
        </w:numPr>
        <w:spacing w:after="127" w:line="360" w:lineRule="auto"/>
        <w:ind w:right="2"/>
        <w:jc w:val="both"/>
        <w:rPr>
          <w:rFonts w:cs="Times New Roman"/>
          <w:szCs w:val="24"/>
          <w:lang w:val="bg-BG" w:bidi="en-US"/>
        </w:rPr>
      </w:pPr>
      <w:r w:rsidRPr="00233A0B">
        <w:rPr>
          <w:rFonts w:cs="Times New Roman"/>
          <w:i/>
          <w:iCs/>
          <w:szCs w:val="24"/>
          <w:lang w:val="bg-BG" w:bidi="en-US"/>
        </w:rPr>
        <w:t xml:space="preserve">Нови технологии в креативните и </w:t>
      </w:r>
      <w:proofErr w:type="spellStart"/>
      <w:r w:rsidRPr="00233A0B">
        <w:rPr>
          <w:rFonts w:cs="Times New Roman"/>
          <w:i/>
          <w:iCs/>
          <w:szCs w:val="24"/>
          <w:lang w:val="bg-BG" w:bidi="en-US"/>
        </w:rPr>
        <w:t>рекреативните</w:t>
      </w:r>
      <w:proofErr w:type="spellEnd"/>
      <w:r w:rsidRPr="00233A0B">
        <w:rPr>
          <w:rFonts w:cs="Times New Roman"/>
          <w:i/>
          <w:iCs/>
          <w:szCs w:val="24"/>
          <w:lang w:val="bg-BG" w:bidi="en-US"/>
        </w:rPr>
        <w:t xml:space="preserve"> индустрии</w:t>
      </w:r>
      <w:r w:rsidR="001E6B12" w:rsidRPr="00233A0B">
        <w:rPr>
          <w:rFonts w:cs="Times New Roman"/>
          <w:i/>
          <w:iCs/>
          <w:szCs w:val="24"/>
          <w:lang w:val="bg-BG" w:bidi="en-US"/>
        </w:rPr>
        <w:t>;</w:t>
      </w:r>
    </w:p>
    <w:p w14:paraId="24973250" w14:textId="77777777" w:rsidR="00AE19E9" w:rsidRPr="00233A0B" w:rsidRDefault="00AE19E9" w:rsidP="005C5D13">
      <w:pPr>
        <w:pStyle w:val="ListParagraph"/>
        <w:numPr>
          <w:ilvl w:val="0"/>
          <w:numId w:val="8"/>
        </w:numPr>
        <w:spacing w:after="127" w:line="360" w:lineRule="auto"/>
        <w:ind w:right="2"/>
        <w:jc w:val="both"/>
        <w:rPr>
          <w:rFonts w:cs="Times New Roman"/>
          <w:szCs w:val="24"/>
          <w:lang w:val="bg-BG" w:bidi="en-US"/>
        </w:rPr>
      </w:pPr>
      <w:r w:rsidRPr="00233A0B">
        <w:rPr>
          <w:rFonts w:cs="Times New Roman"/>
          <w:i/>
          <w:iCs/>
          <w:szCs w:val="24"/>
          <w:lang w:val="bg-BG" w:bidi="en-US"/>
        </w:rPr>
        <w:t>Чисти технологии, кръгова и нисковъглеродна икономика</w:t>
      </w:r>
      <w:r w:rsidR="001E6B12" w:rsidRPr="00233A0B">
        <w:rPr>
          <w:rFonts w:cs="Times New Roman"/>
          <w:i/>
          <w:iCs/>
          <w:szCs w:val="24"/>
          <w:lang w:val="bg-BG" w:bidi="en-US"/>
        </w:rPr>
        <w:t>.</w:t>
      </w:r>
    </w:p>
    <w:p w14:paraId="5771F1EA" w14:textId="77777777" w:rsidR="00AE19E9" w:rsidRPr="00233A0B"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Тези тематични области обхващат както високотехнологични производства и услуги, така и нетехнологични иновации, които да подпомогнат цифровата трансформация и зеления преход на икономиката.</w:t>
      </w:r>
    </w:p>
    <w:p w14:paraId="495A8974" w14:textId="77777777" w:rsidR="00AF54C4" w:rsidRPr="00AF54C4" w:rsidRDefault="00AE19E9" w:rsidP="005C5D13">
      <w:pPr>
        <w:pStyle w:val="Heading2"/>
        <w:spacing w:line="360" w:lineRule="auto"/>
        <w:rPr>
          <w:rFonts w:ascii="Times New Roman" w:hAnsi="Times New Roman" w:cs="Times New Roman"/>
          <w:b/>
          <w:bCs/>
          <w:lang w:val="bg-BG" w:bidi="en-US"/>
        </w:rPr>
      </w:pPr>
      <w:bookmarkStart w:id="8" w:name="_Toc216427804"/>
      <w:r w:rsidRPr="00AF54C4">
        <w:rPr>
          <w:rFonts w:ascii="Times New Roman" w:hAnsi="Times New Roman" w:cs="Times New Roman"/>
          <w:b/>
          <w:bCs/>
          <w:lang w:val="bg-BG" w:bidi="en-US"/>
        </w:rPr>
        <w:lastRenderedPageBreak/>
        <w:t>Стратегическа и нормативна рамка.</w:t>
      </w:r>
      <w:bookmarkEnd w:id="8"/>
      <w:r w:rsidRPr="00AF54C4">
        <w:rPr>
          <w:rFonts w:ascii="Times New Roman" w:hAnsi="Times New Roman" w:cs="Times New Roman"/>
          <w:b/>
          <w:bCs/>
          <w:lang w:val="bg-BG" w:bidi="en-US"/>
        </w:rPr>
        <w:t xml:space="preserve"> </w:t>
      </w:r>
    </w:p>
    <w:p w14:paraId="3158131D" w14:textId="77777777" w:rsidR="0024710E" w:rsidRPr="0024710E" w:rsidRDefault="0024710E" w:rsidP="005C5D13">
      <w:pPr>
        <w:spacing w:after="127" w:line="360" w:lineRule="auto"/>
        <w:ind w:right="2" w:firstLine="360"/>
        <w:jc w:val="both"/>
        <w:rPr>
          <w:rFonts w:cs="Times New Roman"/>
          <w:szCs w:val="24"/>
          <w:lang w:val="bg-BG" w:bidi="en-US"/>
        </w:rPr>
      </w:pPr>
      <w:r w:rsidRPr="0024710E">
        <w:rPr>
          <w:rFonts w:cs="Times New Roman"/>
          <w:szCs w:val="24"/>
          <w:lang w:val="bg-BG" w:bidi="en-US"/>
        </w:rPr>
        <w:t>ИСИС е ключов елемент от европейската рамка за регионално и иновационно развитие. На равнище Европейски съюз стратегията се вписва пряко в политиката за сближаване и по-специално в цел „По-интелигентна Европа чрез насърчаване на иновациите, цифровизацията, икономическата трансформация и предприемачеството“ (</w:t>
      </w:r>
      <w:proofErr w:type="spellStart"/>
      <w:r w:rsidRPr="0024710E">
        <w:rPr>
          <w:rFonts w:cs="Times New Roman"/>
          <w:szCs w:val="24"/>
          <w:lang w:val="bg-BG" w:bidi="en-US"/>
        </w:rPr>
        <w:t>Policy</w:t>
      </w:r>
      <w:proofErr w:type="spellEnd"/>
      <w:r w:rsidRPr="0024710E">
        <w:rPr>
          <w:rFonts w:cs="Times New Roman"/>
          <w:szCs w:val="24"/>
          <w:lang w:val="bg-BG" w:bidi="en-US"/>
        </w:rPr>
        <w:t xml:space="preserve"> </w:t>
      </w:r>
      <w:proofErr w:type="spellStart"/>
      <w:r w:rsidRPr="0024710E">
        <w:rPr>
          <w:rFonts w:cs="Times New Roman"/>
          <w:szCs w:val="24"/>
          <w:lang w:val="bg-BG" w:bidi="en-US"/>
        </w:rPr>
        <w:t>Objective</w:t>
      </w:r>
      <w:proofErr w:type="spellEnd"/>
      <w:r w:rsidRPr="0024710E">
        <w:rPr>
          <w:rFonts w:cs="Times New Roman"/>
          <w:szCs w:val="24"/>
          <w:lang w:val="bg-BG" w:bidi="en-US"/>
        </w:rPr>
        <w:t xml:space="preserve"> 1). В съответствие с Регламент (ЕС) 2021/1060 ИСИС изпълнява </w:t>
      </w:r>
      <w:r w:rsidRPr="0024710E">
        <w:rPr>
          <w:rFonts w:cs="Times New Roman"/>
          <w:i/>
          <w:iCs/>
          <w:szCs w:val="24"/>
          <w:lang w:val="bg-BG" w:bidi="en-US"/>
        </w:rPr>
        <w:t>функцията на тематично отключващо условие</w:t>
      </w:r>
      <w:r w:rsidRPr="0024710E">
        <w:rPr>
          <w:rFonts w:cs="Times New Roman"/>
          <w:szCs w:val="24"/>
          <w:lang w:val="bg-BG" w:bidi="en-US"/>
        </w:rPr>
        <w:t xml:space="preserve"> за достъп до европейско финансиране. Това означава, че действаща, обоснована и оперативна стратегия за интелигентна специализация е необходима предпоставка за отпускане на средства по програмите, финансирани от Европейските структурни и инвестиционни фондове, включително </w:t>
      </w:r>
      <w:r>
        <w:rPr>
          <w:rFonts w:cs="Times New Roman"/>
          <w:szCs w:val="24"/>
          <w:lang w:val="bg-BG" w:bidi="en-US"/>
        </w:rPr>
        <w:t>Програма „Научни изследвания, иновации и дигитализация за интелигентна трансформация“ 2021-2027 (</w:t>
      </w:r>
      <w:r w:rsidRPr="0024710E">
        <w:rPr>
          <w:rFonts w:cs="Times New Roman"/>
          <w:szCs w:val="24"/>
          <w:lang w:val="bg-BG" w:bidi="en-US"/>
        </w:rPr>
        <w:t>ПНИИДИТ</w:t>
      </w:r>
      <w:r>
        <w:rPr>
          <w:rFonts w:cs="Times New Roman"/>
          <w:szCs w:val="24"/>
          <w:lang w:val="bg-BG" w:bidi="en-US"/>
        </w:rPr>
        <w:t>)</w:t>
      </w:r>
      <w:r w:rsidRPr="0024710E">
        <w:rPr>
          <w:rFonts w:cs="Times New Roman"/>
          <w:szCs w:val="24"/>
          <w:lang w:val="bg-BG" w:bidi="en-US"/>
        </w:rPr>
        <w:t xml:space="preserve"> и програми по политиката на сближаване за периода 2021–2027 г.</w:t>
      </w:r>
    </w:p>
    <w:p w14:paraId="1AE20F90" w14:textId="77777777" w:rsidR="0024710E" w:rsidRPr="0024710E" w:rsidRDefault="0024710E" w:rsidP="005C5D13">
      <w:pPr>
        <w:spacing w:after="127" w:line="360" w:lineRule="auto"/>
        <w:ind w:right="2" w:firstLine="360"/>
        <w:jc w:val="both"/>
        <w:rPr>
          <w:rFonts w:cs="Times New Roman"/>
          <w:szCs w:val="24"/>
          <w:lang w:val="bg-BG" w:bidi="en-US"/>
        </w:rPr>
      </w:pPr>
      <w:r w:rsidRPr="0024710E">
        <w:rPr>
          <w:rFonts w:cs="Times New Roman"/>
          <w:szCs w:val="24"/>
          <w:lang w:val="bg-BG" w:bidi="en-US"/>
        </w:rPr>
        <w:t>В по-широк план ИСИС е съпоставима и с приоритетите на редица хоризонтални политики на ЕС. Тя подкрепя реализирането на Европейския зелен пакт, чрез който се цели ускоряване на технологичния преход към нисковъглеродна икономика, както и изпълнението на цифровото десетилетие 2030, насочено към развитие на цифрови инфраструктури, умения и иновации. Чрез акцентите върху технологии като изкуствен интелект, микроелектроника, кръгова икономика и биотехнологии стратегията отразява и приоритетите на новата европейска индустриална стратегия и инструментите ѝ за намаляване на стратегическите зависимости на ЕС.</w:t>
      </w:r>
    </w:p>
    <w:p w14:paraId="6D7BBA7C" w14:textId="77777777" w:rsidR="0024710E" w:rsidRPr="0024710E" w:rsidRDefault="0024710E" w:rsidP="005C5D13">
      <w:pPr>
        <w:spacing w:after="127" w:line="360" w:lineRule="auto"/>
        <w:ind w:right="2" w:firstLine="360"/>
        <w:jc w:val="both"/>
        <w:rPr>
          <w:rFonts w:cs="Times New Roman"/>
          <w:szCs w:val="24"/>
          <w:lang w:val="bg-BG" w:bidi="en-US"/>
        </w:rPr>
      </w:pPr>
      <w:r w:rsidRPr="0024710E">
        <w:rPr>
          <w:rFonts w:cs="Times New Roman"/>
          <w:szCs w:val="24"/>
          <w:lang w:val="bg-BG" w:bidi="en-US"/>
        </w:rPr>
        <w:t xml:space="preserve">Наред с това ИСИС е тясно свързана с рамката за интелигентна специализация на ниво ЕС (S3 Framework), която поставя изисквания за </w:t>
      </w:r>
      <w:r w:rsidRPr="004A06D5">
        <w:rPr>
          <w:rFonts w:cs="Times New Roman"/>
          <w:b/>
          <w:bCs/>
          <w:szCs w:val="24"/>
          <w:lang w:val="bg-BG" w:bidi="en-US"/>
        </w:rPr>
        <w:t>предприемаческо откритие</w:t>
      </w:r>
      <w:r w:rsidRPr="0024710E">
        <w:rPr>
          <w:rFonts w:cs="Times New Roman"/>
          <w:szCs w:val="24"/>
          <w:lang w:val="bg-BG" w:bidi="en-US"/>
        </w:rPr>
        <w:t>, участие на заинтересованите страни, териториален подход, иновационни екосистеми и интегриране на научните изследвания с индустриалните нужди. Българската стратегия следва тези принципи и е обект на текущ мониторинг от Европейската комисия относно качеството на процесите, капацитета за изпълнение и постигането на заложените индикатори.</w:t>
      </w:r>
    </w:p>
    <w:p w14:paraId="3EAE2993" w14:textId="77777777" w:rsidR="0024710E" w:rsidRPr="0024710E" w:rsidRDefault="0024710E" w:rsidP="005C5D13">
      <w:pPr>
        <w:spacing w:after="127" w:line="360" w:lineRule="auto"/>
        <w:ind w:right="2" w:firstLine="360"/>
        <w:jc w:val="both"/>
        <w:rPr>
          <w:rFonts w:cs="Times New Roman"/>
          <w:szCs w:val="24"/>
          <w:lang w:val="bg-BG" w:bidi="en-US"/>
        </w:rPr>
      </w:pPr>
      <w:r w:rsidRPr="0024710E">
        <w:rPr>
          <w:rFonts w:cs="Times New Roman"/>
          <w:szCs w:val="24"/>
          <w:lang w:val="bg-BG" w:bidi="en-US"/>
        </w:rPr>
        <w:t xml:space="preserve">От гледна точка на регулациите, </w:t>
      </w:r>
      <w:r w:rsidR="00180CB6" w:rsidRPr="00180CB6">
        <w:rPr>
          <w:rFonts w:cs="Times New Roman"/>
          <w:szCs w:val="24"/>
          <w:lang w:val="bg-BG" w:bidi="en-US"/>
        </w:rPr>
        <w:t xml:space="preserve">ИСИС следва да е в синхрон с ключови инициативи като Акта за изкуствения интелект (AI </w:t>
      </w:r>
      <w:proofErr w:type="spellStart"/>
      <w:r w:rsidR="00180CB6" w:rsidRPr="00180CB6">
        <w:rPr>
          <w:rFonts w:cs="Times New Roman"/>
          <w:szCs w:val="24"/>
          <w:lang w:val="bg-BG" w:bidi="en-US"/>
        </w:rPr>
        <w:t>Act</w:t>
      </w:r>
      <w:proofErr w:type="spellEnd"/>
      <w:r w:rsidR="00180CB6" w:rsidRPr="00180CB6">
        <w:rPr>
          <w:rFonts w:cs="Times New Roman"/>
          <w:szCs w:val="24"/>
          <w:lang w:val="bg-BG" w:bidi="en-US"/>
        </w:rPr>
        <w:t xml:space="preserve">), Акта за управление на данните (Data </w:t>
      </w:r>
      <w:proofErr w:type="spellStart"/>
      <w:r w:rsidR="00180CB6" w:rsidRPr="00180CB6">
        <w:rPr>
          <w:rFonts w:cs="Times New Roman"/>
          <w:szCs w:val="24"/>
          <w:lang w:val="bg-BG" w:bidi="en-US"/>
        </w:rPr>
        <w:t>Governance</w:t>
      </w:r>
      <w:proofErr w:type="spellEnd"/>
      <w:r w:rsidR="00180CB6" w:rsidRPr="00180CB6">
        <w:rPr>
          <w:rFonts w:cs="Times New Roman"/>
          <w:szCs w:val="24"/>
          <w:lang w:val="bg-BG" w:bidi="en-US"/>
        </w:rPr>
        <w:t xml:space="preserve"> </w:t>
      </w:r>
      <w:proofErr w:type="spellStart"/>
      <w:r w:rsidR="00180CB6" w:rsidRPr="00180CB6">
        <w:rPr>
          <w:rFonts w:cs="Times New Roman"/>
          <w:szCs w:val="24"/>
          <w:lang w:val="bg-BG" w:bidi="en-US"/>
        </w:rPr>
        <w:t>Act</w:t>
      </w:r>
      <w:proofErr w:type="spellEnd"/>
      <w:r w:rsidR="00180CB6" w:rsidRPr="00180CB6">
        <w:rPr>
          <w:rFonts w:cs="Times New Roman"/>
          <w:szCs w:val="24"/>
          <w:lang w:val="bg-BG" w:bidi="en-US"/>
        </w:rPr>
        <w:t xml:space="preserve">), Акта за данните (Data </w:t>
      </w:r>
      <w:proofErr w:type="spellStart"/>
      <w:r w:rsidR="00180CB6" w:rsidRPr="00180CB6">
        <w:rPr>
          <w:rFonts w:cs="Times New Roman"/>
          <w:szCs w:val="24"/>
          <w:lang w:val="bg-BG" w:bidi="en-US"/>
        </w:rPr>
        <w:t>Act</w:t>
      </w:r>
      <w:proofErr w:type="spellEnd"/>
      <w:r w:rsidR="00180CB6" w:rsidRPr="00180CB6">
        <w:rPr>
          <w:rFonts w:cs="Times New Roman"/>
          <w:szCs w:val="24"/>
          <w:lang w:val="bg-BG" w:bidi="en-US"/>
        </w:rPr>
        <w:t>)</w:t>
      </w:r>
      <w:r w:rsidRPr="0024710E">
        <w:rPr>
          <w:rFonts w:cs="Times New Roman"/>
          <w:szCs w:val="24"/>
          <w:lang w:val="bg-BG" w:bidi="en-US"/>
        </w:rPr>
        <w:t xml:space="preserve">, Регламента за критичните суровини (CRMA) и европейските инициативи в областта на сигурността на веригите за доставки. С нарастващия фокус на ЕС върху стратегическата автономност и икономическата </w:t>
      </w:r>
      <w:r w:rsidRPr="0024710E">
        <w:rPr>
          <w:rFonts w:cs="Times New Roman"/>
          <w:szCs w:val="24"/>
          <w:lang w:val="bg-BG" w:bidi="en-US"/>
        </w:rPr>
        <w:lastRenderedPageBreak/>
        <w:t xml:space="preserve">сигурност, ИСИС има задачата да адаптира националните приоритети и да позиционира страната така, че да участва ефективно в европейските технологични проекти — включително в области като полупроводници (IPCEI), суперкомпютри и </w:t>
      </w:r>
      <w:proofErr w:type="spellStart"/>
      <w:r w:rsidRPr="0024710E">
        <w:rPr>
          <w:rFonts w:cs="Times New Roman"/>
          <w:szCs w:val="24"/>
          <w:lang w:val="bg-BG" w:bidi="en-US"/>
        </w:rPr>
        <w:t>EuroHPC</w:t>
      </w:r>
      <w:proofErr w:type="spellEnd"/>
      <w:r w:rsidRPr="0024710E">
        <w:rPr>
          <w:rFonts w:cs="Times New Roman"/>
          <w:szCs w:val="24"/>
          <w:lang w:val="bg-BG" w:bidi="en-US"/>
        </w:rPr>
        <w:t>, зелени технологии и цифрови иновационни хъбове.</w:t>
      </w:r>
    </w:p>
    <w:p w14:paraId="3A7DB010" w14:textId="77777777" w:rsidR="0024710E" w:rsidRPr="00233A0B" w:rsidRDefault="0024710E" w:rsidP="005C5D13">
      <w:pPr>
        <w:spacing w:after="127" w:line="360" w:lineRule="auto"/>
        <w:ind w:right="2" w:firstLine="360"/>
        <w:jc w:val="both"/>
        <w:rPr>
          <w:rFonts w:cs="Times New Roman"/>
          <w:szCs w:val="24"/>
          <w:lang w:val="bg-BG" w:bidi="en-US"/>
        </w:rPr>
      </w:pPr>
      <w:r w:rsidRPr="0024710E">
        <w:rPr>
          <w:rFonts w:cs="Times New Roman"/>
          <w:szCs w:val="24"/>
          <w:lang w:val="bg-BG" w:bidi="en-US"/>
        </w:rPr>
        <w:t>Чрез тази рамка стратегията се превръща не само в инструмент за национална политика, но и в основен механизъм за синхронизиране на българската иновационна система с европейските стандарти, цели и механизми за финансиране. Нейната роля като отключващо условие и част от европейската архитектура на иновационните политики е определяща за устойчивото развитие на страната до 2027 г. и след това.</w:t>
      </w:r>
    </w:p>
    <w:p w14:paraId="02D8307B" w14:textId="77777777" w:rsidR="00AF54C4" w:rsidRPr="00AF54C4" w:rsidRDefault="00AF54C4" w:rsidP="005C5D13">
      <w:pPr>
        <w:pStyle w:val="Heading2"/>
        <w:spacing w:line="360" w:lineRule="auto"/>
        <w:rPr>
          <w:rFonts w:ascii="Times New Roman" w:hAnsi="Times New Roman" w:cs="Times New Roman"/>
          <w:b/>
          <w:bCs/>
          <w:lang w:val="bg-BG" w:bidi="en-US"/>
        </w:rPr>
      </w:pPr>
      <w:bookmarkStart w:id="9" w:name="_Toc216427805"/>
      <w:r w:rsidRPr="00AF54C4">
        <w:rPr>
          <w:rFonts w:ascii="Times New Roman" w:hAnsi="Times New Roman" w:cs="Times New Roman"/>
          <w:b/>
          <w:bCs/>
          <w:lang w:val="bg-BG" w:bidi="en-US"/>
        </w:rPr>
        <w:t>Институционален механизъм за управление.</w:t>
      </w:r>
      <w:bookmarkEnd w:id="9"/>
    </w:p>
    <w:p w14:paraId="3AC889EB" w14:textId="77777777" w:rsidR="00AE19E9" w:rsidRPr="00233A0B"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Институционалният механизъм за управление на ИСИС включва също Междуведомствена работна група (МРГ) за координация на изпълнението и проследяване на напредъка, създадена със заповед РД-14-175/29.05.2023 г. на министъра на иновациите и растежа. МРГ функционира под председателството на МИР с участие на компетентни органи от публичния сектор и има задачи по разработване на План за изпълнение на ИСИС, създаване на партньорска мрежа за събиране на данни, организиране на тематични събития и др. По този начин се цели съгласуваност и </w:t>
      </w:r>
      <w:proofErr w:type="spellStart"/>
      <w:r w:rsidRPr="00233A0B">
        <w:rPr>
          <w:rFonts w:cs="Times New Roman"/>
          <w:szCs w:val="24"/>
          <w:lang w:val="bg-BG" w:bidi="en-US"/>
        </w:rPr>
        <w:t>допълняемост</w:t>
      </w:r>
      <w:proofErr w:type="spellEnd"/>
      <w:r w:rsidRPr="00233A0B">
        <w:rPr>
          <w:rFonts w:cs="Times New Roman"/>
          <w:szCs w:val="24"/>
          <w:lang w:val="bg-BG" w:bidi="en-US"/>
        </w:rPr>
        <w:t xml:space="preserve"> на действията на всички участници, като се адресират предизвикателства като недостатъчните инвестиции в </w:t>
      </w:r>
      <w:r w:rsidR="003E4246" w:rsidRPr="00233A0B">
        <w:rPr>
          <w:rFonts w:cs="Times New Roman"/>
          <w:szCs w:val="24"/>
          <w:lang w:val="bg-BG" w:bidi="en-US"/>
        </w:rPr>
        <w:t>научноизследователска и развойна дейност (</w:t>
      </w:r>
      <w:r w:rsidRPr="00233A0B">
        <w:rPr>
          <w:rFonts w:cs="Times New Roman"/>
          <w:szCs w:val="24"/>
          <w:lang w:val="bg-BG" w:bidi="en-US"/>
        </w:rPr>
        <w:t>НИРД</w:t>
      </w:r>
      <w:r w:rsidR="003E4246" w:rsidRPr="00233A0B">
        <w:rPr>
          <w:rFonts w:cs="Times New Roman"/>
          <w:szCs w:val="24"/>
          <w:lang w:val="bg-BG" w:bidi="en-US"/>
        </w:rPr>
        <w:t>)</w:t>
      </w:r>
      <w:r w:rsidRPr="00233A0B">
        <w:rPr>
          <w:rFonts w:cs="Times New Roman"/>
          <w:szCs w:val="24"/>
          <w:lang w:val="bg-BG" w:bidi="en-US"/>
        </w:rPr>
        <w:t>, бавната дигитализация, фрагментираното сътрудничество между наука и бизнес и др.</w:t>
      </w:r>
    </w:p>
    <w:p w14:paraId="3A5FCECC" w14:textId="77777777" w:rsidR="00AF54C4" w:rsidRPr="00AF54C4" w:rsidRDefault="00AF54C4" w:rsidP="005C5D13">
      <w:pPr>
        <w:pStyle w:val="Heading2"/>
        <w:spacing w:line="360" w:lineRule="auto"/>
        <w:rPr>
          <w:rFonts w:ascii="Times New Roman" w:hAnsi="Times New Roman" w:cs="Times New Roman"/>
          <w:b/>
          <w:bCs/>
          <w:lang w:val="bg-BG" w:bidi="en-US"/>
        </w:rPr>
      </w:pPr>
      <w:bookmarkStart w:id="10" w:name="_Toc216427806"/>
      <w:r w:rsidRPr="00AF54C4">
        <w:rPr>
          <w:rFonts w:ascii="Times New Roman" w:hAnsi="Times New Roman" w:cs="Times New Roman"/>
          <w:b/>
          <w:bCs/>
          <w:lang w:val="bg-BG" w:bidi="en-US"/>
        </w:rPr>
        <w:t>Методологическа рамка</w:t>
      </w:r>
      <w:r w:rsidR="00920867">
        <w:rPr>
          <w:rFonts w:ascii="Times New Roman" w:hAnsi="Times New Roman" w:cs="Times New Roman"/>
          <w:b/>
          <w:bCs/>
          <w:lang w:val="bg-BG" w:bidi="en-US"/>
        </w:rPr>
        <w:t>,</w:t>
      </w:r>
      <w:r w:rsidRPr="00AF54C4">
        <w:rPr>
          <w:rFonts w:ascii="Times New Roman" w:hAnsi="Times New Roman" w:cs="Times New Roman"/>
          <w:b/>
          <w:bCs/>
          <w:lang w:val="bg-BG" w:bidi="en-US"/>
        </w:rPr>
        <w:t xml:space="preserve"> използвани инструменти</w:t>
      </w:r>
      <w:r w:rsidR="00920867">
        <w:rPr>
          <w:rFonts w:ascii="Times New Roman" w:hAnsi="Times New Roman" w:cs="Times New Roman"/>
          <w:b/>
          <w:bCs/>
          <w:lang w:val="bg-BG" w:bidi="en-US"/>
        </w:rPr>
        <w:t xml:space="preserve"> и данни</w:t>
      </w:r>
      <w:r w:rsidRPr="00AF54C4">
        <w:rPr>
          <w:rFonts w:ascii="Times New Roman" w:hAnsi="Times New Roman" w:cs="Times New Roman"/>
          <w:b/>
          <w:bCs/>
          <w:lang w:val="bg-BG" w:bidi="en-US"/>
        </w:rPr>
        <w:t>.</w:t>
      </w:r>
      <w:bookmarkEnd w:id="10"/>
    </w:p>
    <w:p w14:paraId="088D2B19" w14:textId="77777777" w:rsidR="00C51E3C" w:rsidRPr="00233A0B"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Процесът на оценяване включва събиране на информация чрез специално разработен </w:t>
      </w:r>
      <w:r w:rsidRPr="00233A0B">
        <w:rPr>
          <w:rFonts w:cs="Times New Roman"/>
          <w:b/>
          <w:bCs/>
          <w:szCs w:val="24"/>
          <w:lang w:val="bg-BG" w:bidi="en-US"/>
        </w:rPr>
        <w:t>въпросник</w:t>
      </w:r>
      <w:r w:rsidRPr="00233A0B">
        <w:rPr>
          <w:rFonts w:cs="Times New Roman"/>
          <w:szCs w:val="24"/>
          <w:lang w:val="bg-BG" w:bidi="en-US"/>
        </w:rPr>
        <w:t xml:space="preserve"> и провеждане на консултации със заинтересованите страни. На 26 септември 2025 г. се проведе пленарна дискусия по междинната оценка в </w:t>
      </w:r>
      <w:r w:rsidR="00F14FDD" w:rsidRPr="00233A0B">
        <w:rPr>
          <w:rFonts w:cs="Times New Roman"/>
          <w:szCs w:val="24"/>
          <w:lang w:val="bg-BG" w:bidi="en-US"/>
        </w:rPr>
        <w:t>Икономическия и социален съвет (</w:t>
      </w:r>
      <w:r w:rsidRPr="00233A0B">
        <w:rPr>
          <w:rFonts w:cs="Times New Roman"/>
          <w:szCs w:val="24"/>
          <w:lang w:val="bg-BG" w:bidi="en-US"/>
        </w:rPr>
        <w:t>ИСС</w:t>
      </w:r>
      <w:r w:rsidR="00F14FDD" w:rsidRPr="00233A0B">
        <w:rPr>
          <w:rFonts w:cs="Times New Roman"/>
          <w:szCs w:val="24"/>
          <w:lang w:val="bg-BG" w:bidi="en-US"/>
        </w:rPr>
        <w:t>)</w:t>
      </w:r>
      <w:r w:rsidRPr="00233A0B">
        <w:rPr>
          <w:rFonts w:cs="Times New Roman"/>
          <w:szCs w:val="24"/>
          <w:lang w:val="bg-BG" w:bidi="en-US"/>
        </w:rPr>
        <w:t xml:space="preserve">, където бяха обсъдени предварителните резултати от въпросника и бяха откроени ключови </w:t>
      </w:r>
      <w:r w:rsidR="00F14FDD" w:rsidRPr="00233A0B">
        <w:rPr>
          <w:rFonts w:cs="Times New Roman"/>
          <w:szCs w:val="24"/>
          <w:lang w:val="bg-BG" w:bidi="en-US"/>
        </w:rPr>
        <w:t xml:space="preserve">предизвикателства </w:t>
      </w:r>
      <w:r w:rsidRPr="00233A0B">
        <w:rPr>
          <w:rFonts w:cs="Times New Roman"/>
          <w:szCs w:val="24"/>
          <w:lang w:val="bg-BG" w:bidi="en-US"/>
        </w:rPr>
        <w:t xml:space="preserve">– в т.ч. </w:t>
      </w:r>
      <w:r w:rsidRPr="00233A0B">
        <w:rPr>
          <w:rFonts w:cs="Times New Roman"/>
          <w:i/>
          <w:iCs/>
          <w:szCs w:val="24"/>
          <w:lang w:val="bg-BG" w:bidi="en-US"/>
        </w:rPr>
        <w:t>продължаващият дисбаланс между столицата и останалите региони, както и необходимостта от по-ясно таргетиране на тематичните приоритети</w:t>
      </w:r>
      <w:r w:rsidRPr="00233A0B">
        <w:rPr>
          <w:rFonts w:cs="Times New Roman"/>
          <w:szCs w:val="24"/>
          <w:lang w:val="bg-BG" w:bidi="en-US"/>
        </w:rPr>
        <w:t xml:space="preserve">. </w:t>
      </w:r>
    </w:p>
    <w:p w14:paraId="2ABB2065" w14:textId="77777777" w:rsidR="00920867" w:rsidRDefault="00F14FDD"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Пленарната сесия бе предхождана от заседание на Комисията по икономическа политика към ИСС, на което бяха обсъдени основните акценти от</w:t>
      </w:r>
      <w:r w:rsidR="00AF0099" w:rsidRPr="00233A0B">
        <w:rPr>
          <w:rFonts w:cs="Times New Roman"/>
          <w:szCs w:val="24"/>
          <w:lang w:val="bg-BG" w:bidi="en-US"/>
        </w:rPr>
        <w:t xml:space="preserve"> </w:t>
      </w:r>
      <w:r w:rsidRPr="00233A0B">
        <w:rPr>
          <w:rFonts w:cs="Times New Roman"/>
          <w:szCs w:val="24"/>
          <w:lang w:val="bg-BG" w:bidi="en-US"/>
        </w:rPr>
        <w:t xml:space="preserve">междинния анализ и бяха събрани </w:t>
      </w:r>
      <w:r w:rsidR="00AF0099" w:rsidRPr="00233A0B">
        <w:rPr>
          <w:rFonts w:cs="Times New Roman"/>
          <w:szCs w:val="24"/>
          <w:lang w:val="bg-BG" w:bidi="en-US"/>
        </w:rPr>
        <w:t>бележки</w:t>
      </w:r>
      <w:r w:rsidRPr="00233A0B">
        <w:rPr>
          <w:rFonts w:cs="Times New Roman"/>
          <w:szCs w:val="24"/>
          <w:lang w:val="bg-BG" w:bidi="en-US"/>
        </w:rPr>
        <w:t xml:space="preserve"> и предложения от представители на социалните партньори и гражданското общество. В допълнение, в процеса на подготовка на междинната оценка е проведена широка обществена консултация – чрез публикуване на материали, </w:t>
      </w:r>
      <w:r w:rsidRPr="00233A0B">
        <w:rPr>
          <w:rFonts w:cs="Times New Roman"/>
          <w:szCs w:val="24"/>
          <w:lang w:val="bg-BG" w:bidi="en-US"/>
        </w:rPr>
        <w:lastRenderedPageBreak/>
        <w:t xml:space="preserve">включително въпросника, на сайта на МИР и изпращане на покани за участие в дискусията до широк кръг заинтересовани страни, включително бизнес организации, научни институции, регионални структури, индустриални клъстери и неправителствени организации. </w:t>
      </w:r>
      <w:r w:rsidR="00B678CC" w:rsidRPr="00233A0B">
        <w:rPr>
          <w:rFonts w:cs="Times New Roman"/>
          <w:szCs w:val="24"/>
          <w:lang w:val="bg-BG" w:bidi="en-US"/>
        </w:rPr>
        <w:t xml:space="preserve">Паралелно с това </w:t>
      </w:r>
      <w:r w:rsidR="006D49AE" w:rsidRPr="00233A0B">
        <w:rPr>
          <w:rFonts w:cs="Times New Roman"/>
          <w:szCs w:val="24"/>
          <w:lang w:val="bg-BG" w:bidi="en-US"/>
        </w:rPr>
        <w:t>е</w:t>
      </w:r>
      <w:r w:rsidR="00B678CC" w:rsidRPr="00233A0B">
        <w:rPr>
          <w:rFonts w:cs="Times New Roman"/>
          <w:szCs w:val="24"/>
          <w:lang w:val="bg-BG" w:bidi="en-US"/>
        </w:rPr>
        <w:t xml:space="preserve"> осъществена междуинституционалн</w:t>
      </w:r>
      <w:r w:rsidR="006D49AE" w:rsidRPr="00233A0B">
        <w:rPr>
          <w:rFonts w:cs="Times New Roman"/>
          <w:szCs w:val="24"/>
          <w:lang w:val="bg-BG" w:bidi="en-US"/>
        </w:rPr>
        <w:t>а</w:t>
      </w:r>
      <w:r w:rsidR="00B678CC" w:rsidRPr="00233A0B">
        <w:rPr>
          <w:rFonts w:cs="Times New Roman"/>
          <w:szCs w:val="24"/>
          <w:lang w:val="bg-BG" w:bidi="en-US"/>
        </w:rPr>
        <w:t xml:space="preserve"> консултация и съвместна работа с всички компетентни институции </w:t>
      </w:r>
      <w:r w:rsidR="001E745D">
        <w:rPr>
          <w:rFonts w:cs="Times New Roman"/>
          <w:szCs w:val="24"/>
          <w:lang w:val="bg-BG" w:bidi="en-US"/>
        </w:rPr>
        <w:t>(</w:t>
      </w:r>
      <w:r w:rsidR="00B678CC" w:rsidRPr="00233A0B">
        <w:rPr>
          <w:rFonts w:cs="Times New Roman"/>
          <w:szCs w:val="24"/>
          <w:lang w:val="bg-BG" w:bidi="en-US"/>
        </w:rPr>
        <w:t>министерства, изпълнителни агенции и други публични органи</w:t>
      </w:r>
      <w:r w:rsidR="001E745D">
        <w:rPr>
          <w:rFonts w:cs="Times New Roman"/>
          <w:szCs w:val="24"/>
          <w:lang w:val="bg-BG" w:bidi="en-US"/>
        </w:rPr>
        <w:t>)</w:t>
      </w:r>
      <w:r w:rsidR="00B678CC" w:rsidRPr="00233A0B">
        <w:rPr>
          <w:rFonts w:cs="Times New Roman"/>
          <w:szCs w:val="24"/>
          <w:lang w:val="bg-BG" w:bidi="en-US"/>
        </w:rPr>
        <w:t xml:space="preserve"> във връзка с отчитането на напредъка по </w:t>
      </w:r>
      <w:r w:rsidR="00B678CC" w:rsidRPr="00233A0B">
        <w:rPr>
          <w:rFonts w:cs="Times New Roman"/>
          <w:i/>
          <w:iCs/>
          <w:szCs w:val="24"/>
          <w:lang w:val="bg-BG" w:bidi="en-US"/>
        </w:rPr>
        <w:t>Плана за действие на ИСИС за периода 2023</w:t>
      </w:r>
      <w:r w:rsidR="00936ADF">
        <w:rPr>
          <w:rFonts w:cs="Times New Roman"/>
          <w:i/>
          <w:iCs/>
          <w:szCs w:val="24"/>
          <w:lang w:val="bg-BG" w:bidi="en-US"/>
        </w:rPr>
        <w:t>-</w:t>
      </w:r>
      <w:r w:rsidR="00B678CC" w:rsidRPr="00233A0B">
        <w:rPr>
          <w:rFonts w:cs="Times New Roman"/>
          <w:i/>
          <w:iCs/>
          <w:szCs w:val="24"/>
          <w:lang w:val="bg-BG" w:bidi="en-US"/>
        </w:rPr>
        <w:t>2024 г.</w:t>
      </w:r>
      <w:r w:rsidR="00B678CC" w:rsidRPr="00233A0B">
        <w:rPr>
          <w:rFonts w:cs="Times New Roman"/>
          <w:szCs w:val="24"/>
          <w:lang w:val="bg-BG" w:bidi="en-US"/>
        </w:rPr>
        <w:t xml:space="preserve"> Тази координация беше ключова за изготвянето на годишния доклад по изпълнението на ИСИС и гарантира, че междинната оценка стъпва на реални данни и актуална информация.</w:t>
      </w:r>
      <w:r w:rsidRPr="00233A0B">
        <w:rPr>
          <w:rFonts w:cs="Times New Roman"/>
          <w:szCs w:val="24"/>
          <w:lang w:val="bg-BG" w:bidi="en-US"/>
        </w:rPr>
        <w:t xml:space="preserve"> </w:t>
      </w:r>
      <w:r w:rsidR="00B678CC" w:rsidRPr="00233A0B">
        <w:rPr>
          <w:rFonts w:cs="Times New Roman"/>
          <w:szCs w:val="24"/>
          <w:lang w:val="bg-BG" w:bidi="en-US"/>
        </w:rPr>
        <w:t xml:space="preserve">Всички използвани канали на диалог и получена обратна връзка имат за цел осигуряването на максимално широка ангажираност и прозрачност на процеса, така че изводите от междинната оценка да отразяват интересите и резултатите на възможно най-широк кръг заинтересовани страни. </w:t>
      </w:r>
      <w:r w:rsidR="00AE19E9" w:rsidRPr="00233A0B">
        <w:rPr>
          <w:rFonts w:cs="Times New Roman"/>
          <w:szCs w:val="24"/>
          <w:lang w:val="bg-BG" w:bidi="en-US"/>
        </w:rPr>
        <w:t>Изводите от междинната оценка ще залегнат в настоящия преглед и ще послужат за евентуална актуализация на ИСИС, така че стратегията да остане релевантна и ефективна през оставащия период до 2027 г.</w:t>
      </w:r>
    </w:p>
    <w:p w14:paraId="67D69303" w14:textId="77777777" w:rsidR="00893D55" w:rsidRDefault="00893D55">
      <w:pPr>
        <w:rPr>
          <w:rFonts w:cs="Times New Roman"/>
          <w:szCs w:val="24"/>
          <w:lang w:val="bg-BG" w:bidi="en-US"/>
        </w:rPr>
      </w:pPr>
      <w:r>
        <w:rPr>
          <w:rFonts w:cs="Times New Roman"/>
          <w:szCs w:val="24"/>
          <w:lang w:val="bg-BG" w:bidi="en-US"/>
        </w:rPr>
        <w:br w:type="page"/>
      </w:r>
    </w:p>
    <w:p w14:paraId="2DD2CF81" w14:textId="77777777" w:rsidR="00920867" w:rsidRPr="00920867" w:rsidRDefault="00920867" w:rsidP="005C5D13">
      <w:pPr>
        <w:pStyle w:val="Heading1"/>
        <w:spacing w:line="360" w:lineRule="auto"/>
        <w:rPr>
          <w:rFonts w:ascii="Times New Roman" w:hAnsi="Times New Roman" w:cs="Times New Roman"/>
          <w:b/>
          <w:bCs/>
          <w:lang w:val="bg-BG" w:bidi="en-US"/>
        </w:rPr>
      </w:pPr>
      <w:bookmarkStart w:id="11" w:name="_Toc216427807"/>
      <w:r w:rsidRPr="00920867">
        <w:rPr>
          <w:rFonts w:ascii="Times New Roman" w:hAnsi="Times New Roman" w:cs="Times New Roman"/>
          <w:b/>
          <w:bCs/>
          <w:lang w:val="bg-BG" w:bidi="en-US"/>
        </w:rPr>
        <w:lastRenderedPageBreak/>
        <w:t>Социално-икономически контекст</w:t>
      </w:r>
      <w:bookmarkEnd w:id="11"/>
    </w:p>
    <w:p w14:paraId="0B6F538B" w14:textId="77777777" w:rsidR="00C51E3C"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Към момента България запазва статута си на </w:t>
      </w:r>
      <w:r w:rsidRPr="00233A0B">
        <w:rPr>
          <w:rFonts w:cs="Times New Roman"/>
          <w:b/>
          <w:bCs/>
          <w:szCs w:val="24"/>
          <w:lang w:val="bg-BG" w:bidi="en-US"/>
        </w:rPr>
        <w:t>„възникващ иноватор“</w:t>
      </w:r>
      <w:r w:rsidRPr="00233A0B">
        <w:rPr>
          <w:rFonts w:cs="Times New Roman"/>
          <w:szCs w:val="24"/>
          <w:lang w:val="bg-BG" w:bidi="en-US"/>
        </w:rPr>
        <w:t xml:space="preserve"> в Европейското иновационно табло (</w:t>
      </w:r>
      <w:r w:rsidRPr="00233A0B">
        <w:rPr>
          <w:rFonts w:cs="Times New Roman"/>
          <w:szCs w:val="24"/>
          <w:lang w:bidi="en-US"/>
        </w:rPr>
        <w:t>European Innovation Scoreboard)</w:t>
      </w:r>
      <w:r w:rsidRPr="00233A0B">
        <w:rPr>
          <w:rFonts w:cs="Times New Roman"/>
          <w:szCs w:val="24"/>
          <w:lang w:val="bg-BG" w:bidi="en-US"/>
        </w:rPr>
        <w:t xml:space="preserve"> с общ резултат 45,8 % от средното ниво за ЕС за 2025 г., което я нарежда на 26-о място сред 27-те държави. </w:t>
      </w:r>
    </w:p>
    <w:p w14:paraId="48E4C081" w14:textId="77777777" w:rsidR="00920867" w:rsidRPr="00920867" w:rsidRDefault="006326AB" w:rsidP="005C5D13">
      <w:pPr>
        <w:pStyle w:val="Heading2"/>
        <w:spacing w:line="360" w:lineRule="auto"/>
        <w:rPr>
          <w:rFonts w:ascii="Times New Roman" w:hAnsi="Times New Roman" w:cs="Times New Roman"/>
          <w:b/>
          <w:bCs/>
          <w:lang w:bidi="en-US"/>
        </w:rPr>
      </w:pPr>
      <w:bookmarkStart w:id="12" w:name="_Toc216427808"/>
      <w:r>
        <w:rPr>
          <w:rFonts w:ascii="Times New Roman" w:hAnsi="Times New Roman" w:cs="Times New Roman"/>
          <w:b/>
          <w:bCs/>
          <w:lang w:val="bg-BG" w:bidi="en-US"/>
        </w:rPr>
        <w:t>П</w:t>
      </w:r>
      <w:r w:rsidR="00920867" w:rsidRPr="00920867">
        <w:rPr>
          <w:rFonts w:ascii="Times New Roman" w:hAnsi="Times New Roman" w:cs="Times New Roman"/>
          <w:b/>
          <w:bCs/>
          <w:lang w:val="bg-BG" w:bidi="en-US"/>
        </w:rPr>
        <w:t xml:space="preserve">озициониране на България в европейски </w:t>
      </w:r>
      <w:r>
        <w:rPr>
          <w:rFonts w:ascii="Times New Roman" w:hAnsi="Times New Roman" w:cs="Times New Roman"/>
          <w:b/>
          <w:bCs/>
          <w:lang w:val="bg-BG" w:bidi="en-US"/>
        </w:rPr>
        <w:t>и глобален</w:t>
      </w:r>
      <w:r>
        <w:rPr>
          <w:rFonts w:ascii="Times New Roman" w:hAnsi="Times New Roman" w:cs="Times New Roman"/>
          <w:b/>
          <w:bCs/>
          <w:lang w:bidi="en-US"/>
        </w:rPr>
        <w:t xml:space="preserve"> </w:t>
      </w:r>
      <w:r w:rsidR="00920867" w:rsidRPr="00920867">
        <w:rPr>
          <w:rFonts w:ascii="Times New Roman" w:hAnsi="Times New Roman" w:cs="Times New Roman"/>
          <w:b/>
          <w:bCs/>
          <w:lang w:val="bg-BG" w:bidi="en-US"/>
        </w:rPr>
        <w:t>контекст (</w:t>
      </w:r>
      <w:r w:rsidR="00920867" w:rsidRPr="00920867">
        <w:rPr>
          <w:rFonts w:ascii="Times New Roman" w:hAnsi="Times New Roman" w:cs="Times New Roman"/>
          <w:b/>
          <w:bCs/>
          <w:lang w:bidi="en-US"/>
        </w:rPr>
        <w:t>EIS, GII).</w:t>
      </w:r>
      <w:bookmarkEnd w:id="12"/>
    </w:p>
    <w:p w14:paraId="0AB9F9DF" w14:textId="77777777" w:rsidR="00AD212A" w:rsidRPr="00233A0B" w:rsidRDefault="00C51E3C" w:rsidP="005C5D13">
      <w:pPr>
        <w:spacing w:after="127" w:line="360" w:lineRule="auto"/>
        <w:ind w:right="2" w:firstLine="360"/>
        <w:jc w:val="both"/>
        <w:rPr>
          <w:rFonts w:cs="Times New Roman"/>
          <w:b/>
          <w:bCs/>
          <w:szCs w:val="24"/>
          <w:lang w:bidi="en-US"/>
        </w:rPr>
      </w:pPr>
      <w:r w:rsidRPr="00233A0B">
        <w:rPr>
          <w:rFonts w:cs="Times New Roman"/>
          <w:szCs w:val="24"/>
          <w:lang w:val="bg-BG" w:bidi="en-US"/>
        </w:rPr>
        <w:t xml:space="preserve">Ключови </w:t>
      </w:r>
      <w:r w:rsidR="00555262" w:rsidRPr="00233A0B">
        <w:rPr>
          <w:rFonts w:cs="Times New Roman"/>
          <w:b/>
          <w:bCs/>
          <w:szCs w:val="24"/>
          <w:lang w:val="bg-BG" w:bidi="en-US"/>
        </w:rPr>
        <w:t>слабости и предизвикателства пред България според Европейското иновационно табло (EIS)</w:t>
      </w:r>
      <w:r w:rsidRPr="00233A0B">
        <w:rPr>
          <w:rFonts w:cs="Times New Roman"/>
          <w:szCs w:val="24"/>
          <w:lang w:val="bg-BG" w:bidi="en-US"/>
        </w:rPr>
        <w:t xml:space="preserve"> включват: </w:t>
      </w:r>
    </w:p>
    <w:p w14:paraId="1BB38DCC"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България продължава да среща значителни предизвикателства в развитието на човешкия капитал и дигиталните умения, което директно влияе върху нейната иновационна и икономическа конкурентоспособност. Страната е на последно място в ЕС по участие на населението в учене през целия живот – едва 10% от средното за Съюза. Още по-тревожен е фактът, че едва 16% от българите притежават над базови дигитални умения. Недостигът на квалифицирани STEM специалисти, както и слабата връзка между университетите и бизнеса, задълбочават дефицита на умения и ограничават възможностите за внедряване на нови технологии и иновации.</w:t>
      </w:r>
    </w:p>
    <w:p w14:paraId="52537DE9"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Иновационната активност в страната също бележи тревожен спад. Данните за периода 2024</w:t>
      </w:r>
      <w:r w:rsidR="00FE6692">
        <w:rPr>
          <w:rFonts w:cs="Times New Roman"/>
          <w:szCs w:val="24"/>
          <w:lang w:val="bg-BG" w:bidi="en-US"/>
        </w:rPr>
        <w:t>-</w:t>
      </w:r>
      <w:r w:rsidRPr="00233A0B">
        <w:rPr>
          <w:rFonts w:cs="Times New Roman"/>
          <w:szCs w:val="24"/>
          <w:lang w:val="bg-BG" w:bidi="en-US"/>
        </w:rPr>
        <w:t xml:space="preserve">2025 г. показват рязко </w:t>
      </w:r>
      <w:r w:rsidR="00CF4669" w:rsidRPr="00233A0B">
        <w:rPr>
          <w:rFonts w:cs="Times New Roman"/>
          <w:szCs w:val="24"/>
          <w:lang w:val="bg-BG" w:bidi="en-US"/>
        </w:rPr>
        <w:t>намаляване</w:t>
      </w:r>
      <w:r w:rsidRPr="00233A0B">
        <w:rPr>
          <w:rFonts w:cs="Times New Roman"/>
          <w:szCs w:val="24"/>
          <w:lang w:val="bg-BG" w:bidi="en-US"/>
        </w:rPr>
        <w:t xml:space="preserve"> на дела на фирмите, които внедряват иновации – спад с 36,6 % само за една година. Малките и средни предприятия са особено засегнати: при тях се наблюдава свиване на продуктовите иновации с 39 %, а на </w:t>
      </w:r>
      <w:r w:rsidR="001E05C4" w:rsidRPr="00233A0B">
        <w:rPr>
          <w:rFonts w:cs="Times New Roman"/>
          <w:szCs w:val="24"/>
          <w:lang w:val="bg-BG" w:bidi="en-US"/>
        </w:rPr>
        <w:t>иновациите на процеси</w:t>
      </w:r>
      <w:r w:rsidRPr="00233A0B">
        <w:rPr>
          <w:rFonts w:cs="Times New Roman"/>
          <w:szCs w:val="24"/>
          <w:lang w:val="bg-BG" w:bidi="en-US"/>
        </w:rPr>
        <w:t xml:space="preserve"> – с 34,3 %. Заетостта в иновативни компании намалява с над 33%, което е сигнал за затруднения при комерсиализацията на научни разработки и иновационни решения. Тези тенденции вероятно се дължат както на ограничена подкрепа за иновационна дейност, така и на периоди на политическа нестабилност и спад </w:t>
      </w:r>
      <w:r w:rsidR="00942606" w:rsidRPr="00233A0B">
        <w:rPr>
          <w:rFonts w:cs="Times New Roman"/>
          <w:szCs w:val="24"/>
          <w:lang w:val="bg-BG" w:bidi="en-US"/>
        </w:rPr>
        <w:t>в</w:t>
      </w:r>
      <w:r w:rsidRPr="00233A0B">
        <w:rPr>
          <w:rFonts w:cs="Times New Roman"/>
          <w:szCs w:val="24"/>
          <w:lang w:val="bg-BG" w:bidi="en-US"/>
        </w:rPr>
        <w:t xml:space="preserve"> бизнес доверието.</w:t>
      </w:r>
    </w:p>
    <w:p w14:paraId="68123353"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Българската икономика изпитва и сериозен проблем с производителността. Трудовата продуктивност е едва 9,7 % от средното за ЕС – най-ниската в целия Европейски съюз. Това показва наличието на структурни слабости, ниска технологична интензивност и ограничена добавена стойност в ключови сектори на икономиката. Ограниченото внедряване на цифрови технологии и изкуствен интелект в бизнеса, както и ниската ефективност на използване на ресурсите, допълнително ограничават растежа и конкурентоспособността.</w:t>
      </w:r>
    </w:p>
    <w:p w14:paraId="1D47F5A2"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lastRenderedPageBreak/>
        <w:t xml:space="preserve">Финансирането на НИРД остава едно от най-сериозните предизвикателства. България е на 26-то място в ЕС по публична подкрепа за НИРД – едва 2,2% от средното за Съюза. Частните инвестиции също са недостатъчни, като се наблюдава спад от 3,7 % спрямо 2018 г. Това системно </w:t>
      </w:r>
      <w:proofErr w:type="spellStart"/>
      <w:r w:rsidRPr="00233A0B">
        <w:rPr>
          <w:rFonts w:cs="Times New Roman"/>
          <w:szCs w:val="24"/>
          <w:lang w:val="bg-BG" w:bidi="en-US"/>
        </w:rPr>
        <w:t>недофинансиране</w:t>
      </w:r>
      <w:proofErr w:type="spellEnd"/>
      <w:r w:rsidRPr="00233A0B">
        <w:rPr>
          <w:rFonts w:cs="Times New Roman"/>
          <w:szCs w:val="24"/>
          <w:lang w:val="bg-BG" w:bidi="en-US"/>
        </w:rPr>
        <w:t xml:space="preserve"> ограничава иновационната екосистема и възможностите за развитие на високотехнологични предприятия. Допълнително препятствие е слабият достъп до рисков капитал и ограничената активност на инвестиционни фондове, което възпрепятства растежа и мащабирането на стартиращи и иновативни компании.</w:t>
      </w:r>
    </w:p>
    <w:p w14:paraId="6CA712B4"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Въпреки съществуващите предизвикателства, </w:t>
      </w:r>
      <w:r w:rsidRPr="00233A0B">
        <w:rPr>
          <w:rFonts w:cs="Times New Roman"/>
          <w:b/>
          <w:bCs/>
          <w:szCs w:val="24"/>
          <w:lang w:val="bg-BG" w:bidi="en-US"/>
        </w:rPr>
        <w:t>България демонстрира</w:t>
      </w:r>
      <w:r w:rsidRPr="00233A0B">
        <w:rPr>
          <w:rFonts w:cs="Times New Roman"/>
          <w:szCs w:val="24"/>
          <w:lang w:val="bg-BG" w:bidi="en-US"/>
        </w:rPr>
        <w:t xml:space="preserve"> </w:t>
      </w:r>
      <w:r w:rsidRPr="00233A0B">
        <w:rPr>
          <w:rFonts w:cs="Times New Roman"/>
          <w:b/>
          <w:bCs/>
          <w:szCs w:val="24"/>
          <w:lang w:val="bg-BG" w:bidi="en-US"/>
        </w:rPr>
        <w:t>редица силни страни в своята иновационна система</w:t>
      </w:r>
      <w:r w:rsidRPr="00233A0B">
        <w:rPr>
          <w:rFonts w:cs="Times New Roman"/>
          <w:szCs w:val="24"/>
          <w:lang w:val="bg-BG" w:bidi="en-US"/>
        </w:rPr>
        <w:t>, които могат да бъдат стратегически използвани за ускоряване на икономическото развитие. Една от най-изразените силни позиции е в областта на творческите индустрии и интелектуалните активи. България заема трето място в Европейския съюз по подадени заявки за промишлен дизайн – 157,1% от средното за ЕС, както и седмо място по заявки за търговски марки – 127,6% от средното. Тези данни са ясен индикатор за силен творчески потенциал, активност на местния бизнес в защитата на интелектуалната собственост и развитие на конкурентни продукти и брандове. Креативната икономика се утвърждава като сектор с висока добавена стойност и потенциал.</w:t>
      </w:r>
    </w:p>
    <w:p w14:paraId="60856ED6"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Значим напредък е постигнат и в областта на цифровата инфраструктура. България се нарежда сред водещите държави в ЕС по достъп до високоскоростен интернет, като покритието достига над 90% от населението – 116,6% от европейското средно ниво. Освен това обхватът на мрежите с много висок капацитет (VHCN) достига 90,4% към 2024 г., поставяйки страната пред редица по-развити икономики. Този напредък е резултат от </w:t>
      </w:r>
      <w:r w:rsidR="001525CE" w:rsidRPr="00233A0B">
        <w:rPr>
          <w:rFonts w:cs="Times New Roman"/>
          <w:szCs w:val="24"/>
          <w:lang w:val="bg-BG" w:bidi="en-US"/>
        </w:rPr>
        <w:t xml:space="preserve">дългогодишни </w:t>
      </w:r>
      <w:r w:rsidRPr="00233A0B">
        <w:rPr>
          <w:rFonts w:cs="Times New Roman"/>
          <w:szCs w:val="24"/>
          <w:lang w:val="bg-BG" w:bidi="en-US"/>
        </w:rPr>
        <w:t>целенасочени инвестиции</w:t>
      </w:r>
      <w:r w:rsidR="001525CE" w:rsidRPr="00233A0B">
        <w:rPr>
          <w:rFonts w:cs="Times New Roman"/>
          <w:szCs w:val="24"/>
          <w:lang w:val="bg-BG" w:bidi="en-US"/>
        </w:rPr>
        <w:t>, както</w:t>
      </w:r>
      <w:r w:rsidRPr="00233A0B">
        <w:rPr>
          <w:rFonts w:cs="Times New Roman"/>
          <w:szCs w:val="24"/>
          <w:lang w:val="bg-BG" w:bidi="en-US"/>
        </w:rPr>
        <w:t xml:space="preserve"> и ефективно усвояване на около 2,6 милиарда евро от Националния план за възстановяване и устойчивост</w:t>
      </w:r>
      <w:r w:rsidR="001525CE" w:rsidRPr="00233A0B">
        <w:rPr>
          <w:rFonts w:cs="Times New Roman"/>
          <w:szCs w:val="24"/>
          <w:lang w:val="bg-BG" w:bidi="en-US"/>
        </w:rPr>
        <w:t xml:space="preserve"> (НПВУ)</w:t>
      </w:r>
      <w:r w:rsidRPr="00233A0B">
        <w:rPr>
          <w:rFonts w:cs="Times New Roman"/>
          <w:szCs w:val="24"/>
          <w:lang w:val="bg-BG" w:bidi="en-US"/>
        </w:rPr>
        <w:t xml:space="preserve"> и оперативните програми на ЕС. Подобрената дигитална среда създава стабилна основа за развитие на цифрови услуги, електронно управление и бизнес трансформация.</w:t>
      </w:r>
    </w:p>
    <w:p w14:paraId="79F9F3DC"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България показва силни резултати и в износа на знание-интензивни услуги, което представлява ключов елемент на модерната икономика. Страната се нарежда на 13-то място в ЕС по износ на услуги, свързани с висока добавена стойност, като софтуерно развитие, бизнес услуги, IT </w:t>
      </w:r>
      <w:proofErr w:type="spellStart"/>
      <w:r w:rsidRPr="00233A0B">
        <w:rPr>
          <w:rFonts w:cs="Times New Roman"/>
          <w:szCs w:val="24"/>
          <w:lang w:val="bg-BG" w:bidi="en-US"/>
        </w:rPr>
        <w:t>аутсорсинг</w:t>
      </w:r>
      <w:proofErr w:type="spellEnd"/>
      <w:r w:rsidRPr="00233A0B">
        <w:rPr>
          <w:rFonts w:cs="Times New Roman"/>
          <w:szCs w:val="24"/>
          <w:lang w:val="bg-BG" w:bidi="en-US"/>
        </w:rPr>
        <w:t xml:space="preserve"> и финансови технологии, достигайки 65,5% от средното ниво за ЕС. Това показва развиващ се капацитет за участие във високотехнологични международни вериги. Наличието на водещи чуждестранни </w:t>
      </w:r>
      <w:r w:rsidRPr="00233A0B">
        <w:rPr>
          <w:rFonts w:cs="Times New Roman"/>
          <w:szCs w:val="24"/>
          <w:lang w:val="bg-BG" w:bidi="en-US"/>
        </w:rPr>
        <w:lastRenderedPageBreak/>
        <w:t>компании у нас, създадени технологични центрове и увеличаване на технологичните инвестиции потвърждават положителната динамика и потенциала на страната да се превърне в регионален иновационен хъб.</w:t>
      </w:r>
    </w:p>
    <w:p w14:paraId="050D4340" w14:textId="77777777" w:rsidR="00AD212A" w:rsidRPr="00233A0B" w:rsidRDefault="00555262" w:rsidP="005C5D13">
      <w:pPr>
        <w:spacing w:after="127" w:line="360" w:lineRule="auto"/>
        <w:ind w:right="2" w:firstLine="360"/>
        <w:jc w:val="both"/>
        <w:rPr>
          <w:rFonts w:cs="Times New Roman"/>
          <w:szCs w:val="24"/>
          <w:lang w:bidi="en-US"/>
        </w:rPr>
      </w:pPr>
      <w:r w:rsidRPr="00233A0B">
        <w:rPr>
          <w:rFonts w:cs="Times New Roman"/>
          <w:szCs w:val="24"/>
          <w:lang w:val="bg-BG" w:bidi="en-US"/>
        </w:rPr>
        <w:t xml:space="preserve">Като цяло, </w:t>
      </w:r>
      <w:r w:rsidR="00237A25" w:rsidRPr="00237A25">
        <w:rPr>
          <w:rFonts w:cs="Times New Roman"/>
          <w:szCs w:val="24"/>
          <w:lang w:val="bg-BG" w:bidi="en-US"/>
        </w:rPr>
        <w:t xml:space="preserve">дигитализацията отбелязва най-силния растеж – изпълнението на индикатора за дигитализация нараства с 33,6 % от 2018 г. до 2025 </w:t>
      </w:r>
      <w:proofErr w:type="spellStart"/>
      <w:r w:rsidR="00237A25" w:rsidRPr="00237A25">
        <w:rPr>
          <w:rFonts w:cs="Times New Roman"/>
          <w:szCs w:val="24"/>
          <w:lang w:val="bg-BG" w:bidi="en-US"/>
        </w:rPr>
        <w:t>г.</w:t>
      </w:r>
      <w:r w:rsidR="007C52F2">
        <w:rPr>
          <w:rFonts w:cs="Times New Roman"/>
          <w:szCs w:val="24"/>
          <w:lang w:val="bg-BG" w:bidi="en-US"/>
        </w:rPr>
        <w:t>л</w:t>
      </w:r>
      <w:proofErr w:type="spellEnd"/>
      <w:r w:rsidRPr="00233A0B">
        <w:rPr>
          <w:rFonts w:cs="Times New Roman"/>
          <w:szCs w:val="24"/>
          <w:lang w:val="bg-BG" w:bidi="en-US"/>
        </w:rPr>
        <w:t xml:space="preserve">, подкрепен от целеви инвестиции по национални и европейски програми. Производителността на ресурсите и труда също се подобрява с ~22 % спрямо 2018 г., макар и от много ниска начална база. Индикаторите за научни изследвания и връзки (между наука и бизнес) бележат ръст ~15 %, свидетелствайки за известен напредък в изграждането на научен капацитет и сътрудничество. </w:t>
      </w:r>
    </w:p>
    <w:p w14:paraId="68D99955"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В същото време се потвърждава дългосрочната тенденция на недостатъчни инвестиции – разходите за НИРД (като дял от БВП) продължават да са едни от най-ниските в ЕС (0,79%). Това, заедно с вече споменатия срив в иновационната активност на МСП през 2024 г., очертава належащата нужда от политики за стимулиране на технологичния трансфер, повишаване на дигиталните умения и производителността (както се подчертава и в официалните препоръки). Европейската комисия изрично препоръчва България да увеличи публичното финансиране за научно-развойна дейност и да засили връзките между науката и индустрията, за да навакса изоставането в иновациите.</w:t>
      </w:r>
    </w:p>
    <w:p w14:paraId="7EDC3CB9"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В последното издание </w:t>
      </w:r>
      <w:r w:rsidRPr="00233A0B">
        <w:rPr>
          <w:rFonts w:cs="Times New Roman"/>
          <w:b/>
          <w:bCs/>
          <w:szCs w:val="24"/>
          <w:lang w:val="bg-BG" w:bidi="en-US"/>
        </w:rPr>
        <w:t>на Глобалния иновационен индекс (G</w:t>
      </w:r>
      <w:r w:rsidRPr="00233A0B">
        <w:rPr>
          <w:rFonts w:cs="Times New Roman"/>
          <w:b/>
          <w:bCs/>
          <w:szCs w:val="24"/>
          <w:lang w:bidi="en-US"/>
        </w:rPr>
        <w:t>lobal Innovation Index</w:t>
      </w:r>
      <w:r w:rsidRPr="00233A0B">
        <w:rPr>
          <w:rFonts w:cs="Times New Roman"/>
          <w:b/>
          <w:bCs/>
          <w:szCs w:val="24"/>
          <w:lang w:val="bg-BG" w:bidi="en-US"/>
        </w:rPr>
        <w:t>) за 2025 г.</w:t>
      </w:r>
      <w:r w:rsidRPr="00233A0B">
        <w:rPr>
          <w:rFonts w:cs="Times New Roman"/>
          <w:szCs w:val="24"/>
          <w:lang w:val="bg-BG" w:bidi="en-US"/>
        </w:rPr>
        <w:t xml:space="preserve"> България заема 37-мо място в света (от 139 икономики), с което влиза в горната една-трета на класацията. Това представлява повишение с една позиция спрямо 2024 и 2023 г. (когато е 38-ма), макар все още да не достига най-доброто си постижение от 2022 г. (35-то място). В рамките на ЕС България се нарежда в средата на класацията по иновации, изпреварвайки няколко други държави членки с подобен профил – </w:t>
      </w:r>
      <w:r w:rsidRPr="00233A0B">
        <w:rPr>
          <w:rFonts w:cs="Times New Roman"/>
          <w:i/>
          <w:iCs/>
          <w:szCs w:val="24"/>
          <w:lang w:val="bg-BG" w:bidi="en-US"/>
        </w:rPr>
        <w:t>Полша, Хърватия, Латвия, Гърция, Словакия и Румъния</w:t>
      </w:r>
      <w:r w:rsidRPr="00233A0B">
        <w:rPr>
          <w:rFonts w:cs="Times New Roman"/>
          <w:szCs w:val="24"/>
          <w:lang w:val="bg-BG" w:bidi="en-US"/>
        </w:rPr>
        <w:t xml:space="preserve"> остават след България по глобален ранг. Според анализа на Световната организация по интелектуална собственост българската иновационна система постига </w:t>
      </w:r>
      <w:r w:rsidRPr="00233A0B">
        <w:rPr>
          <w:rFonts w:cs="Times New Roman"/>
          <w:b/>
          <w:bCs/>
          <w:szCs w:val="24"/>
          <w:lang w:val="bg-BG" w:bidi="en-US"/>
        </w:rPr>
        <w:t>повече резултати от очакваното спрямо нивото на икономическото развитие и вложените ресурси</w:t>
      </w:r>
      <w:r w:rsidRPr="00233A0B">
        <w:rPr>
          <w:rFonts w:cs="Times New Roman"/>
          <w:szCs w:val="24"/>
          <w:lang w:val="bg-BG" w:bidi="en-US"/>
        </w:rPr>
        <w:t xml:space="preserve"> – с други думи, страната реализира сравнително „оптимално“ ниво на иновации спрямо своя БВП и инвестиции в сектора. Това е положителен сигнал, че наличните ограничени средства се използват ефективно, но също така подчертава нуждата от увеличаване на инвестициите, за да се ускори растежът в иновациите.</w:t>
      </w:r>
    </w:p>
    <w:tbl>
      <w:tblPr>
        <w:tblStyle w:val="GridTable4-Accent1"/>
        <w:tblW w:w="9139" w:type="dxa"/>
        <w:tblLook w:val="04A0" w:firstRow="1" w:lastRow="0" w:firstColumn="1" w:lastColumn="0" w:noHBand="0" w:noVBand="1"/>
      </w:tblPr>
      <w:tblGrid>
        <w:gridCol w:w="6050"/>
        <w:gridCol w:w="3089"/>
      </w:tblGrid>
      <w:tr w:rsidR="00555262" w:rsidRPr="00233A0B" w14:paraId="67F7D417" w14:textId="77777777" w:rsidTr="007C52F2">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0" w:type="auto"/>
            <w:hideMark/>
          </w:tcPr>
          <w:p w14:paraId="62128628"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lastRenderedPageBreak/>
              <w:t>Стълб (</w:t>
            </w:r>
            <w:r w:rsidR="000A5B0A" w:rsidRPr="00233A0B">
              <w:rPr>
                <w:rFonts w:cs="Times New Roman"/>
                <w:szCs w:val="24"/>
                <w:lang w:bidi="en-US"/>
              </w:rPr>
              <w:t xml:space="preserve">GII </w:t>
            </w:r>
            <w:r w:rsidRPr="00233A0B">
              <w:rPr>
                <w:rFonts w:cs="Times New Roman"/>
                <w:szCs w:val="24"/>
                <w:lang w:val="bg-BG" w:bidi="en-US"/>
              </w:rPr>
              <w:t>2025)</w:t>
            </w:r>
          </w:p>
        </w:tc>
        <w:tc>
          <w:tcPr>
            <w:tcW w:w="0" w:type="auto"/>
            <w:hideMark/>
          </w:tcPr>
          <w:p w14:paraId="7BB19D98" w14:textId="77777777" w:rsidR="00555262" w:rsidRPr="00233A0B" w:rsidRDefault="00555262" w:rsidP="005C5D13">
            <w:pPr>
              <w:spacing w:after="127" w:line="360" w:lineRule="auto"/>
              <w:ind w:right="2" w:firstLine="360"/>
              <w:jc w:val="both"/>
              <w:cnfStyle w:val="100000000000" w:firstRow="1" w:lastRow="0" w:firstColumn="0" w:lastColumn="0" w:oddVBand="0" w:evenVBand="0" w:oddHBand="0" w:evenHBand="0" w:firstRowFirstColumn="0" w:firstRowLastColumn="0" w:lastRowFirstColumn="0" w:lastRowLastColumn="0"/>
              <w:rPr>
                <w:rFonts w:cs="Times New Roman"/>
                <w:szCs w:val="24"/>
                <w:lang w:val="bg-BG" w:bidi="en-US"/>
              </w:rPr>
            </w:pPr>
            <w:r w:rsidRPr="00233A0B">
              <w:rPr>
                <w:rFonts w:cs="Times New Roman"/>
                <w:szCs w:val="24"/>
                <w:lang w:val="bg-BG" w:bidi="en-US"/>
              </w:rPr>
              <w:t>Ранг на България</w:t>
            </w:r>
          </w:p>
        </w:tc>
      </w:tr>
      <w:tr w:rsidR="00555262" w:rsidRPr="00233A0B" w14:paraId="737807A4" w14:textId="77777777" w:rsidTr="007C52F2">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0" w:type="auto"/>
            <w:hideMark/>
          </w:tcPr>
          <w:p w14:paraId="29906A92"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Институции</w:t>
            </w:r>
          </w:p>
        </w:tc>
        <w:tc>
          <w:tcPr>
            <w:tcW w:w="0" w:type="auto"/>
            <w:hideMark/>
          </w:tcPr>
          <w:p w14:paraId="24553251" w14:textId="77777777" w:rsidR="00555262" w:rsidRPr="00233A0B" w:rsidRDefault="00555262" w:rsidP="005C5D13">
            <w:pPr>
              <w:spacing w:after="127" w:line="360" w:lineRule="auto"/>
              <w:ind w:right="2" w:firstLine="360"/>
              <w:jc w:val="both"/>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233A0B">
              <w:rPr>
                <w:rFonts w:cs="Times New Roman"/>
                <w:szCs w:val="24"/>
                <w:lang w:val="bg-BG" w:bidi="en-US"/>
              </w:rPr>
              <w:t>81-во място</w:t>
            </w:r>
          </w:p>
        </w:tc>
      </w:tr>
      <w:tr w:rsidR="00555262" w:rsidRPr="00233A0B" w14:paraId="1372EA5D" w14:textId="77777777" w:rsidTr="007C52F2">
        <w:trPr>
          <w:trHeight w:val="592"/>
        </w:trPr>
        <w:tc>
          <w:tcPr>
            <w:cnfStyle w:val="001000000000" w:firstRow="0" w:lastRow="0" w:firstColumn="1" w:lastColumn="0" w:oddVBand="0" w:evenVBand="0" w:oddHBand="0" w:evenHBand="0" w:firstRowFirstColumn="0" w:firstRowLastColumn="0" w:lastRowFirstColumn="0" w:lastRowLastColumn="0"/>
            <w:tcW w:w="0" w:type="auto"/>
            <w:hideMark/>
          </w:tcPr>
          <w:p w14:paraId="5ECA23F3"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Човешки ресурси и научни изследвания</w:t>
            </w:r>
          </w:p>
        </w:tc>
        <w:tc>
          <w:tcPr>
            <w:tcW w:w="0" w:type="auto"/>
            <w:hideMark/>
          </w:tcPr>
          <w:p w14:paraId="0BD20768" w14:textId="77777777" w:rsidR="00555262" w:rsidRPr="00233A0B" w:rsidRDefault="00555262" w:rsidP="005C5D13">
            <w:pPr>
              <w:spacing w:after="127" w:line="360" w:lineRule="auto"/>
              <w:ind w:right="2" w:firstLine="360"/>
              <w:jc w:val="both"/>
              <w:cnfStyle w:val="000000000000" w:firstRow="0" w:lastRow="0" w:firstColumn="0" w:lastColumn="0" w:oddVBand="0" w:evenVBand="0" w:oddHBand="0" w:evenHBand="0" w:firstRowFirstColumn="0" w:firstRowLastColumn="0" w:lastRowFirstColumn="0" w:lastRowLastColumn="0"/>
              <w:rPr>
                <w:rFonts w:cs="Times New Roman"/>
                <w:szCs w:val="24"/>
                <w:lang w:val="bg-BG" w:bidi="en-US"/>
              </w:rPr>
            </w:pPr>
            <w:r w:rsidRPr="00233A0B">
              <w:rPr>
                <w:rFonts w:cs="Times New Roman"/>
                <w:szCs w:val="24"/>
                <w:lang w:val="bg-BG" w:bidi="en-US"/>
              </w:rPr>
              <w:t>64-то място</w:t>
            </w:r>
          </w:p>
        </w:tc>
      </w:tr>
      <w:tr w:rsidR="00555262" w:rsidRPr="00233A0B" w14:paraId="44955CB5" w14:textId="77777777" w:rsidTr="007C52F2">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0" w:type="auto"/>
            <w:hideMark/>
          </w:tcPr>
          <w:p w14:paraId="3A95B37F"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Инфраструктура</w:t>
            </w:r>
          </w:p>
        </w:tc>
        <w:tc>
          <w:tcPr>
            <w:tcW w:w="0" w:type="auto"/>
            <w:hideMark/>
          </w:tcPr>
          <w:p w14:paraId="1C13F471" w14:textId="77777777" w:rsidR="00555262" w:rsidRPr="00233A0B" w:rsidRDefault="00555262" w:rsidP="005C5D13">
            <w:pPr>
              <w:spacing w:after="127" w:line="360" w:lineRule="auto"/>
              <w:ind w:right="2" w:firstLine="360"/>
              <w:jc w:val="both"/>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233A0B">
              <w:rPr>
                <w:rFonts w:cs="Times New Roman"/>
                <w:szCs w:val="24"/>
                <w:lang w:val="bg-BG" w:bidi="en-US"/>
              </w:rPr>
              <w:t>22-ро място</w:t>
            </w:r>
          </w:p>
        </w:tc>
      </w:tr>
      <w:tr w:rsidR="00555262" w:rsidRPr="00233A0B" w14:paraId="11B2D042" w14:textId="77777777" w:rsidTr="007C52F2">
        <w:trPr>
          <w:trHeight w:val="592"/>
        </w:trPr>
        <w:tc>
          <w:tcPr>
            <w:cnfStyle w:val="001000000000" w:firstRow="0" w:lastRow="0" w:firstColumn="1" w:lastColumn="0" w:oddVBand="0" w:evenVBand="0" w:oddHBand="0" w:evenHBand="0" w:firstRowFirstColumn="0" w:firstRowLastColumn="0" w:lastRowFirstColumn="0" w:lastRowLastColumn="0"/>
            <w:tcW w:w="0" w:type="auto"/>
            <w:hideMark/>
          </w:tcPr>
          <w:p w14:paraId="31125470"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Съвършенство на пазара</w:t>
            </w:r>
          </w:p>
        </w:tc>
        <w:tc>
          <w:tcPr>
            <w:tcW w:w="0" w:type="auto"/>
            <w:hideMark/>
          </w:tcPr>
          <w:p w14:paraId="273E0782" w14:textId="77777777" w:rsidR="00555262" w:rsidRPr="00233A0B" w:rsidRDefault="00555262" w:rsidP="005C5D13">
            <w:pPr>
              <w:spacing w:after="127" w:line="360" w:lineRule="auto"/>
              <w:ind w:right="2" w:firstLine="360"/>
              <w:jc w:val="both"/>
              <w:cnfStyle w:val="000000000000" w:firstRow="0" w:lastRow="0" w:firstColumn="0" w:lastColumn="0" w:oddVBand="0" w:evenVBand="0" w:oddHBand="0" w:evenHBand="0" w:firstRowFirstColumn="0" w:firstRowLastColumn="0" w:lastRowFirstColumn="0" w:lastRowLastColumn="0"/>
              <w:rPr>
                <w:rFonts w:cs="Times New Roman"/>
                <w:szCs w:val="24"/>
                <w:lang w:val="bg-BG" w:bidi="en-US"/>
              </w:rPr>
            </w:pPr>
            <w:r w:rsidRPr="00233A0B">
              <w:rPr>
                <w:rFonts w:cs="Times New Roman"/>
                <w:szCs w:val="24"/>
                <w:lang w:val="bg-BG" w:bidi="en-US"/>
              </w:rPr>
              <w:t>35-то място</w:t>
            </w:r>
          </w:p>
        </w:tc>
      </w:tr>
      <w:tr w:rsidR="00555262" w:rsidRPr="00233A0B" w14:paraId="2FD5C926" w14:textId="77777777" w:rsidTr="007C52F2">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0" w:type="auto"/>
            <w:hideMark/>
          </w:tcPr>
          <w:p w14:paraId="13EC3923"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Съвършенство на бизнеса</w:t>
            </w:r>
          </w:p>
        </w:tc>
        <w:tc>
          <w:tcPr>
            <w:tcW w:w="0" w:type="auto"/>
            <w:hideMark/>
          </w:tcPr>
          <w:p w14:paraId="6858C04A" w14:textId="77777777" w:rsidR="00555262" w:rsidRPr="00233A0B" w:rsidRDefault="00555262" w:rsidP="005C5D13">
            <w:pPr>
              <w:spacing w:after="127" w:line="360" w:lineRule="auto"/>
              <w:ind w:right="2" w:firstLine="360"/>
              <w:jc w:val="both"/>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233A0B">
              <w:rPr>
                <w:rFonts w:cs="Times New Roman"/>
                <w:szCs w:val="24"/>
                <w:lang w:val="bg-BG" w:bidi="en-US"/>
              </w:rPr>
              <w:t>50-то място</w:t>
            </w:r>
          </w:p>
        </w:tc>
      </w:tr>
      <w:tr w:rsidR="00555262" w:rsidRPr="00233A0B" w14:paraId="3F135951" w14:textId="77777777" w:rsidTr="007C52F2">
        <w:trPr>
          <w:trHeight w:val="592"/>
        </w:trPr>
        <w:tc>
          <w:tcPr>
            <w:cnfStyle w:val="001000000000" w:firstRow="0" w:lastRow="0" w:firstColumn="1" w:lastColumn="0" w:oddVBand="0" w:evenVBand="0" w:oddHBand="0" w:evenHBand="0" w:firstRowFirstColumn="0" w:firstRowLastColumn="0" w:lastRowFirstColumn="0" w:lastRowLastColumn="0"/>
            <w:tcW w:w="0" w:type="auto"/>
            <w:hideMark/>
          </w:tcPr>
          <w:p w14:paraId="379290B8"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Знание и технологични резултати</w:t>
            </w:r>
          </w:p>
        </w:tc>
        <w:tc>
          <w:tcPr>
            <w:tcW w:w="0" w:type="auto"/>
            <w:hideMark/>
          </w:tcPr>
          <w:p w14:paraId="0CC6BB7D" w14:textId="77777777" w:rsidR="00555262" w:rsidRPr="00233A0B" w:rsidRDefault="00555262" w:rsidP="005C5D13">
            <w:pPr>
              <w:spacing w:after="127" w:line="360" w:lineRule="auto"/>
              <w:ind w:right="2" w:firstLine="360"/>
              <w:jc w:val="both"/>
              <w:cnfStyle w:val="000000000000" w:firstRow="0" w:lastRow="0" w:firstColumn="0" w:lastColumn="0" w:oddVBand="0" w:evenVBand="0" w:oddHBand="0" w:evenHBand="0" w:firstRowFirstColumn="0" w:firstRowLastColumn="0" w:lastRowFirstColumn="0" w:lastRowLastColumn="0"/>
              <w:rPr>
                <w:rFonts w:cs="Times New Roman"/>
                <w:szCs w:val="24"/>
                <w:lang w:val="bg-BG" w:bidi="en-US"/>
              </w:rPr>
            </w:pPr>
            <w:r w:rsidRPr="00233A0B">
              <w:rPr>
                <w:rFonts w:cs="Times New Roman"/>
                <w:szCs w:val="24"/>
                <w:lang w:val="bg-BG" w:bidi="en-US"/>
              </w:rPr>
              <w:t>28-мо място</w:t>
            </w:r>
          </w:p>
        </w:tc>
      </w:tr>
      <w:tr w:rsidR="00555262" w:rsidRPr="00233A0B" w14:paraId="6FD14CAA" w14:textId="77777777" w:rsidTr="007C52F2">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0" w:type="auto"/>
            <w:hideMark/>
          </w:tcPr>
          <w:p w14:paraId="64564706"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Творчески резултати</w:t>
            </w:r>
          </w:p>
        </w:tc>
        <w:tc>
          <w:tcPr>
            <w:tcW w:w="0" w:type="auto"/>
            <w:hideMark/>
          </w:tcPr>
          <w:p w14:paraId="5CEF9FC6" w14:textId="77777777" w:rsidR="00555262" w:rsidRPr="00233A0B" w:rsidRDefault="00555262" w:rsidP="005C5D13">
            <w:pPr>
              <w:spacing w:after="127" w:line="360" w:lineRule="auto"/>
              <w:ind w:right="2" w:firstLine="360"/>
              <w:jc w:val="both"/>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233A0B">
              <w:rPr>
                <w:rFonts w:cs="Times New Roman"/>
                <w:szCs w:val="24"/>
                <w:lang w:val="bg-BG" w:bidi="en-US"/>
              </w:rPr>
              <w:t>32-ро място</w:t>
            </w:r>
          </w:p>
        </w:tc>
      </w:tr>
    </w:tbl>
    <w:p w14:paraId="4B76F883" w14:textId="77777777" w:rsidR="00555262" w:rsidRPr="00233A0B" w:rsidRDefault="00555262" w:rsidP="005C5D13">
      <w:pPr>
        <w:spacing w:after="127" w:line="360" w:lineRule="auto"/>
        <w:ind w:right="2" w:firstLine="360"/>
        <w:jc w:val="both"/>
        <w:rPr>
          <w:rFonts w:cs="Times New Roman"/>
          <w:i/>
          <w:iCs/>
          <w:sz w:val="22"/>
          <w:lang w:val="bg-BG" w:bidi="en-US"/>
        </w:rPr>
      </w:pPr>
      <w:r w:rsidRPr="00233A0B">
        <w:rPr>
          <w:rFonts w:cs="Times New Roman"/>
          <w:i/>
          <w:iCs/>
          <w:sz w:val="22"/>
          <w:lang w:val="bg-BG" w:bidi="en-US"/>
        </w:rPr>
        <w:t xml:space="preserve">Източник: WIPO, </w:t>
      </w:r>
      <w:proofErr w:type="spellStart"/>
      <w:r w:rsidRPr="00233A0B">
        <w:rPr>
          <w:rFonts w:cs="Times New Roman"/>
          <w:i/>
          <w:iCs/>
          <w:sz w:val="22"/>
          <w:lang w:val="bg-BG" w:bidi="en-US"/>
        </w:rPr>
        <w:t>Global</w:t>
      </w:r>
      <w:proofErr w:type="spellEnd"/>
      <w:r w:rsidRPr="00233A0B">
        <w:rPr>
          <w:rFonts w:cs="Times New Roman"/>
          <w:i/>
          <w:iCs/>
          <w:sz w:val="22"/>
          <w:lang w:val="bg-BG" w:bidi="en-US"/>
        </w:rPr>
        <w:t xml:space="preserve"> </w:t>
      </w:r>
      <w:proofErr w:type="spellStart"/>
      <w:r w:rsidRPr="00233A0B">
        <w:rPr>
          <w:rFonts w:cs="Times New Roman"/>
          <w:i/>
          <w:iCs/>
          <w:sz w:val="22"/>
          <w:lang w:val="bg-BG" w:bidi="en-US"/>
        </w:rPr>
        <w:t>Innovation</w:t>
      </w:r>
      <w:proofErr w:type="spellEnd"/>
      <w:r w:rsidRPr="00233A0B">
        <w:rPr>
          <w:rFonts w:cs="Times New Roman"/>
          <w:i/>
          <w:iCs/>
          <w:sz w:val="22"/>
          <w:lang w:val="bg-BG" w:bidi="en-US"/>
        </w:rPr>
        <w:t xml:space="preserve"> </w:t>
      </w:r>
      <w:proofErr w:type="spellStart"/>
      <w:r w:rsidRPr="00233A0B">
        <w:rPr>
          <w:rFonts w:cs="Times New Roman"/>
          <w:i/>
          <w:iCs/>
          <w:sz w:val="22"/>
          <w:lang w:val="bg-BG" w:bidi="en-US"/>
        </w:rPr>
        <w:t>Index</w:t>
      </w:r>
      <w:proofErr w:type="spellEnd"/>
      <w:r w:rsidRPr="00233A0B">
        <w:rPr>
          <w:rFonts w:cs="Times New Roman"/>
          <w:i/>
          <w:iCs/>
          <w:sz w:val="22"/>
          <w:lang w:val="bg-BG" w:bidi="en-US"/>
        </w:rPr>
        <w:t xml:space="preserve"> 2025. Видно от горните данни, най-силните относителни позиции на България са при изходните резултати – инфраструктура, научни и творчески резултати, докато по институционални условия, човешки капитал и бизнес среда сме далеч назад. </w:t>
      </w:r>
    </w:p>
    <w:p w14:paraId="2E28A304"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Въпреки това, България продължава да среща сериозни структурни предизвикателства, които ограничават иновационния ѝ потенциал и конкурентоспособност. Сред големите </w:t>
      </w:r>
      <w:r w:rsidRPr="00233A0B">
        <w:rPr>
          <w:rFonts w:cs="Times New Roman"/>
          <w:b/>
          <w:bCs/>
          <w:szCs w:val="24"/>
          <w:lang w:val="bg-BG" w:bidi="en-US"/>
        </w:rPr>
        <w:t>слабости</w:t>
      </w:r>
      <w:r w:rsidRPr="00233A0B">
        <w:rPr>
          <w:rFonts w:cs="Times New Roman"/>
          <w:szCs w:val="24"/>
          <w:lang w:val="bg-BG" w:bidi="en-US"/>
        </w:rPr>
        <w:t xml:space="preserve"> се открояват неблагоприятните демографски тенденции. Страната е на 127-мо място в света по показателя „демографски дивидент“, което отразява негативното влияние на застаряващото население и трайната емиграция на квалифицирани кадри. Тези процеси водят до свиване на работната сила, недостиг на таланти и ограничено предприемаческо участие – ключови елементи за изграждане на модерна, основана на знанието икономика.</w:t>
      </w:r>
    </w:p>
    <w:p w14:paraId="680299BB"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Институционалната среда също остава сериозно препятствие пред развитието. България е на 81-во място от 139 държави по стълба „Институции“, отчитайки слабости в политическата стабилност, публичната администрация и бизнес регулациите. По показателя „среда за бизнес“ страната заема едва 105-то място, като корупционните рискове продължават да бъдат широко разпространени – 88% от фирмите посочват това като съществена бариера. Недостатъците във върховенството на закона и ограничената ефективност на държавната администрация подкопават доверието на инвеститорите и затрудняват реализацията на иновационни проекти.</w:t>
      </w:r>
    </w:p>
    <w:p w14:paraId="46D08D80"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Човешкият капитал е друга системна слабост. По показателя „Човешки ресурси и научни изследвания“ България се нарежда на 64-то място, а индексът отчита ниско </w:t>
      </w:r>
      <w:r w:rsidRPr="00233A0B">
        <w:rPr>
          <w:rFonts w:cs="Times New Roman"/>
          <w:szCs w:val="24"/>
          <w:lang w:val="bg-BG" w:bidi="en-US"/>
        </w:rPr>
        <w:lastRenderedPageBreak/>
        <w:t>качество на образованието, липса на практическа ориентация и ограничена подготовка по STEM направления. Броят на изследователите и иноваторите в икономиката е недостатъчен, а връзката между университетите и бизнеса остава слаба. Това води до загуба на научен потенциал, ограничена комерсиализация на научни резултати и изтичане на мозъци.</w:t>
      </w:r>
    </w:p>
    <w:p w14:paraId="49D136EC"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Проблемът с недостига на инвестиции в наука и иновации се потвърждава и от индекса. България заема 105-то място по бруто образуване на основен капитал, което означава ниско ниво на инвестиции в модерно оборудване, лаборатории и научни технологии. Частните инвестиции в НИРД също са ограничени, като бизнесът показва ниска активност в трансфера на технологии и иновации.</w:t>
      </w:r>
    </w:p>
    <w:p w14:paraId="7A34EA40"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По стълба „Бизнес усъвършенстване“ България е на 50-то място в света, изоставайки по редица ключови показатели като внедряване на дигитални технологии, развитие на индустриални клъстери и усвояване на знания от бизнеса. Слабата култура на иновации в частния сектор и ограничените връзки между научните организации и предприятията водят до ниск</w:t>
      </w:r>
      <w:r w:rsidR="00DF5AC7" w:rsidRPr="00233A0B">
        <w:rPr>
          <w:rFonts w:cs="Times New Roman"/>
          <w:szCs w:val="24"/>
          <w:lang w:val="bg-BG" w:bidi="en-US"/>
        </w:rPr>
        <w:t>о ниво на</w:t>
      </w:r>
      <w:r w:rsidRPr="00233A0B">
        <w:rPr>
          <w:rFonts w:cs="Times New Roman"/>
          <w:szCs w:val="24"/>
          <w:lang w:val="bg-BG" w:bidi="en-US"/>
        </w:rPr>
        <w:t xml:space="preserve"> технологична трансформация и ограничено въздействие върху растежа на производителността.</w:t>
      </w:r>
    </w:p>
    <w:p w14:paraId="5B0B9661"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Въпреки изброените системни предизвикателства, България демонстрира </w:t>
      </w:r>
      <w:r w:rsidRPr="00233A0B">
        <w:rPr>
          <w:rFonts w:cs="Times New Roman"/>
          <w:b/>
          <w:bCs/>
          <w:szCs w:val="24"/>
          <w:lang w:val="bg-BG" w:bidi="en-US"/>
        </w:rPr>
        <w:t>силни страни</w:t>
      </w:r>
      <w:r w:rsidRPr="00233A0B">
        <w:rPr>
          <w:rFonts w:cs="Times New Roman"/>
          <w:szCs w:val="24"/>
          <w:lang w:val="bg-BG" w:bidi="en-US"/>
        </w:rPr>
        <w:t xml:space="preserve"> в няколко ключови направления, които подчертават нейния иновационен потенциал. Особено впечатляващо е представянето на страната по индикаторите за международни стандарти и качество. България заема първо място в света по брой сертификации по ISO 14001 (управление на околната среда) и ISO 9001 (управление на качеството). Това показва, че предприятията у нас поддържат висока култура на управление, стандартизация и устойчивост, което е важна предпоставка за привличане на партньори и интегриране в глобални производствени и иновационни вериги.</w:t>
      </w:r>
    </w:p>
    <w:p w14:paraId="6694EE43"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Силно е и представянето на България при иновационните изходи, които отразяват реалните резултати от иновационната дейност. Страната заема 28-мо място в света по „Знание и технологични резултати“ и 32-ро място по „Творчески резултати“. Тя се нарежда сред водещите държави в света по износ на високотехнологични продукти и ИКТ услуги, както и по износ на творчески индустрии като дизайн, софтуер, дигитални продукти и културни услуги. Това потвърждава, че България разполага с активни и конкурентни сектори в икономиката, базирани на знание и иновации.</w:t>
      </w:r>
    </w:p>
    <w:p w14:paraId="7A85772C"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Друг значим положителен аспект е балансът между вложени ресурси за иновации и постигнати резултати. Въпреки сравнително ограниченото финансиране и ниските нива </w:t>
      </w:r>
      <w:r w:rsidRPr="00233A0B">
        <w:rPr>
          <w:rFonts w:cs="Times New Roman"/>
          <w:szCs w:val="24"/>
          <w:lang w:val="bg-BG" w:bidi="en-US"/>
        </w:rPr>
        <w:lastRenderedPageBreak/>
        <w:t xml:space="preserve">на инвестиции, България постига по-висока ефективност на иновационната си система от очакваното за икономическия ѝ мащаб, както споменахме по-рано. Това се вижда и от появата на два технологични „еднорога“ – </w:t>
      </w:r>
      <w:proofErr w:type="spellStart"/>
      <w:r w:rsidRPr="00233A0B">
        <w:rPr>
          <w:rFonts w:cs="Times New Roman"/>
          <w:szCs w:val="24"/>
          <w:lang w:val="bg-BG" w:bidi="en-US"/>
        </w:rPr>
        <w:t>Payhawk</w:t>
      </w:r>
      <w:proofErr w:type="spellEnd"/>
      <w:r w:rsidRPr="00233A0B">
        <w:rPr>
          <w:rFonts w:cs="Times New Roman"/>
          <w:szCs w:val="24"/>
          <w:lang w:val="bg-BG" w:bidi="en-US"/>
        </w:rPr>
        <w:t xml:space="preserve"> и </w:t>
      </w:r>
      <w:proofErr w:type="spellStart"/>
      <w:r w:rsidRPr="00233A0B">
        <w:rPr>
          <w:rFonts w:cs="Times New Roman"/>
          <w:szCs w:val="24"/>
          <w:lang w:val="bg-BG" w:bidi="en-US"/>
        </w:rPr>
        <w:t>Shelly</w:t>
      </w:r>
      <w:proofErr w:type="spellEnd"/>
      <w:r w:rsidRPr="00233A0B">
        <w:rPr>
          <w:rFonts w:cs="Times New Roman"/>
          <w:szCs w:val="24"/>
          <w:lang w:val="bg-BG" w:bidi="en-US"/>
        </w:rPr>
        <w:t xml:space="preserve"> Group. Тези компании показват, че българската предприемаческа екосистема може да създава глобално конкурентни технологични решения, макар и въпреки предизвикателствата на бизнес средата.</w:t>
      </w:r>
    </w:p>
    <w:p w14:paraId="6D39D655" w14:textId="77777777" w:rsidR="00555262" w:rsidRPr="00233A0B" w:rsidRDefault="0055526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Силна страна на България според индекса е и </w:t>
      </w:r>
      <w:r w:rsidR="0044368B" w:rsidRPr="00233A0B">
        <w:rPr>
          <w:rFonts w:cs="Times New Roman"/>
          <w:szCs w:val="24"/>
          <w:lang w:val="bg-BG" w:bidi="en-US"/>
        </w:rPr>
        <w:t xml:space="preserve">телекомуникационната </w:t>
      </w:r>
      <w:r w:rsidRPr="00233A0B">
        <w:rPr>
          <w:rFonts w:cs="Times New Roman"/>
          <w:szCs w:val="24"/>
          <w:lang w:val="bg-BG" w:bidi="en-US"/>
        </w:rPr>
        <w:t>инфраструктура, където страната заема 22-ро място в света. Този резултат отразява добре развитата телекомуникационна среда, надеждната интернет свързаност и наличието на цифрови услуги, които създават стабилна основа за дигитализация и технологичен растеж. Телекомуникационната инфраструктура и широкото покритие с високоскоростен интернет дават добра база за развитие на дигитална икономика и внедряване на иновации както в бизнеса, така и в публичния сектор.</w:t>
      </w:r>
    </w:p>
    <w:p w14:paraId="5EE064C0" w14:textId="77777777" w:rsidR="001F5C22" w:rsidRPr="00007C03" w:rsidRDefault="00D96867" w:rsidP="005C5D13">
      <w:pPr>
        <w:pStyle w:val="Heading2"/>
        <w:spacing w:line="360" w:lineRule="auto"/>
        <w:rPr>
          <w:rFonts w:ascii="Times New Roman" w:hAnsi="Times New Roman" w:cs="Times New Roman"/>
          <w:b/>
          <w:bCs/>
          <w:lang w:val="bg-BG" w:bidi="en-US"/>
        </w:rPr>
      </w:pPr>
      <w:bookmarkStart w:id="13" w:name="_Toc216427809"/>
      <w:r w:rsidRPr="00007C03">
        <w:rPr>
          <w:rFonts w:ascii="Times New Roman" w:hAnsi="Times New Roman" w:cs="Times New Roman"/>
          <w:b/>
          <w:bCs/>
          <w:lang w:val="bg-BG" w:bidi="en-US"/>
        </w:rPr>
        <w:t>Разходи за научноизследователска и развойна дейност</w:t>
      </w:r>
      <w:r w:rsidR="001F5C22" w:rsidRPr="00007C03">
        <w:rPr>
          <w:rFonts w:ascii="Times New Roman" w:hAnsi="Times New Roman" w:cs="Times New Roman"/>
          <w:b/>
          <w:bCs/>
          <w:lang w:val="bg-BG" w:bidi="en-US"/>
        </w:rPr>
        <w:t xml:space="preserve"> и финансиране.</w:t>
      </w:r>
      <w:bookmarkEnd w:id="13"/>
    </w:p>
    <w:p w14:paraId="61860CEA" w14:textId="77777777" w:rsidR="005E764F" w:rsidRPr="005E764F" w:rsidRDefault="005E764F" w:rsidP="005E764F">
      <w:pPr>
        <w:spacing w:after="127" w:line="360" w:lineRule="auto"/>
        <w:ind w:right="2" w:firstLine="360"/>
        <w:jc w:val="both"/>
        <w:rPr>
          <w:rFonts w:cs="Times New Roman"/>
          <w:szCs w:val="24"/>
          <w:lang w:val="bg-BG" w:bidi="en-US"/>
        </w:rPr>
      </w:pPr>
      <w:r w:rsidRPr="005E764F">
        <w:rPr>
          <w:rFonts w:cs="Times New Roman"/>
          <w:szCs w:val="24"/>
          <w:lang w:val="bg-BG" w:bidi="en-US"/>
        </w:rPr>
        <w:t xml:space="preserve">Анализът на данните показва, че иновационната активност на България продължава да се ограничава от ниския относителен обем на инвестициите в НИРД. През 2024 г. </w:t>
      </w:r>
      <w:r>
        <w:rPr>
          <w:rFonts w:cs="Times New Roman"/>
          <w:szCs w:val="24"/>
          <w:lang w:val="bg-BG" w:bidi="en-US"/>
        </w:rPr>
        <w:t xml:space="preserve">по предварителни данни </w:t>
      </w:r>
      <w:r w:rsidRPr="005E764F">
        <w:rPr>
          <w:rFonts w:cs="Times New Roman"/>
          <w:szCs w:val="24"/>
          <w:lang w:val="bg-BG" w:bidi="en-US"/>
        </w:rPr>
        <w:t>разходите за научноизследователска и развойна дейност в България достигат 1,574</w:t>
      </w:r>
      <w:r>
        <w:rPr>
          <w:rFonts w:cs="Times New Roman"/>
          <w:szCs w:val="24"/>
          <w:lang w:val="bg-BG" w:bidi="en-US"/>
        </w:rPr>
        <w:t> </w:t>
      </w:r>
      <w:r w:rsidRPr="005E764F">
        <w:rPr>
          <w:rFonts w:cs="Times New Roman"/>
          <w:szCs w:val="24"/>
          <w:lang w:val="bg-BG" w:bidi="en-US"/>
        </w:rPr>
        <w:t>млрд.</w:t>
      </w:r>
      <w:r>
        <w:rPr>
          <w:rFonts w:cs="Times New Roman"/>
          <w:szCs w:val="24"/>
          <w:lang w:val="bg-BG" w:bidi="en-US"/>
        </w:rPr>
        <w:t> </w:t>
      </w:r>
      <w:r w:rsidRPr="005E764F">
        <w:rPr>
          <w:rFonts w:cs="Times New Roman"/>
          <w:szCs w:val="24"/>
          <w:lang w:val="bg-BG" w:bidi="en-US"/>
        </w:rPr>
        <w:t>лв., което представлява 0,77% от БВП. Въпреки абсолютното увеличение с 7,3% спрямо 2023 г., интензивността отбелязва лек спад от 0,79% през 2023 г. Този показател остава почти три пъти по-нисък от средното равнище за Европейския съюз, което през 2023 г. достига 2,2</w:t>
      </w:r>
      <w:r w:rsidR="00517434">
        <w:rPr>
          <w:rFonts w:cs="Times New Roman"/>
          <w:szCs w:val="24"/>
          <w:lang w:bidi="en-US"/>
        </w:rPr>
        <w:t>6</w:t>
      </w:r>
      <w:r w:rsidRPr="005E764F">
        <w:rPr>
          <w:rFonts w:cs="Times New Roman"/>
          <w:szCs w:val="24"/>
          <w:lang w:val="bg-BG" w:bidi="en-US"/>
        </w:rPr>
        <w:t xml:space="preserve">% от БВП, и над </w:t>
      </w:r>
      <w:r w:rsidR="000001CD">
        <w:rPr>
          <w:rFonts w:cs="Times New Roman"/>
          <w:szCs w:val="24"/>
          <w:lang w:val="bg-BG" w:bidi="en-US"/>
        </w:rPr>
        <w:t>пет</w:t>
      </w:r>
      <w:r w:rsidRPr="005E764F">
        <w:rPr>
          <w:rFonts w:cs="Times New Roman"/>
          <w:szCs w:val="24"/>
          <w:lang w:val="bg-BG" w:bidi="en-US"/>
        </w:rPr>
        <w:t xml:space="preserve"> пъти под новата амбиция на ЕС за 4% от БВП до 2030 г.</w:t>
      </w:r>
    </w:p>
    <w:p w14:paraId="6EAA4DD0" w14:textId="77777777" w:rsidR="005E764F" w:rsidRPr="005E764F" w:rsidRDefault="005E764F" w:rsidP="005E764F">
      <w:pPr>
        <w:spacing w:after="127" w:line="360" w:lineRule="auto"/>
        <w:ind w:right="2" w:firstLine="360"/>
        <w:jc w:val="both"/>
        <w:rPr>
          <w:rFonts w:cs="Times New Roman"/>
          <w:szCs w:val="24"/>
          <w:lang w:val="bg-BG" w:bidi="en-US"/>
        </w:rPr>
      </w:pPr>
      <w:r w:rsidRPr="005E764F">
        <w:rPr>
          <w:rFonts w:cs="Times New Roman"/>
          <w:szCs w:val="24"/>
          <w:lang w:val="bg-BG" w:bidi="en-US"/>
        </w:rPr>
        <w:t xml:space="preserve">За сравнение, през 2013 г. разходите за НИРД на България са възлизали на </w:t>
      </w:r>
      <w:r w:rsidR="00C504E4" w:rsidRPr="00C504E4">
        <w:rPr>
          <w:rFonts w:cs="Times New Roman"/>
          <w:szCs w:val="24"/>
          <w:lang w:val="bg-BG" w:bidi="en-US"/>
        </w:rPr>
        <w:t>521,7</w:t>
      </w:r>
      <w:r>
        <w:rPr>
          <w:rFonts w:cs="Times New Roman"/>
          <w:szCs w:val="24"/>
          <w:lang w:val="bg-BG" w:bidi="en-US"/>
        </w:rPr>
        <w:t> </w:t>
      </w:r>
      <w:r w:rsidRPr="005E764F">
        <w:rPr>
          <w:rFonts w:cs="Times New Roman"/>
          <w:szCs w:val="24"/>
          <w:lang w:val="bg-BG" w:bidi="en-US"/>
        </w:rPr>
        <w:t>млн.</w:t>
      </w:r>
      <w:r w:rsidR="00C504E4">
        <w:rPr>
          <w:rFonts w:cs="Times New Roman"/>
          <w:szCs w:val="24"/>
          <w:lang w:val="bg-BG" w:bidi="en-US"/>
        </w:rPr>
        <w:t> </w:t>
      </w:r>
      <w:r w:rsidRPr="005E764F">
        <w:rPr>
          <w:rFonts w:cs="Times New Roman"/>
          <w:szCs w:val="24"/>
          <w:lang w:val="bg-BG" w:bidi="en-US"/>
        </w:rPr>
        <w:t>лв. Страната продължава да е сред петте държави в ЕС с интензитет на НИРД под 1% от БВП (заедно с Румъния, Малта, Кипър и Латвия). За сравнение, водещи иноватори като Швеция и Белгия инвестират над 3% от БВП в научно-развойна дейност. Динамиката за последното десетилетие показва слаб възходящ тренд – през 2013 г. интензивността на НИРД у нас е била 0,63%, т.е. за 10 години се отчита увеличение с едва 0,1</w:t>
      </w:r>
      <w:r w:rsidR="00851A42">
        <w:rPr>
          <w:rFonts w:cs="Times New Roman"/>
          <w:szCs w:val="24"/>
          <w:lang w:val="bg-BG" w:bidi="en-US"/>
        </w:rPr>
        <w:t>6</w:t>
      </w:r>
      <w:r w:rsidRPr="005E764F">
        <w:rPr>
          <w:rFonts w:cs="Times New Roman"/>
          <w:szCs w:val="24"/>
          <w:lang w:val="bg-BG" w:bidi="en-US"/>
        </w:rPr>
        <w:t xml:space="preserve"> процентни пункта. Забележимо е, че в предкризисния период България е имала моментен пик на инвестициите – например през 2015 г. разходите за НИРД достигат 0,95% от БВП, но впоследствие спадат и към 2019–2020 г. се задържат около 0,84–0,85%, преди отново да слязат до 0,75% през 2022 г. Това означава, че националната цел за 2% интензитет на НИРД към 2025 г. е все по-трудно постижима при сегашните темпове.​</w:t>
      </w:r>
    </w:p>
    <w:p w14:paraId="1678187B" w14:textId="77777777" w:rsidR="005E764F" w:rsidRPr="005E764F" w:rsidRDefault="005E764F" w:rsidP="005E764F">
      <w:pPr>
        <w:spacing w:after="127" w:line="360" w:lineRule="auto"/>
        <w:ind w:right="2" w:firstLine="360"/>
        <w:jc w:val="both"/>
        <w:rPr>
          <w:rFonts w:cs="Times New Roman"/>
          <w:szCs w:val="24"/>
          <w:lang w:val="bg-BG" w:bidi="en-US"/>
        </w:rPr>
      </w:pPr>
    </w:p>
    <w:p w14:paraId="184FDA29" w14:textId="77777777" w:rsidR="005E764F" w:rsidRPr="005E764F" w:rsidRDefault="005E764F" w:rsidP="005E764F">
      <w:pPr>
        <w:spacing w:after="127" w:line="360" w:lineRule="auto"/>
        <w:ind w:right="2" w:firstLine="360"/>
        <w:jc w:val="both"/>
        <w:rPr>
          <w:rFonts w:cs="Times New Roman"/>
          <w:szCs w:val="24"/>
          <w:lang w:val="bg-BG" w:bidi="en-US"/>
        </w:rPr>
      </w:pPr>
      <w:r w:rsidRPr="005E764F">
        <w:rPr>
          <w:rFonts w:cs="Times New Roman"/>
          <w:szCs w:val="24"/>
          <w:lang w:val="bg-BG" w:bidi="en-US"/>
        </w:rPr>
        <w:t xml:space="preserve">В абсолютен план през 2024 г. </w:t>
      </w:r>
      <w:r>
        <w:rPr>
          <w:rFonts w:cs="Times New Roman"/>
          <w:szCs w:val="24"/>
          <w:lang w:val="bg-BG" w:bidi="en-US"/>
        </w:rPr>
        <w:t xml:space="preserve">по предварителни данни </w:t>
      </w:r>
      <w:r w:rsidRPr="005E764F">
        <w:rPr>
          <w:rFonts w:cs="Times New Roman"/>
          <w:szCs w:val="24"/>
          <w:lang w:val="bg-BG" w:bidi="en-US"/>
        </w:rPr>
        <w:t xml:space="preserve">има нарастване на средствата за наука – вложените 1,574 млрд. лв. са с 7,3% повече спрямо 2023 г., като увеличението се наблюдава във всички сектори, но със забавяне на темпа на растеж (от 15,9% през 2023 г. и 17,8% през 2022 г.). Структурата на </w:t>
      </w:r>
      <w:r w:rsidR="001C0D6C">
        <w:rPr>
          <w:rFonts w:cs="Times New Roman"/>
          <w:szCs w:val="24"/>
          <w:lang w:val="bg-BG" w:bidi="en-US"/>
        </w:rPr>
        <w:t xml:space="preserve">разходите за НИРД по институционални сектори </w:t>
      </w:r>
      <w:r w:rsidR="00C96E00">
        <w:rPr>
          <w:rFonts w:cs="Times New Roman"/>
          <w:szCs w:val="24"/>
          <w:lang w:val="bg-BG" w:bidi="en-US"/>
        </w:rPr>
        <w:t xml:space="preserve"> </w:t>
      </w:r>
      <w:r w:rsidRPr="005E764F">
        <w:rPr>
          <w:rFonts w:cs="Times New Roman"/>
          <w:szCs w:val="24"/>
          <w:lang w:val="bg-BG" w:bidi="en-US"/>
        </w:rPr>
        <w:t>показва доминираща роля на бизнеса: близо 65,1% (</w:t>
      </w:r>
      <w:r w:rsidR="00E21966">
        <w:rPr>
          <w:rFonts w:cs="Times New Roman"/>
          <w:szCs w:val="24"/>
          <w:lang w:val="bg-BG" w:bidi="en-US"/>
        </w:rPr>
        <w:t>~</w:t>
      </w:r>
      <w:r w:rsidRPr="005E764F">
        <w:rPr>
          <w:rFonts w:cs="Times New Roman"/>
          <w:szCs w:val="24"/>
          <w:lang w:val="bg-BG" w:bidi="en-US"/>
        </w:rPr>
        <w:t>1</w:t>
      </w:r>
      <w:r w:rsidR="00E21966">
        <w:rPr>
          <w:rFonts w:cs="Times New Roman"/>
          <w:szCs w:val="24"/>
          <w:lang w:val="bg-BG" w:bidi="en-US"/>
        </w:rPr>
        <w:t xml:space="preserve">,025 млрд. </w:t>
      </w:r>
      <w:r w:rsidRPr="005E764F">
        <w:rPr>
          <w:rFonts w:cs="Times New Roman"/>
          <w:szCs w:val="24"/>
          <w:lang w:val="bg-BG" w:bidi="en-US"/>
        </w:rPr>
        <w:t>лв.) от разходите за 2024 г. са осигурени от частния сектор. Около 27% (</w:t>
      </w:r>
      <w:r w:rsidR="008E646D">
        <w:rPr>
          <w:rFonts w:cs="Times New Roman"/>
          <w:szCs w:val="24"/>
          <w:lang w:val="bg-BG" w:bidi="en-US"/>
        </w:rPr>
        <w:t>~</w:t>
      </w:r>
      <w:r w:rsidRPr="005E764F">
        <w:rPr>
          <w:rFonts w:cs="Times New Roman"/>
          <w:szCs w:val="24"/>
          <w:lang w:val="bg-BG" w:bidi="en-US"/>
        </w:rPr>
        <w:t>424,5 млн. лв.) са публични средства (държавен сектор), а висшето образование допринася 7,4% (</w:t>
      </w:r>
      <w:r w:rsidR="00605846">
        <w:rPr>
          <w:rFonts w:cs="Times New Roman"/>
          <w:szCs w:val="24"/>
          <w:lang w:val="bg-BG" w:bidi="en-US"/>
        </w:rPr>
        <w:t>~</w:t>
      </w:r>
      <w:r w:rsidRPr="005E764F">
        <w:rPr>
          <w:rFonts w:cs="Times New Roman"/>
          <w:szCs w:val="24"/>
          <w:lang w:val="bg-BG" w:bidi="en-US"/>
        </w:rPr>
        <w:t>116,</w:t>
      </w:r>
      <w:r w:rsidR="008F24C9">
        <w:rPr>
          <w:rFonts w:cs="Times New Roman"/>
          <w:szCs w:val="24"/>
          <w:lang w:val="bg-BG" w:bidi="en-US"/>
        </w:rPr>
        <w:t>8</w:t>
      </w:r>
      <w:r w:rsidRPr="005E764F">
        <w:rPr>
          <w:rFonts w:cs="Times New Roman"/>
          <w:szCs w:val="24"/>
          <w:lang w:val="bg-BG" w:bidi="en-US"/>
        </w:rPr>
        <w:t xml:space="preserve"> млн. лв.), при 6,5% през 2023 г. Неправителствените организации осигуряват 0,5% (</w:t>
      </w:r>
      <w:r w:rsidR="00116A0D">
        <w:rPr>
          <w:rFonts w:cs="Times New Roman"/>
          <w:szCs w:val="24"/>
          <w:lang w:val="bg-BG" w:bidi="en-US"/>
        </w:rPr>
        <w:t>~</w:t>
      </w:r>
      <w:r w:rsidRPr="005E764F">
        <w:rPr>
          <w:rFonts w:cs="Times New Roman"/>
          <w:szCs w:val="24"/>
          <w:lang w:val="bg-BG" w:bidi="en-US"/>
        </w:rPr>
        <w:t>7,</w:t>
      </w:r>
      <w:r w:rsidR="008F24C9">
        <w:rPr>
          <w:rFonts w:cs="Times New Roman"/>
          <w:szCs w:val="24"/>
          <w:lang w:val="bg-BG" w:bidi="en-US"/>
        </w:rPr>
        <w:t>7</w:t>
      </w:r>
      <w:r w:rsidRPr="005E764F">
        <w:rPr>
          <w:rFonts w:cs="Times New Roman"/>
          <w:szCs w:val="24"/>
          <w:lang w:val="bg-BG" w:bidi="en-US"/>
        </w:rPr>
        <w:t xml:space="preserve"> млн. лв.). Тази структура е сходна с общата за ЕС, където предприятията осигуряват ~66% от инвестициите в НИРД, следвани от университетите (21%) и правителствата (11%). Слабост за България остава ниският абсолютен размер на вложенията, особено публично – публичните разходи (включително университетски) у нас са под 0,3% от БВП, което ограничава възможностите за големи научни проекти и инфраструктури.​</w:t>
      </w:r>
    </w:p>
    <w:p w14:paraId="4A712891" w14:textId="77777777" w:rsidR="005E764F" w:rsidRPr="005E764F" w:rsidRDefault="005E764F" w:rsidP="005E764F">
      <w:pPr>
        <w:spacing w:after="127" w:line="360" w:lineRule="auto"/>
        <w:ind w:right="2" w:firstLine="360"/>
        <w:jc w:val="both"/>
        <w:rPr>
          <w:rFonts w:cs="Times New Roman"/>
          <w:szCs w:val="24"/>
          <w:lang w:val="bg-BG" w:bidi="en-US"/>
        </w:rPr>
      </w:pPr>
      <w:r w:rsidRPr="005E764F">
        <w:rPr>
          <w:rFonts w:cs="Times New Roman"/>
          <w:szCs w:val="24"/>
          <w:lang w:val="bg-BG" w:bidi="en-US"/>
        </w:rPr>
        <w:t>През 2024 г. персоналът, зает с научноизследователска и развойна дейност, достига 26 472 души (в еквивалент на пълна заетост), което е с 4,2% повече в сравнение с 2023 г.. Броят на изследователите се увеличава със 7,6% до 17 601 души, като делът на жените в общия персонал е 48,2%.​</w:t>
      </w:r>
    </w:p>
    <w:p w14:paraId="722E1C10" w14:textId="77777777" w:rsidR="005E764F" w:rsidRPr="00E66F2E" w:rsidRDefault="005E764F" w:rsidP="005E764F">
      <w:pPr>
        <w:spacing w:after="127" w:line="360" w:lineRule="auto"/>
        <w:ind w:right="2" w:firstLine="360"/>
        <w:jc w:val="both"/>
        <w:rPr>
          <w:rFonts w:cs="Times New Roman"/>
          <w:i/>
          <w:iCs/>
          <w:szCs w:val="24"/>
          <w:lang w:val="bg-BG" w:bidi="en-US"/>
        </w:rPr>
      </w:pPr>
      <w:r w:rsidRPr="00E66F2E">
        <w:rPr>
          <w:rFonts w:cs="Times New Roman"/>
          <w:i/>
          <w:iCs/>
          <w:szCs w:val="24"/>
          <w:lang w:val="bg-BG" w:bidi="en-US"/>
        </w:rPr>
        <w:t>Сравнителна таблица: Разходи за НИРД в България (2023-2024)</w:t>
      </w:r>
      <w:r w:rsidR="00E66F2E">
        <w:rPr>
          <w:rFonts w:cs="Times New Roman"/>
          <w:i/>
          <w:iCs/>
          <w:szCs w:val="24"/>
          <w:lang w:val="bg-BG" w:bidi="en-US"/>
        </w:rPr>
        <w:t>:</w:t>
      </w:r>
    </w:p>
    <w:tbl>
      <w:tblPr>
        <w:tblStyle w:val="GridTable4-Accent1"/>
        <w:tblW w:w="5566" w:type="pct"/>
        <w:tblInd w:w="-526" w:type="dxa"/>
        <w:tblLook w:val="04A0" w:firstRow="1" w:lastRow="0" w:firstColumn="1" w:lastColumn="0" w:noHBand="0" w:noVBand="1"/>
      </w:tblPr>
      <w:tblGrid>
        <w:gridCol w:w="2642"/>
        <w:gridCol w:w="2449"/>
        <w:gridCol w:w="3117"/>
        <w:gridCol w:w="1886"/>
      </w:tblGrid>
      <w:tr w:rsidR="005D2EBB" w:rsidRPr="00E21CBB" w14:paraId="6AE2E07C" w14:textId="77777777" w:rsidTr="003D0F5A">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309" w:type="pct"/>
            <w:hideMark/>
          </w:tcPr>
          <w:p w14:paraId="6DF78666" w14:textId="77777777" w:rsidR="00CC0E0C" w:rsidRPr="00CC0E0C" w:rsidRDefault="00CC0E0C" w:rsidP="00AA56AD">
            <w:pPr>
              <w:jc w:val="center"/>
              <w:rPr>
                <w:rFonts w:cs="Times New Roman"/>
                <w:b w:val="0"/>
                <w:bCs w:val="0"/>
                <w:szCs w:val="24"/>
                <w:lang w:val="bg-BG" w:bidi="en-US"/>
              </w:rPr>
            </w:pPr>
            <w:r w:rsidRPr="00CC0E0C">
              <w:rPr>
                <w:rFonts w:cs="Times New Roman"/>
                <w:szCs w:val="24"/>
                <w:lang w:val="bg-BG" w:bidi="en-US"/>
              </w:rPr>
              <w:t>Показател</w:t>
            </w:r>
          </w:p>
        </w:tc>
        <w:tc>
          <w:tcPr>
            <w:tcW w:w="1213" w:type="pct"/>
            <w:hideMark/>
          </w:tcPr>
          <w:p w14:paraId="4BEBE92C" w14:textId="77777777" w:rsidR="00CC0E0C" w:rsidRPr="00CC0E0C" w:rsidRDefault="00CC0E0C" w:rsidP="00AA56AD">
            <w:pPr>
              <w:ind w:firstLine="25"/>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4"/>
                <w:lang w:val="bg-BG" w:bidi="en-US"/>
              </w:rPr>
            </w:pPr>
            <w:r w:rsidRPr="00CC0E0C">
              <w:rPr>
                <w:rFonts w:cs="Times New Roman"/>
                <w:szCs w:val="24"/>
                <w:lang w:val="bg-BG" w:bidi="en-US"/>
              </w:rPr>
              <w:t>2023 г.</w:t>
            </w:r>
          </w:p>
        </w:tc>
        <w:tc>
          <w:tcPr>
            <w:tcW w:w="1544" w:type="pct"/>
            <w:hideMark/>
          </w:tcPr>
          <w:p w14:paraId="345D090A" w14:textId="77777777" w:rsidR="00AA56AD" w:rsidRPr="00E21CBB" w:rsidRDefault="00CC0E0C" w:rsidP="00AA56AD">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4"/>
                <w:lang w:val="bg-BG" w:bidi="en-US"/>
              </w:rPr>
            </w:pPr>
            <w:r w:rsidRPr="00CC0E0C">
              <w:rPr>
                <w:rFonts w:cs="Times New Roman"/>
                <w:szCs w:val="24"/>
                <w:lang w:val="bg-BG" w:bidi="en-US"/>
              </w:rPr>
              <w:t xml:space="preserve">2024 г. </w:t>
            </w:r>
          </w:p>
          <w:p w14:paraId="7030861E" w14:textId="77777777" w:rsidR="00CC0E0C" w:rsidRPr="00CC0E0C" w:rsidRDefault="00CC0E0C" w:rsidP="00AA56AD">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4"/>
                <w:lang w:val="bg-BG" w:bidi="en-US"/>
              </w:rPr>
            </w:pPr>
            <w:r w:rsidRPr="00CC0E0C">
              <w:rPr>
                <w:rFonts w:cs="Times New Roman"/>
                <w:szCs w:val="24"/>
                <w:lang w:val="bg-BG" w:bidi="en-US"/>
              </w:rPr>
              <w:t>(</w:t>
            </w:r>
            <w:proofErr w:type="spellStart"/>
            <w:r w:rsidRPr="00CC0E0C">
              <w:rPr>
                <w:rFonts w:cs="Times New Roman"/>
                <w:szCs w:val="24"/>
                <w:lang w:val="bg-BG" w:bidi="en-US"/>
              </w:rPr>
              <w:t>пред</w:t>
            </w:r>
            <w:r w:rsidR="00AA56AD" w:rsidRPr="00E21CBB">
              <w:rPr>
                <w:rFonts w:cs="Times New Roman"/>
                <w:szCs w:val="24"/>
                <w:lang w:val="bg-BG" w:bidi="en-US"/>
              </w:rPr>
              <w:t>в</w:t>
            </w:r>
            <w:proofErr w:type="spellEnd"/>
            <w:r w:rsidR="00AA56AD" w:rsidRPr="00E21CBB">
              <w:rPr>
                <w:rFonts w:cs="Times New Roman"/>
                <w:szCs w:val="24"/>
                <w:lang w:val="bg-BG" w:bidi="en-US"/>
              </w:rPr>
              <w:t>. данни</w:t>
            </w:r>
            <w:r w:rsidRPr="00CC0E0C">
              <w:rPr>
                <w:rFonts w:cs="Times New Roman"/>
                <w:szCs w:val="24"/>
                <w:lang w:val="bg-BG" w:bidi="en-US"/>
              </w:rPr>
              <w:t>)</w:t>
            </w:r>
          </w:p>
        </w:tc>
        <w:tc>
          <w:tcPr>
            <w:tcW w:w="934" w:type="pct"/>
            <w:hideMark/>
          </w:tcPr>
          <w:p w14:paraId="109623AA" w14:textId="77777777" w:rsidR="00CC0E0C" w:rsidRPr="00CC0E0C" w:rsidRDefault="00CC0E0C" w:rsidP="00AA56AD">
            <w:pPr>
              <w:ind w:hanging="67"/>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4"/>
                <w:lang w:val="bg-BG" w:bidi="en-US"/>
              </w:rPr>
            </w:pPr>
            <w:r w:rsidRPr="00CC0E0C">
              <w:rPr>
                <w:rFonts w:cs="Times New Roman"/>
                <w:szCs w:val="24"/>
                <w:lang w:val="bg-BG" w:bidi="en-US"/>
              </w:rPr>
              <w:t>Промяна</w:t>
            </w:r>
          </w:p>
        </w:tc>
      </w:tr>
      <w:tr w:rsidR="00275300" w:rsidRPr="00E21CBB" w14:paraId="29D43F4E" w14:textId="77777777" w:rsidTr="003D0F5A">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309" w:type="pct"/>
            <w:hideMark/>
          </w:tcPr>
          <w:p w14:paraId="1CCAE9F0" w14:textId="77777777" w:rsidR="00CC0E0C" w:rsidRPr="00CC0E0C" w:rsidRDefault="00CC0E0C" w:rsidP="00F67FA7">
            <w:pPr>
              <w:jc w:val="center"/>
              <w:rPr>
                <w:rFonts w:cs="Times New Roman"/>
                <w:szCs w:val="24"/>
                <w:lang w:val="bg-BG" w:bidi="en-US"/>
              </w:rPr>
            </w:pPr>
            <w:r w:rsidRPr="00CC0E0C">
              <w:rPr>
                <w:rFonts w:cs="Times New Roman"/>
                <w:szCs w:val="24"/>
                <w:lang w:val="bg-BG" w:bidi="en-US"/>
              </w:rPr>
              <w:t>Общи разходи за НИРД</w:t>
            </w:r>
          </w:p>
        </w:tc>
        <w:tc>
          <w:tcPr>
            <w:tcW w:w="1213" w:type="pct"/>
            <w:hideMark/>
          </w:tcPr>
          <w:p w14:paraId="2F7D5D74" w14:textId="77777777" w:rsidR="00CC0E0C" w:rsidRPr="00CC0E0C" w:rsidRDefault="00CC0E0C" w:rsidP="00F67FA7">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CC0E0C">
              <w:rPr>
                <w:rFonts w:cs="Times New Roman"/>
                <w:szCs w:val="24"/>
                <w:lang w:val="bg-BG" w:bidi="en-US"/>
              </w:rPr>
              <w:t>1,467 млрд. лв.</w:t>
            </w:r>
          </w:p>
        </w:tc>
        <w:tc>
          <w:tcPr>
            <w:tcW w:w="1544" w:type="pct"/>
            <w:hideMark/>
          </w:tcPr>
          <w:p w14:paraId="7776E6A1" w14:textId="77777777" w:rsidR="00CC0E0C" w:rsidRPr="00CC0E0C" w:rsidRDefault="00CC0E0C" w:rsidP="00F67FA7">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CC0E0C">
              <w:rPr>
                <w:rFonts w:cs="Times New Roman"/>
                <w:szCs w:val="24"/>
                <w:lang w:val="bg-BG" w:bidi="en-US"/>
              </w:rPr>
              <w:t>1,574 млрд. лв.</w:t>
            </w:r>
          </w:p>
        </w:tc>
        <w:tc>
          <w:tcPr>
            <w:tcW w:w="934" w:type="pct"/>
            <w:hideMark/>
          </w:tcPr>
          <w:p w14:paraId="277AB73C" w14:textId="77777777" w:rsidR="00CC0E0C" w:rsidRPr="00CC0E0C" w:rsidRDefault="00CC0E0C" w:rsidP="00F67FA7">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CC0E0C">
              <w:rPr>
                <w:rFonts w:cs="Times New Roman"/>
                <w:szCs w:val="24"/>
                <w:lang w:val="bg-BG" w:bidi="en-US"/>
              </w:rPr>
              <w:t>+7,3%</w:t>
            </w:r>
          </w:p>
        </w:tc>
      </w:tr>
      <w:tr w:rsidR="005D2EBB" w:rsidRPr="00E21CBB" w14:paraId="1A56BC1F" w14:textId="77777777" w:rsidTr="003D0F5A">
        <w:trPr>
          <w:trHeight w:val="712"/>
        </w:trPr>
        <w:tc>
          <w:tcPr>
            <w:cnfStyle w:val="001000000000" w:firstRow="0" w:lastRow="0" w:firstColumn="1" w:lastColumn="0" w:oddVBand="0" w:evenVBand="0" w:oddHBand="0" w:evenHBand="0" w:firstRowFirstColumn="0" w:firstRowLastColumn="0" w:lastRowFirstColumn="0" w:lastRowLastColumn="0"/>
            <w:tcW w:w="1309" w:type="pct"/>
            <w:hideMark/>
          </w:tcPr>
          <w:p w14:paraId="4E8D6A41" w14:textId="77777777" w:rsidR="00CC0E0C" w:rsidRPr="00CC0E0C" w:rsidRDefault="00CC0E0C" w:rsidP="00F67FA7">
            <w:pPr>
              <w:jc w:val="center"/>
              <w:rPr>
                <w:rFonts w:cs="Times New Roman"/>
                <w:szCs w:val="24"/>
                <w:lang w:val="bg-BG" w:bidi="en-US"/>
              </w:rPr>
            </w:pPr>
            <w:r w:rsidRPr="00CC0E0C">
              <w:rPr>
                <w:rFonts w:cs="Times New Roman"/>
                <w:szCs w:val="24"/>
                <w:lang w:val="bg-BG" w:bidi="en-US"/>
              </w:rPr>
              <w:t>Интензивност (% от БВП)</w:t>
            </w:r>
          </w:p>
        </w:tc>
        <w:tc>
          <w:tcPr>
            <w:tcW w:w="1213" w:type="pct"/>
            <w:hideMark/>
          </w:tcPr>
          <w:p w14:paraId="22320E11" w14:textId="77777777" w:rsidR="00CC0E0C" w:rsidRPr="00CC0E0C" w:rsidRDefault="00CC0E0C" w:rsidP="00F67FA7">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bg-BG" w:bidi="en-US"/>
              </w:rPr>
            </w:pPr>
            <w:r w:rsidRPr="00CC0E0C">
              <w:rPr>
                <w:rFonts w:cs="Times New Roman"/>
                <w:szCs w:val="24"/>
                <w:lang w:val="bg-BG" w:bidi="en-US"/>
              </w:rPr>
              <w:t>0,79%</w:t>
            </w:r>
          </w:p>
        </w:tc>
        <w:tc>
          <w:tcPr>
            <w:tcW w:w="1544" w:type="pct"/>
            <w:hideMark/>
          </w:tcPr>
          <w:p w14:paraId="75525C78" w14:textId="77777777" w:rsidR="00CC0E0C" w:rsidRPr="00CC0E0C" w:rsidRDefault="00CC0E0C" w:rsidP="00F67FA7">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bg-BG" w:bidi="en-US"/>
              </w:rPr>
            </w:pPr>
            <w:r w:rsidRPr="00CC0E0C">
              <w:rPr>
                <w:rFonts w:cs="Times New Roman"/>
                <w:szCs w:val="24"/>
                <w:lang w:val="bg-BG" w:bidi="en-US"/>
              </w:rPr>
              <w:t>0,77%</w:t>
            </w:r>
          </w:p>
        </w:tc>
        <w:tc>
          <w:tcPr>
            <w:tcW w:w="934" w:type="pct"/>
            <w:hideMark/>
          </w:tcPr>
          <w:p w14:paraId="73B24D91" w14:textId="77777777" w:rsidR="00CC0E0C" w:rsidRPr="00CC0E0C" w:rsidRDefault="00CC0E0C" w:rsidP="00F67FA7">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bg-BG" w:bidi="en-US"/>
              </w:rPr>
            </w:pPr>
            <w:r w:rsidRPr="00CC0E0C">
              <w:rPr>
                <w:rFonts w:cs="Times New Roman"/>
                <w:szCs w:val="24"/>
                <w:lang w:val="bg-BG" w:bidi="en-US"/>
              </w:rPr>
              <w:t>-0,02</w:t>
            </w:r>
            <w:r w:rsidR="00275300">
              <w:rPr>
                <w:rFonts w:cs="Times New Roman"/>
                <w:szCs w:val="24"/>
                <w:lang w:val="bg-BG" w:bidi="en-US"/>
              </w:rPr>
              <w:t>%</w:t>
            </w:r>
          </w:p>
        </w:tc>
      </w:tr>
      <w:tr w:rsidR="005D2EBB" w:rsidRPr="00E21CBB" w14:paraId="72396662" w14:textId="77777777" w:rsidTr="003D0F5A">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309" w:type="pct"/>
            <w:hideMark/>
          </w:tcPr>
          <w:p w14:paraId="0C7BC243" w14:textId="77777777" w:rsidR="00CC0E0C" w:rsidRPr="00CC0E0C" w:rsidRDefault="00CC0E0C" w:rsidP="00F67FA7">
            <w:pPr>
              <w:jc w:val="center"/>
              <w:rPr>
                <w:rFonts w:cs="Times New Roman"/>
                <w:szCs w:val="24"/>
                <w:lang w:val="bg-BG" w:bidi="en-US"/>
              </w:rPr>
            </w:pPr>
            <w:r w:rsidRPr="00CC0E0C">
              <w:rPr>
                <w:rFonts w:cs="Times New Roman"/>
                <w:szCs w:val="24"/>
                <w:lang w:val="bg-BG" w:bidi="en-US"/>
              </w:rPr>
              <w:t>Бизнес сектор (дял)</w:t>
            </w:r>
          </w:p>
        </w:tc>
        <w:tc>
          <w:tcPr>
            <w:tcW w:w="1213" w:type="pct"/>
            <w:hideMark/>
          </w:tcPr>
          <w:p w14:paraId="02D84562" w14:textId="77777777" w:rsidR="00CC0E0C" w:rsidRPr="00CC0E0C" w:rsidRDefault="00CC0E0C" w:rsidP="00F67FA7">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CC0E0C">
              <w:rPr>
                <w:rFonts w:cs="Times New Roman"/>
                <w:szCs w:val="24"/>
                <w:lang w:val="bg-BG" w:bidi="en-US"/>
              </w:rPr>
              <w:t>64,3% (943,8 млн. лв.)</w:t>
            </w:r>
          </w:p>
        </w:tc>
        <w:tc>
          <w:tcPr>
            <w:tcW w:w="1544" w:type="pct"/>
            <w:hideMark/>
          </w:tcPr>
          <w:p w14:paraId="3DEA6731" w14:textId="77777777" w:rsidR="00CC0E0C" w:rsidRPr="00CC0E0C" w:rsidRDefault="00CC0E0C" w:rsidP="00F67FA7">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CC0E0C">
              <w:rPr>
                <w:rFonts w:cs="Times New Roman"/>
                <w:szCs w:val="24"/>
                <w:lang w:val="bg-BG" w:bidi="en-US"/>
              </w:rPr>
              <w:t>65,1% (1,025 млрд. лв.)</w:t>
            </w:r>
          </w:p>
        </w:tc>
        <w:tc>
          <w:tcPr>
            <w:tcW w:w="934" w:type="pct"/>
            <w:hideMark/>
          </w:tcPr>
          <w:p w14:paraId="64858B2F" w14:textId="77777777" w:rsidR="00CC0E0C" w:rsidRPr="00CC0E0C" w:rsidRDefault="00CC0E0C" w:rsidP="00F67FA7">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CC0E0C">
              <w:rPr>
                <w:rFonts w:cs="Times New Roman"/>
                <w:szCs w:val="24"/>
                <w:lang w:val="bg-BG" w:bidi="en-US"/>
              </w:rPr>
              <w:t>+0,8</w:t>
            </w:r>
            <w:r w:rsidR="00275300">
              <w:rPr>
                <w:rFonts w:cs="Times New Roman"/>
                <w:szCs w:val="24"/>
                <w:lang w:val="bg-BG" w:bidi="en-US"/>
              </w:rPr>
              <w:t>%</w:t>
            </w:r>
          </w:p>
        </w:tc>
      </w:tr>
      <w:tr w:rsidR="005D2EBB" w:rsidRPr="00E21CBB" w14:paraId="6D643CC0" w14:textId="77777777" w:rsidTr="003D0F5A">
        <w:trPr>
          <w:trHeight w:val="728"/>
        </w:trPr>
        <w:tc>
          <w:tcPr>
            <w:cnfStyle w:val="001000000000" w:firstRow="0" w:lastRow="0" w:firstColumn="1" w:lastColumn="0" w:oddVBand="0" w:evenVBand="0" w:oddHBand="0" w:evenHBand="0" w:firstRowFirstColumn="0" w:firstRowLastColumn="0" w:lastRowFirstColumn="0" w:lastRowLastColumn="0"/>
            <w:tcW w:w="1309" w:type="pct"/>
            <w:hideMark/>
          </w:tcPr>
          <w:p w14:paraId="1F19B56A" w14:textId="77777777" w:rsidR="00CC0E0C" w:rsidRPr="00CC0E0C" w:rsidRDefault="00CC0E0C" w:rsidP="00F67FA7">
            <w:pPr>
              <w:jc w:val="center"/>
              <w:rPr>
                <w:rFonts w:cs="Times New Roman"/>
                <w:szCs w:val="24"/>
                <w:lang w:val="bg-BG" w:bidi="en-US"/>
              </w:rPr>
            </w:pPr>
            <w:r w:rsidRPr="00CC0E0C">
              <w:rPr>
                <w:rFonts w:cs="Times New Roman"/>
                <w:szCs w:val="24"/>
                <w:lang w:val="bg-BG" w:bidi="en-US"/>
              </w:rPr>
              <w:t>Държавен сектор (дял)</w:t>
            </w:r>
          </w:p>
        </w:tc>
        <w:tc>
          <w:tcPr>
            <w:tcW w:w="1213" w:type="pct"/>
            <w:hideMark/>
          </w:tcPr>
          <w:p w14:paraId="38516811" w14:textId="77777777" w:rsidR="00CC0E0C" w:rsidRPr="00CC0E0C" w:rsidRDefault="00CC0E0C" w:rsidP="00F67FA7">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bg-BG" w:bidi="en-US"/>
              </w:rPr>
            </w:pPr>
            <w:r w:rsidRPr="00CC0E0C">
              <w:rPr>
                <w:rFonts w:cs="Times New Roman"/>
                <w:szCs w:val="24"/>
                <w:lang w:val="bg-BG" w:bidi="en-US"/>
              </w:rPr>
              <w:t>28,7% (421,8 млн. лв.)</w:t>
            </w:r>
          </w:p>
        </w:tc>
        <w:tc>
          <w:tcPr>
            <w:tcW w:w="1544" w:type="pct"/>
            <w:hideMark/>
          </w:tcPr>
          <w:p w14:paraId="261235BC" w14:textId="77777777" w:rsidR="00CC0E0C" w:rsidRPr="00CC0E0C" w:rsidRDefault="00CC0E0C" w:rsidP="00F67FA7">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bg-BG" w:bidi="en-US"/>
              </w:rPr>
            </w:pPr>
            <w:r w:rsidRPr="00CC0E0C">
              <w:rPr>
                <w:rFonts w:cs="Times New Roman"/>
                <w:szCs w:val="24"/>
                <w:lang w:val="bg-BG" w:bidi="en-US"/>
              </w:rPr>
              <w:t>27,0% (424,5 млн. лв.)</w:t>
            </w:r>
          </w:p>
        </w:tc>
        <w:tc>
          <w:tcPr>
            <w:tcW w:w="934" w:type="pct"/>
            <w:hideMark/>
          </w:tcPr>
          <w:p w14:paraId="23A433CE" w14:textId="77777777" w:rsidR="00CC0E0C" w:rsidRPr="00CC0E0C" w:rsidRDefault="00CC0E0C" w:rsidP="00F67FA7">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bg-BG" w:bidi="en-US"/>
              </w:rPr>
            </w:pPr>
            <w:r w:rsidRPr="00CC0E0C">
              <w:rPr>
                <w:rFonts w:cs="Times New Roman"/>
                <w:szCs w:val="24"/>
                <w:lang w:val="bg-BG" w:bidi="en-US"/>
              </w:rPr>
              <w:t>-1,7</w:t>
            </w:r>
            <w:r w:rsidR="00275300">
              <w:rPr>
                <w:rFonts w:cs="Times New Roman"/>
                <w:szCs w:val="24"/>
                <w:lang w:val="bg-BG" w:bidi="en-US"/>
              </w:rPr>
              <w:t>%</w:t>
            </w:r>
          </w:p>
        </w:tc>
      </w:tr>
      <w:tr w:rsidR="005D2EBB" w:rsidRPr="00E21CBB" w14:paraId="723C1303" w14:textId="77777777" w:rsidTr="003D0F5A">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309" w:type="pct"/>
            <w:hideMark/>
          </w:tcPr>
          <w:p w14:paraId="397B8690" w14:textId="77777777" w:rsidR="00CC0E0C" w:rsidRPr="00CC0E0C" w:rsidRDefault="00CC0E0C" w:rsidP="00F67FA7">
            <w:pPr>
              <w:jc w:val="center"/>
              <w:rPr>
                <w:rFonts w:cs="Times New Roman"/>
                <w:szCs w:val="24"/>
                <w:lang w:val="bg-BG" w:bidi="en-US"/>
              </w:rPr>
            </w:pPr>
            <w:r w:rsidRPr="00CC0E0C">
              <w:rPr>
                <w:rFonts w:cs="Times New Roman"/>
                <w:szCs w:val="24"/>
                <w:lang w:val="bg-BG" w:bidi="en-US"/>
              </w:rPr>
              <w:t>Висше образование (дял)</w:t>
            </w:r>
          </w:p>
        </w:tc>
        <w:tc>
          <w:tcPr>
            <w:tcW w:w="1213" w:type="pct"/>
            <w:hideMark/>
          </w:tcPr>
          <w:p w14:paraId="52E6230B" w14:textId="77777777" w:rsidR="00CC0E0C" w:rsidRPr="00CC0E0C" w:rsidRDefault="00CC0E0C" w:rsidP="00F67FA7">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CC0E0C">
              <w:rPr>
                <w:rFonts w:cs="Times New Roman"/>
                <w:szCs w:val="24"/>
                <w:lang w:val="bg-BG" w:bidi="en-US"/>
              </w:rPr>
              <w:t>6,5% (95,3 млн. лв.)</w:t>
            </w:r>
          </w:p>
        </w:tc>
        <w:tc>
          <w:tcPr>
            <w:tcW w:w="1544" w:type="pct"/>
            <w:hideMark/>
          </w:tcPr>
          <w:p w14:paraId="61DB49F1" w14:textId="77777777" w:rsidR="00CC0E0C" w:rsidRPr="00CC0E0C" w:rsidRDefault="00CC0E0C" w:rsidP="00F67FA7">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CC0E0C">
              <w:rPr>
                <w:rFonts w:cs="Times New Roman"/>
                <w:szCs w:val="24"/>
                <w:lang w:val="bg-BG" w:bidi="en-US"/>
              </w:rPr>
              <w:t>7,4% (116,8 млн. лв.)</w:t>
            </w:r>
          </w:p>
        </w:tc>
        <w:tc>
          <w:tcPr>
            <w:tcW w:w="934" w:type="pct"/>
            <w:hideMark/>
          </w:tcPr>
          <w:p w14:paraId="34B08070" w14:textId="77777777" w:rsidR="00CC0E0C" w:rsidRPr="00CC0E0C" w:rsidRDefault="00CC0E0C" w:rsidP="00F67FA7">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CC0E0C">
              <w:rPr>
                <w:rFonts w:cs="Times New Roman"/>
                <w:szCs w:val="24"/>
                <w:lang w:val="bg-BG" w:bidi="en-US"/>
              </w:rPr>
              <w:t>+0,9</w:t>
            </w:r>
            <w:r w:rsidR="00275300">
              <w:rPr>
                <w:rFonts w:cs="Times New Roman"/>
                <w:szCs w:val="24"/>
                <w:lang w:val="bg-BG" w:bidi="en-US"/>
              </w:rPr>
              <w:t>%</w:t>
            </w:r>
          </w:p>
        </w:tc>
      </w:tr>
      <w:tr w:rsidR="005D2EBB" w:rsidRPr="00E21CBB" w14:paraId="7FC1468D" w14:textId="77777777" w:rsidTr="003D0F5A">
        <w:trPr>
          <w:trHeight w:val="728"/>
        </w:trPr>
        <w:tc>
          <w:tcPr>
            <w:cnfStyle w:val="001000000000" w:firstRow="0" w:lastRow="0" w:firstColumn="1" w:lastColumn="0" w:oddVBand="0" w:evenVBand="0" w:oddHBand="0" w:evenHBand="0" w:firstRowFirstColumn="0" w:firstRowLastColumn="0" w:lastRowFirstColumn="0" w:lastRowLastColumn="0"/>
            <w:tcW w:w="1309" w:type="pct"/>
            <w:hideMark/>
          </w:tcPr>
          <w:p w14:paraId="05B2617D" w14:textId="77777777" w:rsidR="00CC0E0C" w:rsidRPr="00CC0E0C" w:rsidRDefault="00CC0E0C" w:rsidP="00F67FA7">
            <w:pPr>
              <w:jc w:val="center"/>
              <w:rPr>
                <w:rFonts w:cs="Times New Roman"/>
                <w:szCs w:val="24"/>
                <w:lang w:val="bg-BG" w:bidi="en-US"/>
              </w:rPr>
            </w:pPr>
            <w:r w:rsidRPr="00CC0E0C">
              <w:rPr>
                <w:rFonts w:cs="Times New Roman"/>
                <w:szCs w:val="24"/>
                <w:lang w:val="bg-BG" w:bidi="en-US"/>
              </w:rPr>
              <w:t>Персонал в НИРД (брой)</w:t>
            </w:r>
          </w:p>
        </w:tc>
        <w:tc>
          <w:tcPr>
            <w:tcW w:w="1213" w:type="pct"/>
            <w:hideMark/>
          </w:tcPr>
          <w:p w14:paraId="2752B494" w14:textId="77777777" w:rsidR="00CC0E0C" w:rsidRPr="00CC0E0C" w:rsidRDefault="00CC0E0C" w:rsidP="00F67FA7">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bg-BG" w:bidi="en-US"/>
              </w:rPr>
            </w:pPr>
            <w:r w:rsidRPr="00CC0E0C">
              <w:rPr>
                <w:rFonts w:cs="Times New Roman"/>
                <w:szCs w:val="24"/>
                <w:lang w:val="bg-BG" w:bidi="en-US"/>
              </w:rPr>
              <w:t>25 406 души</w:t>
            </w:r>
          </w:p>
        </w:tc>
        <w:tc>
          <w:tcPr>
            <w:tcW w:w="1544" w:type="pct"/>
            <w:hideMark/>
          </w:tcPr>
          <w:p w14:paraId="2AE66623" w14:textId="77777777" w:rsidR="00CC0E0C" w:rsidRPr="00CC0E0C" w:rsidRDefault="00CC0E0C" w:rsidP="00F67FA7">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bg-BG" w:bidi="en-US"/>
              </w:rPr>
            </w:pPr>
            <w:r w:rsidRPr="00CC0E0C">
              <w:rPr>
                <w:rFonts w:cs="Times New Roman"/>
                <w:szCs w:val="24"/>
                <w:lang w:val="bg-BG" w:bidi="en-US"/>
              </w:rPr>
              <w:t>26 472 души</w:t>
            </w:r>
          </w:p>
        </w:tc>
        <w:tc>
          <w:tcPr>
            <w:tcW w:w="934" w:type="pct"/>
            <w:hideMark/>
          </w:tcPr>
          <w:p w14:paraId="63E9146B" w14:textId="77777777" w:rsidR="00CC0E0C" w:rsidRPr="00CC0E0C" w:rsidRDefault="00CC0E0C" w:rsidP="00F67FA7">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bg-BG" w:bidi="en-US"/>
              </w:rPr>
            </w:pPr>
            <w:r w:rsidRPr="00CC0E0C">
              <w:rPr>
                <w:rFonts w:cs="Times New Roman"/>
                <w:szCs w:val="24"/>
                <w:lang w:val="bg-BG" w:bidi="en-US"/>
              </w:rPr>
              <w:t>+4,2%</w:t>
            </w:r>
          </w:p>
        </w:tc>
      </w:tr>
      <w:tr w:rsidR="005D2EBB" w:rsidRPr="00E21CBB" w14:paraId="365FD6F0" w14:textId="77777777" w:rsidTr="003D0F5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09" w:type="pct"/>
            <w:hideMark/>
          </w:tcPr>
          <w:p w14:paraId="34BC8ED4" w14:textId="77777777" w:rsidR="00CC0E0C" w:rsidRPr="00CC0E0C" w:rsidRDefault="00CC0E0C" w:rsidP="00F67FA7">
            <w:pPr>
              <w:jc w:val="center"/>
              <w:rPr>
                <w:rFonts w:cs="Times New Roman"/>
                <w:szCs w:val="24"/>
                <w:lang w:val="bg-BG" w:bidi="en-US"/>
              </w:rPr>
            </w:pPr>
            <w:r w:rsidRPr="00CC0E0C">
              <w:rPr>
                <w:rFonts w:cs="Times New Roman"/>
                <w:szCs w:val="24"/>
                <w:lang w:val="bg-BG" w:bidi="en-US"/>
              </w:rPr>
              <w:t>Изследователи (брой)</w:t>
            </w:r>
          </w:p>
        </w:tc>
        <w:tc>
          <w:tcPr>
            <w:tcW w:w="1213" w:type="pct"/>
            <w:hideMark/>
          </w:tcPr>
          <w:p w14:paraId="40C01B61" w14:textId="77777777" w:rsidR="00CC0E0C" w:rsidRPr="00CC0E0C" w:rsidRDefault="00CC0E0C" w:rsidP="00F67FA7">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CC0E0C">
              <w:rPr>
                <w:rFonts w:cs="Times New Roman"/>
                <w:szCs w:val="24"/>
                <w:lang w:val="bg-BG" w:bidi="en-US"/>
              </w:rPr>
              <w:t>16 356 души</w:t>
            </w:r>
          </w:p>
        </w:tc>
        <w:tc>
          <w:tcPr>
            <w:tcW w:w="1544" w:type="pct"/>
            <w:hideMark/>
          </w:tcPr>
          <w:p w14:paraId="24E73334" w14:textId="77777777" w:rsidR="00CC0E0C" w:rsidRPr="00CC0E0C" w:rsidRDefault="00CC0E0C" w:rsidP="00F67FA7">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CC0E0C">
              <w:rPr>
                <w:rFonts w:cs="Times New Roman"/>
                <w:szCs w:val="24"/>
                <w:lang w:val="bg-BG" w:bidi="en-US"/>
              </w:rPr>
              <w:t>17 601 души</w:t>
            </w:r>
          </w:p>
        </w:tc>
        <w:tc>
          <w:tcPr>
            <w:tcW w:w="934" w:type="pct"/>
            <w:hideMark/>
          </w:tcPr>
          <w:p w14:paraId="54A418FF" w14:textId="77777777" w:rsidR="00CC0E0C" w:rsidRPr="00CC0E0C" w:rsidRDefault="00CC0E0C" w:rsidP="00F67FA7">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bg-BG" w:bidi="en-US"/>
              </w:rPr>
            </w:pPr>
            <w:r w:rsidRPr="00CC0E0C">
              <w:rPr>
                <w:rFonts w:cs="Times New Roman"/>
                <w:szCs w:val="24"/>
                <w:lang w:val="bg-BG" w:bidi="en-US"/>
              </w:rPr>
              <w:t>+7,6%</w:t>
            </w:r>
          </w:p>
        </w:tc>
      </w:tr>
    </w:tbl>
    <w:p w14:paraId="15C58909" w14:textId="77777777" w:rsidR="003D0F5A" w:rsidRDefault="003D0F5A" w:rsidP="005E764F">
      <w:pPr>
        <w:spacing w:after="127" w:line="360" w:lineRule="auto"/>
        <w:ind w:right="2" w:firstLine="360"/>
        <w:jc w:val="both"/>
        <w:rPr>
          <w:rFonts w:cs="Times New Roman"/>
          <w:b/>
          <w:bCs/>
          <w:szCs w:val="24"/>
          <w:lang w:val="bg-BG" w:bidi="en-US"/>
        </w:rPr>
      </w:pPr>
    </w:p>
    <w:p w14:paraId="5626DB8F" w14:textId="77777777" w:rsidR="005E764F" w:rsidRPr="0000561D" w:rsidRDefault="005E764F" w:rsidP="005E764F">
      <w:pPr>
        <w:spacing w:after="127" w:line="360" w:lineRule="auto"/>
        <w:ind w:right="2" w:firstLine="360"/>
        <w:jc w:val="both"/>
        <w:rPr>
          <w:rFonts w:cs="Times New Roman"/>
          <w:b/>
          <w:bCs/>
          <w:szCs w:val="24"/>
          <w:lang w:val="bg-BG" w:bidi="en-US"/>
        </w:rPr>
      </w:pPr>
      <w:r w:rsidRPr="0000561D">
        <w:rPr>
          <w:rFonts w:cs="Times New Roman"/>
          <w:b/>
          <w:bCs/>
          <w:szCs w:val="24"/>
          <w:lang w:val="bg-BG" w:bidi="en-US"/>
        </w:rPr>
        <w:lastRenderedPageBreak/>
        <w:t>Контекст в рамките на Европейския съюз</w:t>
      </w:r>
    </w:p>
    <w:p w14:paraId="2BC1ED1E" w14:textId="77777777" w:rsidR="005E764F" w:rsidRDefault="005E764F" w:rsidP="005E764F">
      <w:pPr>
        <w:spacing w:after="127" w:line="360" w:lineRule="auto"/>
        <w:ind w:right="2" w:firstLine="360"/>
        <w:jc w:val="both"/>
        <w:rPr>
          <w:rFonts w:cs="Times New Roman"/>
          <w:szCs w:val="24"/>
          <w:lang w:val="bg-BG" w:bidi="en-US"/>
        </w:rPr>
      </w:pPr>
      <w:r w:rsidRPr="005E764F">
        <w:rPr>
          <w:rFonts w:cs="Times New Roman"/>
          <w:szCs w:val="24"/>
          <w:lang w:val="bg-BG" w:bidi="en-US"/>
        </w:rPr>
        <w:t>През 2024 г. България остава на второ място от дъното в ЕС по правителствени бюджетни средства за НИРД на човек от населението – едва 38,3 евро, при средно ниво за ЕС от 284,7 евро на човек. Само Румъния отчита по-ниски разходи (19,1 евро на човек). Общият бюджет на ЕС за НИРД достига 127,9 млрд. евро (0,71% от БВП), отбелязвайки ръст от 3,4% спрямо 2023 г. и от 59,5% спрямо 2014 г.. Това подчертава продължаващата значителна дистанция между България и останалите държави-членки по отношение на инвестициите в научноизследователска дейност.</w:t>
      </w:r>
      <w:r w:rsidR="00D96867" w:rsidRPr="00233A0B">
        <w:rPr>
          <w:rFonts w:cs="Times New Roman"/>
          <w:szCs w:val="24"/>
          <w:lang w:val="bg-BG" w:bidi="en-US"/>
        </w:rPr>
        <w:t xml:space="preserve"> </w:t>
      </w:r>
    </w:p>
    <w:p w14:paraId="49B26E84" w14:textId="77777777" w:rsidR="00535D96" w:rsidRPr="002735F4" w:rsidRDefault="00535D96" w:rsidP="005C5D13">
      <w:pPr>
        <w:pStyle w:val="Heading2"/>
        <w:spacing w:line="360" w:lineRule="auto"/>
        <w:rPr>
          <w:rFonts w:ascii="Times New Roman" w:hAnsi="Times New Roman" w:cs="Times New Roman"/>
          <w:b/>
          <w:bCs/>
          <w:lang w:val="bg-BG" w:bidi="en-US"/>
        </w:rPr>
      </w:pPr>
      <w:bookmarkStart w:id="14" w:name="_Toc216427810"/>
      <w:r w:rsidRPr="002735F4">
        <w:rPr>
          <w:rFonts w:ascii="Times New Roman" w:hAnsi="Times New Roman" w:cs="Times New Roman"/>
          <w:b/>
          <w:bCs/>
          <w:lang w:val="bg-BG" w:bidi="en-US"/>
        </w:rPr>
        <w:t>Човешки капитал и дигитални умения</w:t>
      </w:r>
      <w:r w:rsidR="00D96867" w:rsidRPr="002735F4">
        <w:rPr>
          <w:rFonts w:ascii="Times New Roman" w:hAnsi="Times New Roman" w:cs="Times New Roman"/>
          <w:b/>
          <w:bCs/>
          <w:lang w:val="bg-BG" w:bidi="en-US"/>
        </w:rPr>
        <w:t>.</w:t>
      </w:r>
      <w:bookmarkEnd w:id="14"/>
    </w:p>
    <w:p w14:paraId="5D4696E4" w14:textId="77777777" w:rsidR="001E7F4C" w:rsidRDefault="00D96867"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Независимо от ниските входящи инвестиции, в последните години се наблюдава известно подобрение на иновационния капацитет на страната по отделни показатели. </w:t>
      </w:r>
    </w:p>
    <w:p w14:paraId="781799F7" w14:textId="77777777" w:rsidR="00B162FB" w:rsidRDefault="00D96867" w:rsidP="005C5D13">
      <w:pPr>
        <w:spacing w:after="127" w:line="360" w:lineRule="auto"/>
        <w:ind w:right="2" w:firstLine="360"/>
        <w:jc w:val="both"/>
        <w:rPr>
          <w:rFonts w:cs="Times New Roman"/>
          <w:szCs w:val="24"/>
          <w:lang w:bidi="en-US"/>
        </w:rPr>
      </w:pPr>
      <w:r w:rsidRPr="00233A0B">
        <w:rPr>
          <w:rFonts w:cs="Times New Roman"/>
          <w:szCs w:val="24"/>
          <w:lang w:val="bg-BG" w:bidi="en-US"/>
        </w:rPr>
        <w:t xml:space="preserve">Например, </w:t>
      </w:r>
      <w:r w:rsidRPr="00233A0B">
        <w:rPr>
          <w:rFonts w:cs="Times New Roman"/>
          <w:b/>
          <w:bCs/>
          <w:szCs w:val="24"/>
          <w:lang w:val="bg-BG" w:bidi="en-US"/>
        </w:rPr>
        <w:t>броят на регистрираните патенти</w:t>
      </w:r>
      <w:r w:rsidRPr="00233A0B">
        <w:rPr>
          <w:rFonts w:cs="Times New Roman"/>
          <w:szCs w:val="24"/>
          <w:lang w:val="bg-BG" w:bidi="en-US"/>
        </w:rPr>
        <w:t xml:space="preserve"> расте – през 2023 г. са издадени 226 патента, което е с 6.6% повече от 2022 г. Също така делът на високотехнологичното производство и износ се увеличава: България трайно повишава продукцията си във високотехнологични отрасли, като този дял достига ~14.5% от общата индустрия (4</w:t>
      </w:r>
      <w:r w:rsidRPr="00233A0B">
        <w:rPr>
          <w:rFonts w:cs="Times New Roman"/>
          <w:szCs w:val="24"/>
          <w:lang w:bidi="en-US"/>
        </w:rPr>
        <w:t>0</w:t>
      </w:r>
      <w:r w:rsidRPr="00233A0B">
        <w:rPr>
          <w:rFonts w:cs="Times New Roman"/>
          <w:szCs w:val="24"/>
          <w:lang w:val="bg-BG" w:bidi="en-US"/>
        </w:rPr>
        <w:t xml:space="preserve">-то място в света). </w:t>
      </w:r>
    </w:p>
    <w:p w14:paraId="3C7AA393" w14:textId="77777777" w:rsidR="00D96867" w:rsidRPr="00233A0B" w:rsidRDefault="00D96867" w:rsidP="005C5D13">
      <w:pPr>
        <w:spacing w:after="127" w:line="360" w:lineRule="auto"/>
        <w:ind w:right="2" w:firstLine="360"/>
        <w:jc w:val="both"/>
        <w:rPr>
          <w:rFonts w:cs="Times New Roman"/>
          <w:szCs w:val="24"/>
          <w:lang w:val="bg-BG" w:bidi="en-US"/>
        </w:rPr>
      </w:pPr>
      <w:r w:rsidRPr="00233A0B">
        <w:rPr>
          <w:rFonts w:cs="Times New Roman"/>
          <w:b/>
          <w:bCs/>
          <w:szCs w:val="24"/>
          <w:lang w:val="bg-BG" w:bidi="en-US"/>
        </w:rPr>
        <w:t>Износът на високотехнологични продукти</w:t>
      </w:r>
      <w:r w:rsidRPr="00233A0B">
        <w:rPr>
          <w:rFonts w:cs="Times New Roman"/>
          <w:szCs w:val="24"/>
          <w:lang w:val="bg-BG" w:bidi="en-US"/>
        </w:rPr>
        <w:t xml:space="preserve"> нараства с 16.7% само за последната година, макар че делът му в общия износ остава сравнително скромен. От гледна точка на </w:t>
      </w:r>
      <w:r w:rsidRPr="00233A0B">
        <w:rPr>
          <w:rFonts w:cs="Times New Roman"/>
          <w:b/>
          <w:bCs/>
          <w:szCs w:val="24"/>
          <w:lang w:val="bg-BG" w:bidi="en-US"/>
        </w:rPr>
        <w:t>човешкия капитал</w:t>
      </w:r>
      <w:r w:rsidRPr="00233A0B">
        <w:rPr>
          <w:rFonts w:cs="Times New Roman"/>
          <w:szCs w:val="24"/>
          <w:lang w:val="bg-BG" w:bidi="en-US"/>
        </w:rPr>
        <w:t>, данните също показват смесена картина. Положително явление е значителното увеличаване на броя заети лица с висше образование</w:t>
      </w:r>
      <w:r w:rsidR="0052120F">
        <w:rPr>
          <w:rFonts w:cs="Times New Roman"/>
          <w:szCs w:val="24"/>
          <w:lang w:val="bg-BG" w:bidi="en-US"/>
        </w:rPr>
        <w:t>. С</w:t>
      </w:r>
      <w:r w:rsidR="0040263A" w:rsidRPr="0052120F">
        <w:rPr>
          <w:rFonts w:cs="Times New Roman"/>
          <w:szCs w:val="24"/>
          <w:lang w:val="bg-BG" w:bidi="en-US"/>
        </w:rPr>
        <w:t>поред годишните данни от Наблюдението на работната сила, провеждано от Националния статистически институт, през 2019 г. броят на заетите лица на възраст 15-64 г. с висше образование е 976.5 хил., а през 2024 г. – 1058.2 хил. Нарастването е с 81.7 хил. или с 8.37%.</w:t>
      </w:r>
      <w:r w:rsidR="0040263A" w:rsidRPr="0052120F">
        <w:rPr>
          <w:rFonts w:cs="Times New Roman"/>
          <w:szCs w:val="24"/>
          <w:lang w:val="tr-TR" w:bidi="en-US"/>
        </w:rPr>
        <w:t xml:space="preserve"> </w:t>
      </w:r>
      <w:r w:rsidRPr="00233A0B">
        <w:rPr>
          <w:rFonts w:cs="Times New Roman"/>
          <w:szCs w:val="24"/>
          <w:lang w:val="bg-BG" w:bidi="en-US"/>
        </w:rPr>
        <w:t xml:space="preserve">Паралелно с това и публичните разходи за образование нарастват – от 3.88% от БВП през 2022 г. до около 4.5% от БВП през 2025 г. Засега обаче тези вложения не се превръщат в по-голям брой висококвалифицирани специалисти в науката и технологиите – броят на завършващите докторанти, инженери и учени остава нисък и почти без промяна през последните години. Недостатъчният приток на млади кадри в научно-техническите дисциплини е идентифициран като слабост (индикаторът „квалифицирани инженери и учени“ поставя България на едно от последните места в ЕС). В същото време, заетостта като цяло се увеличава умерено (натрупан ръст от 2.7% за периода 2013–2023 г.) и икономиката върви към автоматизация – използването </w:t>
      </w:r>
      <w:proofErr w:type="spellStart"/>
      <w:r w:rsidRPr="00233A0B">
        <w:rPr>
          <w:rFonts w:cs="Times New Roman"/>
          <w:szCs w:val="24"/>
          <w:lang w:val="bg-BG" w:bidi="en-US"/>
        </w:rPr>
        <w:t>of</w:t>
      </w:r>
      <w:proofErr w:type="spellEnd"/>
      <w:r w:rsidRPr="00233A0B">
        <w:rPr>
          <w:rFonts w:cs="Times New Roman"/>
          <w:szCs w:val="24"/>
          <w:lang w:val="bg-BG" w:bidi="en-US"/>
        </w:rPr>
        <w:t xml:space="preserve"> индустриални роботи е нараснало с близо 22.4% за последното десетилетие. Това показва, че бизнесът </w:t>
      </w:r>
      <w:r w:rsidRPr="00233A0B">
        <w:rPr>
          <w:rFonts w:cs="Times New Roman"/>
          <w:szCs w:val="24"/>
          <w:lang w:val="bg-BG" w:bidi="en-US"/>
        </w:rPr>
        <w:lastRenderedPageBreak/>
        <w:t>постепенно внедрява нови технологии за повишаване на продуктивността, макар и с по-бавни темпове.</w:t>
      </w:r>
    </w:p>
    <w:p w14:paraId="47E20835" w14:textId="77777777" w:rsidR="003B7539" w:rsidRPr="003B7539" w:rsidRDefault="00D96867" w:rsidP="005C5D13">
      <w:pPr>
        <w:pStyle w:val="Heading2"/>
        <w:spacing w:line="360" w:lineRule="auto"/>
        <w:rPr>
          <w:rFonts w:ascii="Times New Roman" w:hAnsi="Times New Roman" w:cs="Times New Roman"/>
          <w:b/>
          <w:bCs/>
          <w:lang w:val="bg-BG" w:bidi="en-US"/>
        </w:rPr>
      </w:pPr>
      <w:bookmarkStart w:id="15" w:name="_Toc216427811"/>
      <w:r w:rsidRPr="003B7539">
        <w:rPr>
          <w:rFonts w:ascii="Times New Roman" w:hAnsi="Times New Roman" w:cs="Times New Roman"/>
          <w:b/>
          <w:bCs/>
          <w:lang w:val="bg-BG" w:bidi="en-US"/>
        </w:rPr>
        <w:t>Регионални дисбаланси и иновационен потенциал.</w:t>
      </w:r>
      <w:bookmarkEnd w:id="15"/>
      <w:r w:rsidRPr="003B7539">
        <w:rPr>
          <w:rFonts w:ascii="Times New Roman" w:hAnsi="Times New Roman" w:cs="Times New Roman"/>
          <w:b/>
          <w:bCs/>
          <w:lang w:val="bg-BG" w:bidi="en-US"/>
        </w:rPr>
        <w:t xml:space="preserve"> </w:t>
      </w:r>
    </w:p>
    <w:p w14:paraId="4561AFDF" w14:textId="77777777" w:rsidR="00D96867" w:rsidRPr="00233A0B" w:rsidRDefault="00D96867"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Съществен аспект на социално-икономическия анализ е териториалният профил на иновациите. Както беше отбелязано, иновационната активност в България е </w:t>
      </w:r>
      <w:r w:rsidRPr="00233A0B">
        <w:rPr>
          <w:rFonts w:cs="Times New Roman"/>
          <w:b/>
          <w:bCs/>
          <w:szCs w:val="24"/>
          <w:lang w:val="bg-BG" w:bidi="en-US"/>
        </w:rPr>
        <w:t>силно концентрирана в столицата и около нея</w:t>
      </w:r>
      <w:r w:rsidRPr="00233A0B">
        <w:rPr>
          <w:rFonts w:cs="Times New Roman"/>
          <w:szCs w:val="24"/>
          <w:lang w:val="bg-BG" w:bidi="en-US"/>
        </w:rPr>
        <w:t>. Югозападният район (София-град и София-област) генерира над половината от разходите за НИРД и е доминиращ по брой иновативни предприятия, стартиращи компании и високотехнологични производства. Обратно, някои области – особено в Северозападния и Северно-централния региони – имат минимален принос към националните иновационни показатели. Този дисбаланс се потвърждава от междинната оценка: според получените мнения във въпросника „</w:t>
      </w:r>
      <w:r w:rsidRPr="00233A0B">
        <w:rPr>
          <w:rFonts w:cs="Times New Roman"/>
          <w:i/>
          <w:iCs/>
          <w:szCs w:val="24"/>
          <w:lang w:val="bg-BG" w:bidi="en-US"/>
        </w:rPr>
        <w:t>в столицата има силно концентриране на средства, иновации и предприятия, докато останалата част от страната изостава</w:t>
      </w:r>
      <w:r w:rsidRPr="00233A0B">
        <w:rPr>
          <w:rFonts w:cs="Times New Roman"/>
          <w:szCs w:val="24"/>
          <w:lang w:val="bg-BG" w:bidi="en-US"/>
        </w:rPr>
        <w:t>“. Регионалните иновационни индекси (</w:t>
      </w:r>
      <w:r w:rsidRPr="00233A0B">
        <w:rPr>
          <w:rFonts w:cs="Times New Roman"/>
          <w:szCs w:val="24"/>
          <w:lang w:bidi="en-US"/>
        </w:rPr>
        <w:t>European Innovation Scoreboard</w:t>
      </w:r>
      <w:r w:rsidRPr="00233A0B">
        <w:rPr>
          <w:rFonts w:cs="Times New Roman"/>
          <w:szCs w:val="24"/>
          <w:lang w:val="bg-BG" w:bidi="en-US"/>
        </w:rPr>
        <w:t>) също класират Югозападния регион като „умерен иноватор“, докато другите пет региона на планиране попадат в по-ниски категории. Тези различия произтичат от редица фактори: наличие на университети и научни институти, концентрация на чужди инвестиции и големи компании (предимно в Югозападна България), по-добра инфраструктура и достъп до финанси във водещите градски центрове.</w:t>
      </w:r>
    </w:p>
    <w:p w14:paraId="4FA4D6F3" w14:textId="77777777" w:rsidR="00D96867" w:rsidRDefault="00D96867"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Осъзната е важността на териториалния баланс за постигане на националните цели по ИСИС. Затова чрез оперативните програми и Плана за възстановяване се предприемат </w:t>
      </w:r>
      <w:r w:rsidRPr="00233A0B">
        <w:rPr>
          <w:rFonts w:cs="Times New Roman"/>
          <w:b/>
          <w:bCs/>
          <w:szCs w:val="24"/>
          <w:lang w:val="bg-BG" w:bidi="en-US"/>
        </w:rPr>
        <w:t>мерки за насърчаване на иновациите в по-слабо развитите региони</w:t>
      </w:r>
      <w:r w:rsidRPr="00233A0B">
        <w:rPr>
          <w:rFonts w:cs="Times New Roman"/>
          <w:szCs w:val="24"/>
          <w:lang w:val="bg-BG" w:bidi="en-US"/>
        </w:rPr>
        <w:t xml:space="preserve">. Споменатото изискване 50% от средствата по ключови програми да се инвестират в Северна България вече се изпълнява на практика – напр. по </w:t>
      </w:r>
      <w:r w:rsidR="00C75FAB" w:rsidRPr="00233A0B">
        <w:rPr>
          <w:rFonts w:cs="Times New Roman"/>
          <w:szCs w:val="24"/>
          <w:lang w:val="bg-BG" w:bidi="en-US"/>
        </w:rPr>
        <w:t xml:space="preserve">Програма „Научни изследвания, иновации и дигитализация за интелигентна трансформация“ </w:t>
      </w:r>
      <w:r w:rsidR="00A1081A" w:rsidRPr="00233A0B">
        <w:rPr>
          <w:rFonts w:cs="Times New Roman"/>
          <w:szCs w:val="24"/>
          <w:lang w:val="bg-BG" w:bidi="en-US"/>
        </w:rPr>
        <w:t xml:space="preserve">2021–2027 </w:t>
      </w:r>
      <w:r w:rsidR="00C75FAB" w:rsidRPr="00233A0B">
        <w:rPr>
          <w:rFonts w:cs="Times New Roman"/>
          <w:szCs w:val="24"/>
          <w:lang w:val="bg-BG" w:bidi="en-US"/>
        </w:rPr>
        <w:t>(</w:t>
      </w:r>
      <w:r w:rsidRPr="00233A0B">
        <w:rPr>
          <w:rFonts w:cs="Times New Roman"/>
          <w:szCs w:val="24"/>
          <w:lang w:val="bg-BG" w:bidi="en-US"/>
        </w:rPr>
        <w:t>ПНИИДИТ</w:t>
      </w:r>
      <w:r w:rsidR="00C75FAB" w:rsidRPr="00233A0B">
        <w:rPr>
          <w:rFonts w:cs="Times New Roman"/>
          <w:szCs w:val="24"/>
          <w:lang w:val="bg-BG" w:bidi="en-US"/>
        </w:rPr>
        <w:t>)</w:t>
      </w:r>
      <w:r w:rsidRPr="00233A0B">
        <w:rPr>
          <w:rFonts w:cs="Times New Roman"/>
          <w:szCs w:val="24"/>
          <w:lang w:val="bg-BG" w:bidi="en-US"/>
        </w:rPr>
        <w:t xml:space="preserve"> се предвиждат специални условия за кандидатите от Северозападен, Северен централен и Североизточен район. Конкурсните процедури като </w:t>
      </w:r>
      <w:r w:rsidRPr="00233A0B">
        <w:rPr>
          <w:rFonts w:cs="Times New Roman"/>
          <w:b/>
          <w:bCs/>
          <w:szCs w:val="24"/>
          <w:lang w:val="bg-BG" w:bidi="en-US"/>
        </w:rPr>
        <w:t>„Малки иновативни грантове за МСП“</w:t>
      </w:r>
      <w:r w:rsidRPr="00233A0B">
        <w:rPr>
          <w:rFonts w:cs="Times New Roman"/>
          <w:szCs w:val="24"/>
          <w:lang w:val="bg-BG" w:bidi="en-US"/>
        </w:rPr>
        <w:t xml:space="preserve"> и </w:t>
      </w:r>
      <w:r w:rsidRPr="00233A0B">
        <w:rPr>
          <w:rFonts w:cs="Times New Roman"/>
          <w:b/>
          <w:bCs/>
          <w:szCs w:val="24"/>
          <w:lang w:val="bg-BG" w:bidi="en-US"/>
        </w:rPr>
        <w:t>„Зелени и цифрови партньорства“</w:t>
      </w:r>
      <w:r w:rsidRPr="00233A0B">
        <w:rPr>
          <w:rFonts w:cs="Times New Roman"/>
          <w:szCs w:val="24"/>
          <w:lang w:val="bg-BG" w:bidi="en-US"/>
        </w:rPr>
        <w:t xml:space="preserve"> са с бонус точки в оценката за участници от Северните райони. Допълнително, чрез проект „Цифрови иновационни хъбове“ се финансират общо 12 хъба, от които поне 2 са локализирани в Северна България с цел да обслужват местния бизнес и да </w:t>
      </w:r>
      <w:r w:rsidRPr="00233A0B">
        <w:rPr>
          <w:rFonts w:cs="Times New Roman"/>
          <w:b/>
          <w:bCs/>
          <w:szCs w:val="24"/>
          <w:lang w:val="bg-BG" w:bidi="en-US"/>
        </w:rPr>
        <w:t>подпомогнат развитието на регионални иновационни екосистеми</w:t>
      </w:r>
      <w:r w:rsidRPr="00233A0B">
        <w:rPr>
          <w:rFonts w:cs="Times New Roman"/>
          <w:szCs w:val="24"/>
          <w:lang w:val="bg-BG" w:bidi="en-US"/>
        </w:rPr>
        <w:t xml:space="preserve">. Въпреки тези усилия, отстраняването на исторически натрупаните дисбаланси ще изисква време. Като цяло, социално-икономическият анализ сочи, че без допълнителни мерки съществуват риск да се получи следната конюнктура на </w:t>
      </w:r>
      <w:r w:rsidRPr="00233A0B">
        <w:rPr>
          <w:rFonts w:cs="Times New Roman"/>
          <w:szCs w:val="24"/>
          <w:lang w:val="bg-BG" w:bidi="en-US"/>
        </w:rPr>
        <w:lastRenderedPageBreak/>
        <w:t xml:space="preserve">иновационно развитие – един динамичен център в София и няколко изоставащи периферии. Това налага стратегическият подход занапред да бъде </w:t>
      </w:r>
      <w:r w:rsidRPr="00233A0B">
        <w:rPr>
          <w:rFonts w:cs="Times New Roman"/>
          <w:b/>
          <w:bCs/>
          <w:szCs w:val="24"/>
          <w:lang w:val="bg-BG" w:bidi="en-US"/>
        </w:rPr>
        <w:t>преустроен с по-силен териториален фокус</w:t>
      </w:r>
      <w:r w:rsidRPr="00233A0B">
        <w:rPr>
          <w:rFonts w:cs="Times New Roman"/>
          <w:szCs w:val="24"/>
          <w:lang w:val="bg-BG" w:bidi="en-US"/>
        </w:rPr>
        <w:t>, както е разгледано в препоръките по-долу.</w:t>
      </w:r>
    </w:p>
    <w:p w14:paraId="01D7196C" w14:textId="77777777" w:rsidR="00376594" w:rsidRPr="00376594" w:rsidRDefault="00376594" w:rsidP="005C5D13">
      <w:pPr>
        <w:pStyle w:val="Heading2"/>
        <w:spacing w:line="360" w:lineRule="auto"/>
        <w:rPr>
          <w:rFonts w:ascii="Times New Roman" w:hAnsi="Times New Roman" w:cs="Times New Roman"/>
          <w:b/>
          <w:bCs/>
          <w:lang w:val="bg-BG" w:bidi="en-US"/>
        </w:rPr>
      </w:pPr>
      <w:bookmarkStart w:id="16" w:name="_Toc216427812"/>
      <w:r w:rsidRPr="00376594">
        <w:rPr>
          <w:rFonts w:ascii="Times New Roman" w:hAnsi="Times New Roman" w:cs="Times New Roman"/>
          <w:b/>
          <w:bCs/>
          <w:lang w:val="bg-BG" w:bidi="en-US"/>
        </w:rPr>
        <w:t>Сравнителен анализ с референтни държави.</w:t>
      </w:r>
      <w:bookmarkEnd w:id="16"/>
    </w:p>
    <w:p w14:paraId="33F7025A" w14:textId="77777777" w:rsidR="001F5C22" w:rsidRPr="00233A0B" w:rsidRDefault="001F5C22" w:rsidP="005C5D13">
      <w:pPr>
        <w:spacing w:after="127" w:line="360" w:lineRule="auto"/>
        <w:ind w:right="2" w:firstLine="360"/>
        <w:jc w:val="both"/>
        <w:rPr>
          <w:rFonts w:cs="Times New Roman"/>
          <w:szCs w:val="24"/>
          <w:lang w:val="bg-BG" w:bidi="en-US"/>
        </w:rPr>
      </w:pPr>
      <w:r w:rsidRPr="00233A0B">
        <w:rPr>
          <w:rFonts w:cs="Times New Roman"/>
          <w:b/>
          <w:bCs/>
          <w:szCs w:val="24"/>
          <w:lang w:val="bg-BG" w:bidi="en-US"/>
        </w:rPr>
        <w:t>Иновационният профил на България</w:t>
      </w:r>
      <w:r w:rsidRPr="00233A0B">
        <w:rPr>
          <w:rFonts w:cs="Times New Roman"/>
          <w:szCs w:val="24"/>
          <w:lang w:val="bg-BG" w:bidi="en-US"/>
        </w:rPr>
        <w:t xml:space="preserve"> бележи постепенно подобрение през последните години, макар и с някои колебания. След спад в класирането през 2022–2024 г., през 2025 г. страната отново се изкачва, което показва възстановяване на растежа в някои области. Наблюдават се положителни тенденции като: ръст на публичните разходи за образование от 3,9% на 4,5% от БВП (2022→2025), стабилно производство в сектора на високите технологии – ~14,5% от промишлената продукция (42-ро място в света), и повече подадени патенти (226 през 2023 г., +6,6% спрямо 2022). България устойчиво увеличава и високотехнологичния си износ – 40-то място глобално, с 16,7% ръст само за година, което говори за постепенно преминаване към продукти с по-висока добавена стойност. В иновационната екосистема започват да се появяват и успешни стартиращи компании, достигнали световно признание (</w:t>
      </w:r>
      <w:proofErr w:type="spellStart"/>
      <w:r w:rsidRPr="00233A0B">
        <w:rPr>
          <w:rFonts w:cs="Times New Roman"/>
          <w:szCs w:val="24"/>
          <w:lang w:val="bg-BG" w:bidi="en-US"/>
        </w:rPr>
        <w:t>Payhawk</w:t>
      </w:r>
      <w:proofErr w:type="spellEnd"/>
      <w:r w:rsidRPr="00233A0B">
        <w:rPr>
          <w:rFonts w:cs="Times New Roman"/>
          <w:szCs w:val="24"/>
          <w:lang w:val="bg-BG" w:bidi="en-US"/>
        </w:rPr>
        <w:t xml:space="preserve"> и </w:t>
      </w:r>
      <w:proofErr w:type="spellStart"/>
      <w:r w:rsidRPr="00233A0B">
        <w:rPr>
          <w:rFonts w:cs="Times New Roman"/>
          <w:szCs w:val="24"/>
          <w:lang w:val="bg-BG" w:bidi="en-US"/>
        </w:rPr>
        <w:t>Shelly</w:t>
      </w:r>
      <w:proofErr w:type="spellEnd"/>
      <w:r w:rsidRPr="00233A0B">
        <w:rPr>
          <w:rFonts w:cs="Times New Roman"/>
          <w:szCs w:val="24"/>
          <w:lang w:val="bg-BG" w:bidi="en-US"/>
        </w:rPr>
        <w:t xml:space="preserve"> Group), което беше немислимо допреди десетилетие. Тези успехи дават надежда и пример за подражание. Същевременно предизвикателствата остават – разходите за НИРД нарастват твърде бавно (едва ~5% общ ръст за 10 години), а броят на завършващите учени и инженери стагнира въпреки увеличените образователни бюджети. Това подсказва, че ползите от инвестиране в образование и наука ще изискват повече време и реформи, за да се материализират в подобрена класация.</w:t>
      </w:r>
    </w:p>
    <w:p w14:paraId="2622006E" w14:textId="77777777" w:rsidR="001F5C22" w:rsidRPr="00233A0B" w:rsidRDefault="001F5C2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България традиционно се сравнява с групата на т.нар. нововъзникващи иноватори в Европа – държави от Източна и Южна Европа с по-нисък иновационен индекс, които обаче показват сходни предизвикателства и потенциал. В тази група попадат Румъния, Латвия, Словакия, Полша, Хърватия, Гърция, както и Унгария. Към 2025 г. България изпреварва само Румъния сред всички членки на ЕС по общ иновационен индекс, като остава на предпоследно място в ЕС. По-долу са сравнени иновационните резултати на България и няколко близки държави според </w:t>
      </w:r>
      <w:r w:rsidRPr="00233A0B">
        <w:rPr>
          <w:rFonts w:cs="Times New Roman"/>
          <w:b/>
          <w:bCs/>
          <w:szCs w:val="24"/>
          <w:lang w:val="bg-BG" w:bidi="en-US"/>
        </w:rPr>
        <w:t>EIS 2025</w:t>
      </w:r>
      <w:r w:rsidRPr="00233A0B">
        <w:rPr>
          <w:rFonts w:cs="Times New Roman"/>
          <w:szCs w:val="24"/>
          <w:lang w:val="bg-BG" w:bidi="en-US"/>
        </w:rPr>
        <w:t>:</w:t>
      </w:r>
    </w:p>
    <w:p w14:paraId="01773C41" w14:textId="77777777" w:rsidR="001F5C22" w:rsidRPr="00233A0B" w:rsidRDefault="001F5C22" w:rsidP="005C5D13">
      <w:pPr>
        <w:spacing w:after="127" w:line="360" w:lineRule="auto"/>
        <w:ind w:right="2" w:firstLine="360"/>
        <w:jc w:val="both"/>
        <w:rPr>
          <w:rFonts w:cs="Times New Roman"/>
          <w:szCs w:val="24"/>
          <w:lang w:val="bg-BG" w:bidi="en-US"/>
        </w:rPr>
      </w:pPr>
      <w:r w:rsidRPr="00233A0B">
        <w:rPr>
          <w:rFonts w:cs="Times New Roman"/>
          <w:noProof/>
          <w:szCs w:val="24"/>
          <w:lang w:val="bg-BG" w:eastAsia="bg-BG"/>
        </w:rPr>
        <w:lastRenderedPageBreak/>
        <w:drawing>
          <wp:inline distT="0" distB="0" distL="0" distR="0" wp14:anchorId="24DDF73B" wp14:editId="60E6F9C9">
            <wp:extent cx="5760720" cy="3482340"/>
            <wp:effectExtent l="0" t="0" r="0" b="3810"/>
            <wp:docPr id="1032567135" name="Picture 1"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67135" name="Picture 1" descr="A graph with different colored bar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482340"/>
                    </a:xfrm>
                    <a:prstGeom prst="rect">
                      <a:avLst/>
                    </a:prstGeom>
                    <a:noFill/>
                    <a:ln>
                      <a:noFill/>
                    </a:ln>
                  </pic:spPr>
                </pic:pic>
              </a:graphicData>
            </a:graphic>
          </wp:inline>
        </w:drawing>
      </w:r>
    </w:p>
    <w:p w14:paraId="564F373E" w14:textId="77777777" w:rsidR="001F5C22" w:rsidRPr="00233A0B" w:rsidRDefault="001F5C22" w:rsidP="005C5D13">
      <w:pPr>
        <w:spacing w:after="127" w:line="360" w:lineRule="auto"/>
        <w:ind w:right="2" w:firstLine="360"/>
        <w:jc w:val="both"/>
        <w:rPr>
          <w:rFonts w:cs="Times New Roman"/>
          <w:i/>
          <w:iCs/>
          <w:sz w:val="22"/>
          <w:lang w:val="bg-BG" w:bidi="en-US"/>
        </w:rPr>
      </w:pPr>
      <w:r w:rsidRPr="00233A0B">
        <w:rPr>
          <w:rFonts w:cs="Times New Roman"/>
          <w:i/>
          <w:iCs/>
          <w:sz w:val="22"/>
          <w:lang w:val="bg-BG" w:bidi="en-US"/>
        </w:rPr>
        <w:t>Иновационно представяне (EIS 2025) на България и избрани европейски държави. Показан е композитният индекс като % от средното за ЕС (100)</w:t>
      </w:r>
    </w:p>
    <w:p w14:paraId="3807371E" w14:textId="77777777" w:rsidR="001F5C22" w:rsidRPr="00233A0B" w:rsidRDefault="001F5C22" w:rsidP="005C5D13">
      <w:pPr>
        <w:spacing w:after="127" w:line="360" w:lineRule="auto"/>
        <w:ind w:right="2" w:firstLine="360"/>
        <w:jc w:val="both"/>
        <w:rPr>
          <w:rFonts w:cs="Times New Roman"/>
          <w:szCs w:val="24"/>
          <w:lang w:bidi="en-US"/>
        </w:rPr>
      </w:pPr>
      <w:r w:rsidRPr="00233A0B">
        <w:rPr>
          <w:rFonts w:cs="Times New Roman"/>
          <w:szCs w:val="24"/>
          <w:lang w:val="bg-BG" w:bidi="en-US"/>
        </w:rPr>
        <w:t xml:space="preserve">Както се вижда, Румъния е единствената държава в ЕС с по-нисък резултат от България (около 37% от средното за ЕС). Латвия постига ~56,7% и заема 25-то място – все още „нововъзникващ иноватор“, но значимо над българското ниво. Словакия (~62,6%, 24-то място) и Полша (~65,9%, 23-то място) са също в групата на нововъзникващите иноватори, но вече много близо до прага от 70%. Впечатляващо е представянето на Хърватия, която с ~71% от средното за ЕС успя да премине в по-горната група – „умерени иноватори“. От 2018 г. насам Хърватия увеличава индекса си с 19,4 % и напуска дъното на класацията. Гърция също се класифицира като умерен иноватор с приблизително 75–78% от средното за ЕС (по данни от 2024 г. – 77,5%), демонстрирайки стабилно, макар и по-бавно, подобрение. В исторически план повечето от тези държави бележат напредък от 2018 г. досега, но с различни темпове. Например, Полша е увеличила индекса си с цели 18 % между 2018 и 2025 г. – едно от най-високите подобрения в ЕС. Унгария (+16,2 %) и Словакия също имат над 15 % ръст, докато България добавя само +6,3 % за същия период. Латвия има скромен растеж (+4,9 %), а Румъния – вероятно сходен нисък ръст, което означава, че двете най-изоставащи страни практически не успяват съществено да наваксат изоставането си. Това потвърждава идеята, че макар всички „разширяващи се“ страни да подобряват иновационното си представяне, разликата спрямо водещите в ЕС остава устойчива. Налице е дори </w:t>
      </w:r>
      <w:r w:rsidRPr="00233A0B">
        <w:rPr>
          <w:rFonts w:cs="Times New Roman"/>
          <w:szCs w:val="24"/>
          <w:lang w:val="bg-BG" w:bidi="en-US"/>
        </w:rPr>
        <w:lastRenderedPageBreak/>
        <w:t xml:space="preserve">разслояване в рамките на самата група на изоставащите: държави като Полша и Словакия бележат по-бърз прогрес, докато България, Румъния и Латвия изостават и от тях. Това води до увеличаване на вътрешната дистанция между най-напредналите и най-изостаналите икономики в Източна Европа. </w:t>
      </w:r>
    </w:p>
    <w:p w14:paraId="07DA46EE" w14:textId="77777777" w:rsidR="001F5C22" w:rsidRPr="00233A0B" w:rsidRDefault="001F5C22" w:rsidP="005C5D13">
      <w:pPr>
        <w:spacing w:after="127" w:line="360" w:lineRule="auto"/>
        <w:ind w:right="2" w:firstLine="360"/>
        <w:jc w:val="both"/>
        <w:rPr>
          <w:rFonts w:cs="Times New Roman"/>
          <w:szCs w:val="24"/>
          <w:lang w:bidi="en-US"/>
        </w:rPr>
      </w:pPr>
      <w:r w:rsidRPr="00233A0B">
        <w:rPr>
          <w:rFonts w:cs="Times New Roman"/>
          <w:szCs w:val="24"/>
          <w:lang w:val="bg-BG" w:bidi="en-US"/>
        </w:rPr>
        <w:t xml:space="preserve">В </w:t>
      </w:r>
      <w:r w:rsidRPr="00233A0B">
        <w:rPr>
          <w:rFonts w:cs="Times New Roman"/>
          <w:b/>
          <w:bCs/>
          <w:szCs w:val="24"/>
          <w:lang w:val="bg-BG" w:bidi="en-US"/>
        </w:rPr>
        <w:t>Глобалния иновационен индекс</w:t>
      </w:r>
      <w:r w:rsidRPr="00233A0B">
        <w:rPr>
          <w:rFonts w:cs="Times New Roman"/>
          <w:szCs w:val="24"/>
          <w:lang w:bidi="en-US"/>
        </w:rPr>
        <w:t xml:space="preserve"> </w:t>
      </w:r>
      <w:r w:rsidRPr="00233A0B">
        <w:rPr>
          <w:rFonts w:cs="Times New Roman"/>
          <w:szCs w:val="24"/>
          <w:lang w:val="bg-BG" w:bidi="en-US"/>
        </w:rPr>
        <w:t xml:space="preserve">тенденциите са сходни – България е най-иновативната икономика на Балканите (37-мо място). Непосредствено след нея в класацията са Полша (39-то), Хърватия (40-то), Латвия (41-во) и Гърция (42-ро място). Словакия и Румъния са малко по-назад (Словакия е 47-ма, Румъния около 49-та) в света. Това показва, че страните с по-нисък резултат в </w:t>
      </w:r>
      <w:r w:rsidRPr="00233A0B">
        <w:rPr>
          <w:rFonts w:cs="Times New Roman"/>
          <w:szCs w:val="24"/>
          <w:lang w:bidi="en-US"/>
        </w:rPr>
        <w:t>EIS</w:t>
      </w:r>
      <w:r w:rsidRPr="00233A0B">
        <w:rPr>
          <w:rFonts w:cs="Times New Roman"/>
          <w:szCs w:val="24"/>
          <w:lang w:val="bg-BG" w:bidi="en-US"/>
        </w:rPr>
        <w:t xml:space="preserve"> обикновено се нареждат назад и в глобалния индекс, което подчертава сходните структурни предизвикателства, пред които са изправени.</w:t>
      </w:r>
    </w:p>
    <w:p w14:paraId="5BDFC172" w14:textId="77777777" w:rsidR="001F5C22" w:rsidRDefault="001F5C2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В заключение, сравнението потвърждава, че България и държавите от нейната група продължават да изостават значително спрямо средните европейски нива по иновации. Въпреки някои индивидуални успехи (напр. Хърватия премина прага от 70%; Полша отбелязва бърз растеж; България е лидер в ISO стандартите), системните слабости – недостатъчни инвестиции в НИРД, дефицити в образованието и уменията, слаб институционален капацитет – забавят растежа. За да се ускори догонването, България ще трябва активно да приложи политики за подобряване на човешкия капитал, финансирането на иновациите и взаимодействието между наука и бизнес, така че отличните постижения на единични фирми и ниши да се превърнат в масово явление, движещо икономическия растеж.</w:t>
      </w:r>
    </w:p>
    <w:p w14:paraId="320D19F7" w14:textId="77777777" w:rsidR="00B52FAD" w:rsidRDefault="00B52FAD">
      <w:pPr>
        <w:rPr>
          <w:rFonts w:cs="Times New Roman"/>
          <w:szCs w:val="24"/>
          <w:lang w:val="bg-BG" w:bidi="en-US"/>
        </w:rPr>
      </w:pPr>
      <w:r>
        <w:rPr>
          <w:rFonts w:cs="Times New Roman"/>
          <w:szCs w:val="24"/>
          <w:lang w:val="bg-BG" w:bidi="en-US"/>
        </w:rPr>
        <w:br w:type="page"/>
      </w:r>
    </w:p>
    <w:p w14:paraId="3BA9F39E" w14:textId="77777777" w:rsidR="001F5C22" w:rsidRPr="00DD1D42" w:rsidRDefault="00DD1D42" w:rsidP="005C5D13">
      <w:pPr>
        <w:pStyle w:val="Heading1"/>
        <w:spacing w:line="360" w:lineRule="auto"/>
        <w:rPr>
          <w:rFonts w:ascii="Times New Roman" w:hAnsi="Times New Roman" w:cs="Times New Roman"/>
          <w:b/>
          <w:bCs/>
          <w:lang w:val="bg-BG" w:bidi="en-US"/>
        </w:rPr>
      </w:pPr>
      <w:bookmarkStart w:id="17" w:name="_Toc216427813"/>
      <w:r w:rsidRPr="00DD1D42">
        <w:rPr>
          <w:rFonts w:ascii="Times New Roman" w:hAnsi="Times New Roman" w:cs="Times New Roman"/>
          <w:b/>
          <w:bCs/>
          <w:lang w:val="bg-BG" w:bidi="en-US"/>
        </w:rPr>
        <w:lastRenderedPageBreak/>
        <w:t>Външна среда и фактори</w:t>
      </w:r>
      <w:bookmarkEnd w:id="17"/>
    </w:p>
    <w:p w14:paraId="01F3DAE8" w14:textId="77777777" w:rsidR="00DD1D42" w:rsidRPr="004D1D9A" w:rsidRDefault="00AF5B3E" w:rsidP="005C5D13">
      <w:pPr>
        <w:pStyle w:val="Heading2"/>
        <w:spacing w:line="360" w:lineRule="auto"/>
        <w:rPr>
          <w:rFonts w:ascii="Times New Roman" w:hAnsi="Times New Roman" w:cs="Times New Roman"/>
          <w:b/>
          <w:bCs/>
          <w:lang w:val="bg-BG" w:bidi="en-US"/>
        </w:rPr>
      </w:pPr>
      <w:bookmarkStart w:id="18" w:name="_Toc216427814"/>
      <w:r w:rsidRPr="004D1D9A">
        <w:rPr>
          <w:rFonts w:ascii="Times New Roman" w:hAnsi="Times New Roman" w:cs="Times New Roman"/>
          <w:b/>
          <w:bCs/>
          <w:lang w:val="bg-BG" w:bidi="en-US"/>
        </w:rPr>
        <w:t>Геополитически контекст</w:t>
      </w:r>
      <w:r w:rsidR="009435C8" w:rsidRPr="004D1D9A">
        <w:rPr>
          <w:rFonts w:ascii="Times New Roman" w:hAnsi="Times New Roman" w:cs="Times New Roman"/>
          <w:b/>
          <w:bCs/>
          <w:lang w:val="bg-BG" w:bidi="en-US"/>
        </w:rPr>
        <w:t>.</w:t>
      </w:r>
      <w:bookmarkEnd w:id="18"/>
    </w:p>
    <w:p w14:paraId="032195FB" w14:textId="77777777" w:rsidR="00AF5B3E" w:rsidRDefault="00AF5B3E" w:rsidP="005C5D13">
      <w:pPr>
        <w:spacing w:after="127" w:line="360" w:lineRule="auto"/>
        <w:ind w:right="2" w:firstLine="284"/>
        <w:jc w:val="both"/>
        <w:rPr>
          <w:rFonts w:cs="Times New Roman"/>
          <w:szCs w:val="24"/>
          <w:lang w:val="bg-BG" w:bidi="en-US"/>
        </w:rPr>
      </w:pPr>
      <w:r w:rsidRPr="00AF5B3E">
        <w:rPr>
          <w:rFonts w:cs="Times New Roman"/>
          <w:szCs w:val="24"/>
          <w:lang w:val="bg-BG" w:bidi="en-US"/>
        </w:rPr>
        <w:t xml:space="preserve">През последното десетилетие глобалната </w:t>
      </w:r>
      <w:r>
        <w:rPr>
          <w:rFonts w:cs="Times New Roman"/>
          <w:szCs w:val="24"/>
          <w:lang w:val="bg-BG" w:bidi="en-US"/>
        </w:rPr>
        <w:t>сцена</w:t>
      </w:r>
      <w:r w:rsidRPr="00AF5B3E">
        <w:rPr>
          <w:rFonts w:cs="Times New Roman"/>
          <w:szCs w:val="24"/>
          <w:lang w:val="bg-BG" w:bidi="en-US"/>
        </w:rPr>
        <w:t xml:space="preserve"> за научни изследвания, иновации и технологично развитие претърпява дълбоки трансформации, обусловени от засилена геополитическа конкуренция, стратегически зависимости и структурни промени в световната икономика. Нарастващата нестабилност, характеризирана от войната в Украйна, прекъсванията във веригите за доставки, недостига на ключови суровини и ускорената надпревара в критични технологии, оказва пряко въздействие върху иновационните системи в Европа и по света.</w:t>
      </w:r>
      <w:r>
        <w:rPr>
          <w:rFonts w:cs="Times New Roman"/>
          <w:szCs w:val="24"/>
          <w:lang w:val="bg-BG" w:bidi="en-US"/>
        </w:rPr>
        <w:t xml:space="preserve"> Този букет от фактори води до </w:t>
      </w:r>
      <w:r w:rsidRPr="00AF5B3E">
        <w:rPr>
          <w:rFonts w:cs="Times New Roman"/>
          <w:b/>
          <w:bCs/>
          <w:szCs w:val="24"/>
          <w:lang w:val="bg-BG" w:bidi="en-US"/>
        </w:rPr>
        <w:t>глобално нарастване на инвестициите в НИРД и задълбочаване на иновационните разминавания</w:t>
      </w:r>
      <w:r>
        <w:rPr>
          <w:rFonts w:cs="Times New Roman"/>
          <w:szCs w:val="24"/>
          <w:lang w:val="bg-BG" w:bidi="en-US"/>
        </w:rPr>
        <w:t>.</w:t>
      </w:r>
    </w:p>
    <w:p w14:paraId="3A836B4B" w14:textId="77777777" w:rsidR="009435C8" w:rsidRDefault="00AF5B3E" w:rsidP="005C5D13">
      <w:pPr>
        <w:spacing w:after="127" w:line="360" w:lineRule="auto"/>
        <w:ind w:right="2" w:firstLine="284"/>
        <w:jc w:val="both"/>
        <w:rPr>
          <w:rFonts w:cs="Times New Roman"/>
          <w:szCs w:val="24"/>
          <w:lang w:val="bg-BG" w:bidi="en-US"/>
        </w:rPr>
      </w:pPr>
      <w:r w:rsidRPr="00AF5B3E">
        <w:rPr>
          <w:rFonts w:cs="Times New Roman"/>
          <w:szCs w:val="24"/>
          <w:lang w:val="bg-BG" w:bidi="en-US"/>
        </w:rPr>
        <w:t>Европейският съюз повиши своята интензивност на НИРД до приблизително 2.2</w:t>
      </w:r>
      <w:r w:rsidR="002735F4">
        <w:rPr>
          <w:rFonts w:cs="Times New Roman"/>
          <w:szCs w:val="24"/>
          <w:lang w:bidi="en-US"/>
        </w:rPr>
        <w:t>6</w:t>
      </w:r>
      <w:r w:rsidRPr="00AF5B3E">
        <w:rPr>
          <w:rFonts w:cs="Times New Roman"/>
          <w:szCs w:val="24"/>
          <w:lang w:val="bg-BG" w:bidi="en-US"/>
        </w:rPr>
        <w:t>% от БВП през 2023 г. – значителен прогрес спрямо 2000 г. (1.81%), но все още по-нисък от водещите международни икономики: Южна Корея (~4.85%), САЩ (~3.6%), Япония (~3.4%) и Китай (~2.5%).</w:t>
      </w:r>
      <w:r>
        <w:rPr>
          <w:rFonts w:cs="Times New Roman"/>
          <w:szCs w:val="24"/>
          <w:lang w:val="bg-BG" w:bidi="en-US"/>
        </w:rPr>
        <w:t xml:space="preserve"> </w:t>
      </w:r>
      <w:r w:rsidRPr="00AF5B3E">
        <w:rPr>
          <w:rFonts w:cs="Times New Roman"/>
          <w:szCs w:val="24"/>
          <w:lang w:val="bg-BG" w:bidi="en-US"/>
        </w:rPr>
        <w:t xml:space="preserve">Средно за ЕС-27 нивото е 2.26% (2021), докато България остава в дъното с едва ~0.8%. Всъщност шест държави в ЕС – включително България – остават с под 1% от БВП разходи за НИРД. Тази разлика обуславя „иновационната пропаст“, като само няколко страни (Швеция, Австрия, Германия, Белгия) постигат или надхвърлят целевите 3%. Европейската комисия отбелязва, че са нужни устойчиви бюджетни ангажименти, за да достигне България своята цел от 2% от БВП за НИРД. </w:t>
      </w:r>
    </w:p>
    <w:p w14:paraId="5EB7F40E" w14:textId="77777777" w:rsidR="009435C8" w:rsidRDefault="00AF5B3E" w:rsidP="005C5D13">
      <w:pPr>
        <w:spacing w:after="127" w:line="360" w:lineRule="auto"/>
        <w:ind w:right="2" w:firstLine="284"/>
        <w:jc w:val="both"/>
        <w:rPr>
          <w:rFonts w:cs="Times New Roman"/>
          <w:szCs w:val="24"/>
          <w:lang w:val="bg-BG" w:bidi="en-US"/>
        </w:rPr>
      </w:pPr>
      <w:r w:rsidRPr="00AF5B3E">
        <w:rPr>
          <w:rFonts w:cs="Times New Roman"/>
          <w:szCs w:val="24"/>
          <w:lang w:val="bg-BG" w:bidi="en-US"/>
        </w:rPr>
        <w:t xml:space="preserve">Международните организации, включително ОИСР, последователно отбелязват, че прекомерната </w:t>
      </w:r>
      <w:r w:rsidRPr="009435C8">
        <w:rPr>
          <w:rFonts w:cs="Times New Roman"/>
          <w:i/>
          <w:iCs/>
          <w:szCs w:val="24"/>
          <w:lang w:val="bg-BG" w:bidi="en-US"/>
        </w:rPr>
        <w:t>бюрокрация възпрепятства научните изследвания</w:t>
      </w:r>
      <w:r w:rsidRPr="00AF5B3E">
        <w:rPr>
          <w:rFonts w:cs="Times New Roman"/>
          <w:szCs w:val="24"/>
          <w:lang w:val="bg-BG" w:bidi="en-US"/>
        </w:rPr>
        <w:t xml:space="preserve">, иновациите и икономическия растеж. В отговор на това много държави въвеждат политики за </w:t>
      </w:r>
      <w:r w:rsidRPr="009435C8">
        <w:rPr>
          <w:rFonts w:cs="Times New Roman"/>
          <w:b/>
          <w:bCs/>
          <w:szCs w:val="24"/>
          <w:lang w:val="bg-BG" w:bidi="en-US"/>
        </w:rPr>
        <w:t>административна простота</w:t>
      </w:r>
      <w:r w:rsidRPr="00AF5B3E">
        <w:rPr>
          <w:rFonts w:cs="Times New Roman"/>
          <w:szCs w:val="24"/>
          <w:lang w:val="bg-BG" w:bidi="en-US"/>
        </w:rPr>
        <w:t>, цифровизация на процесите и модели „едно гише“.</w:t>
      </w:r>
      <w:r w:rsidR="009435C8">
        <w:rPr>
          <w:rFonts w:cs="Times New Roman"/>
          <w:szCs w:val="24"/>
          <w:lang w:val="bg-BG" w:bidi="en-US"/>
        </w:rPr>
        <w:t xml:space="preserve"> </w:t>
      </w:r>
      <w:r w:rsidRPr="00AF5B3E">
        <w:rPr>
          <w:rFonts w:cs="Times New Roman"/>
          <w:szCs w:val="24"/>
          <w:lang w:val="bg-BG" w:bidi="en-US"/>
        </w:rPr>
        <w:t>На равнище ЕС бе приета цел до 2029 г. да бъде намалена общата административна тежест с 25%, а за МСП – с 35%, посредством пакета „Омнибус“, насочен към дигитализация, намаляване на отчетността и премахване на непропорционални изисквания. Този процес е от ключово значение за конкурентоспособността на европейската икономика в условия на глобална технологична надпревара.</w:t>
      </w:r>
    </w:p>
    <w:p w14:paraId="521AB126" w14:textId="77777777" w:rsidR="009435C8" w:rsidRPr="00F72EB4" w:rsidRDefault="009435C8" w:rsidP="005C5D13">
      <w:pPr>
        <w:spacing w:after="127" w:line="360" w:lineRule="auto"/>
        <w:ind w:right="2" w:firstLine="284"/>
        <w:jc w:val="both"/>
        <w:rPr>
          <w:rFonts w:cs="Times New Roman"/>
          <w:szCs w:val="24"/>
          <w:lang w:bidi="en-US"/>
        </w:rPr>
      </w:pPr>
      <w:r>
        <w:rPr>
          <w:rFonts w:cs="Times New Roman"/>
          <w:szCs w:val="24"/>
          <w:lang w:val="bg-BG" w:bidi="en-US"/>
        </w:rPr>
        <w:t>В международен план се наблюдава</w:t>
      </w:r>
      <w:r w:rsidRPr="009435C8">
        <w:rPr>
          <w:rFonts w:cs="Times New Roman"/>
          <w:szCs w:val="24"/>
          <w:lang w:val="bg-BG" w:bidi="en-US"/>
        </w:rPr>
        <w:t xml:space="preserve">, че ефективното управление на иновационната политика изисква стабилни институции и добра координация. През последното десетилетие много страни по света учредиха национални съвети за иновации и научни изследвания, именно с цел да се укрепи </w:t>
      </w:r>
      <w:r w:rsidRPr="009435C8">
        <w:rPr>
          <w:rFonts w:cs="Times New Roman"/>
          <w:b/>
          <w:bCs/>
          <w:szCs w:val="24"/>
          <w:lang w:val="bg-BG" w:bidi="en-US"/>
        </w:rPr>
        <w:t xml:space="preserve">междусекторното сътрудничество и да се </w:t>
      </w:r>
      <w:r w:rsidRPr="009435C8">
        <w:rPr>
          <w:rFonts w:cs="Times New Roman"/>
          <w:b/>
          <w:bCs/>
          <w:szCs w:val="24"/>
          <w:lang w:val="bg-BG" w:bidi="en-US"/>
        </w:rPr>
        <w:lastRenderedPageBreak/>
        <w:t>повиши ефективността на управлението на иновациите.</w:t>
      </w:r>
      <w:r w:rsidRPr="009435C8">
        <w:rPr>
          <w:rFonts w:cs="Times New Roman"/>
          <w:szCs w:val="24"/>
          <w:lang w:val="bg-BG" w:bidi="en-US"/>
        </w:rPr>
        <w:t xml:space="preserve"> Такива висши органи – обикновено с участие на различни министерства, научния и бизнес сектора – служат за стратегическо насочване на иновационната политика и преодоляване на институционалната разпокъсаност. Наред с това, укрепването на административния капацитет е приоритет в много държави, особено тези с по-ограничени ресурси за НИРД. Липсата на достатъчно квалифицирани кадри в публичния сектор не е само национален проблем – малки страни и нови икономики често срещат затруднения да задържат експерти в държавната администрация при конкуренцията с частния сектор. Затова широко се прилагат мерки като специализирани обучения, обмен на опит с водещи държави и подобряване на условията на труд и заплащане, за да се привлекат и задържат талантливи специалисти. ЕС също подкрепя подобни реформи – например чрез инструменти по програмите за добро управление и обмяна на експертиза, както и изискването за наличие на силен административен капацитет при изпълнение на стратегии като интелигентната специализация.</w:t>
      </w:r>
    </w:p>
    <w:p w14:paraId="650AE681" w14:textId="77777777" w:rsidR="000263F1" w:rsidRDefault="009435C8" w:rsidP="005C5D13">
      <w:pPr>
        <w:spacing w:after="127" w:line="360" w:lineRule="auto"/>
        <w:ind w:right="2" w:firstLine="284"/>
        <w:jc w:val="both"/>
        <w:rPr>
          <w:rFonts w:cs="Times New Roman"/>
          <w:szCs w:val="24"/>
          <w:lang w:val="bg-BG" w:bidi="en-US"/>
        </w:rPr>
      </w:pPr>
      <w:r w:rsidRPr="009435C8">
        <w:rPr>
          <w:rFonts w:cs="Times New Roman"/>
          <w:szCs w:val="24"/>
          <w:lang w:val="bg-BG" w:bidi="en-US"/>
        </w:rPr>
        <w:t xml:space="preserve">В глобален план </w:t>
      </w:r>
      <w:r w:rsidRPr="009435C8">
        <w:rPr>
          <w:rFonts w:cs="Times New Roman"/>
          <w:b/>
          <w:bCs/>
          <w:szCs w:val="24"/>
          <w:lang w:val="bg-BG" w:bidi="en-US"/>
        </w:rPr>
        <w:t>дисбалансът между водещите и изоставащите региони</w:t>
      </w:r>
      <w:r w:rsidRPr="009435C8">
        <w:rPr>
          <w:rFonts w:cs="Times New Roman"/>
          <w:szCs w:val="24"/>
          <w:lang w:val="bg-BG" w:bidi="en-US"/>
        </w:rPr>
        <w:t xml:space="preserve"> по отношение на иновациите е широко разпространен феномен. Иновационната дейност по света има тенденция да се концентрира в няколко големи градски хъба, докато периферните области изостават. България е пример за това – извън столицата разходите за НИРД са едва ~0.3% от БВП (в повечето райони), докато в София-град достигат 0.8% (макар и това да е под средното за ЕС). На европейско ниво този проблем също е откроен: иновационните лидери са предимно в Северна и Западна Европа, докато много от по-слабо развитите региони са в Южна и Източна Европа. Поради това ЕС реализира политики за “разширяване на участието и разпространение на отлични постижения” (</w:t>
      </w:r>
      <w:proofErr w:type="spellStart"/>
      <w:r w:rsidRPr="009435C8">
        <w:rPr>
          <w:rFonts w:cs="Times New Roman"/>
          <w:szCs w:val="24"/>
          <w:lang w:val="bg-BG" w:bidi="en-US"/>
        </w:rPr>
        <w:t>Widening</w:t>
      </w:r>
      <w:proofErr w:type="spellEnd"/>
      <w:r w:rsidRPr="009435C8">
        <w:rPr>
          <w:rFonts w:cs="Times New Roman"/>
          <w:szCs w:val="24"/>
          <w:lang w:val="bg-BG" w:bidi="en-US"/>
        </w:rPr>
        <w:t xml:space="preserve"> </w:t>
      </w:r>
      <w:proofErr w:type="spellStart"/>
      <w:r w:rsidRPr="009435C8">
        <w:rPr>
          <w:rFonts w:cs="Times New Roman"/>
          <w:szCs w:val="24"/>
          <w:lang w:val="bg-BG" w:bidi="en-US"/>
        </w:rPr>
        <w:t>Participation</w:t>
      </w:r>
      <w:proofErr w:type="spellEnd"/>
      <w:r w:rsidRPr="009435C8">
        <w:rPr>
          <w:rFonts w:cs="Times New Roman"/>
          <w:szCs w:val="24"/>
          <w:lang w:val="bg-BG" w:bidi="en-US"/>
        </w:rPr>
        <w:t xml:space="preserve"> </w:t>
      </w:r>
      <w:proofErr w:type="spellStart"/>
      <w:r w:rsidRPr="009435C8">
        <w:rPr>
          <w:rFonts w:cs="Times New Roman"/>
          <w:szCs w:val="24"/>
          <w:lang w:val="bg-BG" w:bidi="en-US"/>
        </w:rPr>
        <w:t>and</w:t>
      </w:r>
      <w:proofErr w:type="spellEnd"/>
      <w:r w:rsidRPr="009435C8">
        <w:rPr>
          <w:rFonts w:cs="Times New Roman"/>
          <w:szCs w:val="24"/>
          <w:lang w:val="bg-BG" w:bidi="en-US"/>
        </w:rPr>
        <w:t xml:space="preserve"> </w:t>
      </w:r>
      <w:proofErr w:type="spellStart"/>
      <w:r w:rsidRPr="009435C8">
        <w:rPr>
          <w:rFonts w:cs="Times New Roman"/>
          <w:szCs w:val="24"/>
          <w:lang w:val="bg-BG" w:bidi="en-US"/>
        </w:rPr>
        <w:t>Spreading</w:t>
      </w:r>
      <w:proofErr w:type="spellEnd"/>
      <w:r w:rsidRPr="009435C8">
        <w:rPr>
          <w:rFonts w:cs="Times New Roman"/>
          <w:szCs w:val="24"/>
          <w:lang w:val="bg-BG" w:bidi="en-US"/>
        </w:rPr>
        <w:t xml:space="preserve"> </w:t>
      </w:r>
      <w:proofErr w:type="spellStart"/>
      <w:r w:rsidRPr="009435C8">
        <w:rPr>
          <w:rFonts w:cs="Times New Roman"/>
          <w:szCs w:val="24"/>
          <w:lang w:val="bg-BG" w:bidi="en-US"/>
        </w:rPr>
        <w:t>Excellence</w:t>
      </w:r>
      <w:proofErr w:type="spellEnd"/>
      <w:r w:rsidRPr="009435C8">
        <w:rPr>
          <w:rFonts w:cs="Times New Roman"/>
          <w:szCs w:val="24"/>
          <w:lang w:val="bg-BG" w:bidi="en-US"/>
        </w:rPr>
        <w:t>) – чрез тях се финансират научни центрове извън традиционните ядра и се насърчава мрежовото сътрудничество. Инициативи като изграждането на Европейски иновационни долини (</w:t>
      </w:r>
      <w:proofErr w:type="spellStart"/>
      <w:r w:rsidRPr="009435C8">
        <w:rPr>
          <w:rFonts w:cs="Times New Roman"/>
          <w:szCs w:val="24"/>
          <w:lang w:val="bg-BG" w:bidi="en-US"/>
        </w:rPr>
        <w:t>Innovation</w:t>
      </w:r>
      <w:proofErr w:type="spellEnd"/>
      <w:r w:rsidRPr="009435C8">
        <w:rPr>
          <w:rFonts w:cs="Times New Roman"/>
          <w:szCs w:val="24"/>
          <w:lang w:val="bg-BG" w:bidi="en-US"/>
        </w:rPr>
        <w:t xml:space="preserve"> </w:t>
      </w:r>
      <w:proofErr w:type="spellStart"/>
      <w:r w:rsidRPr="009435C8">
        <w:rPr>
          <w:rFonts w:cs="Times New Roman"/>
          <w:szCs w:val="24"/>
          <w:lang w:val="bg-BG" w:bidi="en-US"/>
        </w:rPr>
        <w:t>Valleys</w:t>
      </w:r>
      <w:proofErr w:type="spellEnd"/>
      <w:r w:rsidRPr="009435C8">
        <w:rPr>
          <w:rFonts w:cs="Times New Roman"/>
          <w:szCs w:val="24"/>
          <w:lang w:val="bg-BG" w:bidi="en-US"/>
        </w:rPr>
        <w:t>) и мрежа от дигитални иновационни хъбове целят именно да подкрепят по-слабо развитите региони. В редица страни членки се отделят национални средства за регионални иновации – например Полша и Румъния имат специални фондове за изоставащи региони. Подобен териториален подход гарантира, че икономическото развитие става по-приобщаващо и че всички части на страната могат да се възползват от възможностите на технологичната трансформация.</w:t>
      </w:r>
    </w:p>
    <w:p w14:paraId="6E39CBAF" w14:textId="77777777" w:rsidR="00221E33" w:rsidRDefault="000263F1" w:rsidP="005C5D13">
      <w:pPr>
        <w:spacing w:after="127" w:line="360" w:lineRule="auto"/>
        <w:ind w:right="2" w:firstLine="284"/>
        <w:jc w:val="both"/>
        <w:rPr>
          <w:rFonts w:cs="Times New Roman"/>
          <w:szCs w:val="24"/>
          <w:lang w:val="bg-BG" w:bidi="en-US"/>
        </w:rPr>
      </w:pPr>
      <w:r>
        <w:rPr>
          <w:rFonts w:cs="Times New Roman"/>
          <w:szCs w:val="24"/>
          <w:lang w:val="bg-BG" w:bidi="en-US"/>
        </w:rPr>
        <w:t>Също така</w:t>
      </w:r>
      <w:r w:rsidR="00F72EB4">
        <w:rPr>
          <w:rFonts w:cs="Times New Roman"/>
          <w:szCs w:val="24"/>
          <w:lang w:val="bg-BG" w:bidi="en-US"/>
        </w:rPr>
        <w:t>,</w:t>
      </w:r>
      <w:r>
        <w:rPr>
          <w:rFonts w:cs="Times New Roman"/>
          <w:szCs w:val="24"/>
          <w:lang w:val="bg-BG" w:bidi="en-US"/>
        </w:rPr>
        <w:t xml:space="preserve"> се </w:t>
      </w:r>
      <w:r w:rsidR="00F72EB4">
        <w:rPr>
          <w:rFonts w:cs="Times New Roman"/>
          <w:szCs w:val="24"/>
          <w:lang w:val="bg-BG" w:bidi="en-US"/>
        </w:rPr>
        <w:t>потвърждава</w:t>
      </w:r>
      <w:r w:rsidRPr="000263F1">
        <w:rPr>
          <w:rFonts w:cs="Times New Roman"/>
          <w:szCs w:val="24"/>
          <w:lang w:val="bg-BG" w:bidi="en-US"/>
        </w:rPr>
        <w:t xml:space="preserve"> ключовата роля на МСП и научния сектор за иновациите, но също така открояват нуждата от </w:t>
      </w:r>
      <w:r w:rsidRPr="000263F1">
        <w:rPr>
          <w:rFonts w:cs="Times New Roman"/>
          <w:b/>
          <w:bCs/>
          <w:szCs w:val="24"/>
          <w:lang w:val="bg-BG" w:bidi="en-US"/>
        </w:rPr>
        <w:t>по-добра подкрепа за тях</w:t>
      </w:r>
      <w:r w:rsidRPr="000263F1">
        <w:rPr>
          <w:rFonts w:cs="Times New Roman"/>
          <w:szCs w:val="24"/>
          <w:lang w:val="bg-BG" w:bidi="en-US"/>
        </w:rPr>
        <w:t xml:space="preserve">. Малките и средни </w:t>
      </w:r>
      <w:r w:rsidRPr="000263F1">
        <w:rPr>
          <w:rFonts w:cs="Times New Roman"/>
          <w:szCs w:val="24"/>
          <w:lang w:val="bg-BG" w:bidi="en-US"/>
        </w:rPr>
        <w:lastRenderedPageBreak/>
        <w:t xml:space="preserve">предприятия са гръбнакът на икономиката и често източник на радикални иновации, но по света те срещат затруднения като липса на финансиране, експертиза или достъп до технологии. В Европейския съюз МСП демонстрират значителен принос – например, измерителите в Европейския иновационен индекс показват висок дял на МСП, въвеждащи продуктови или нововъведения в процеси. Въпреки това, ЕС изостава спрямо глобалните лидери по показатели като сътрудничество между иновативни МСП и разходи за НИРД в бизнеса, което сочи нуждата от допълнителни стимули в тази насока. Международната практика предлага разнообразни инструменти за насърчаване на взаимодействието бизнес–наука. </w:t>
      </w:r>
      <w:r w:rsidRPr="000263F1">
        <w:rPr>
          <w:rFonts w:cs="Times New Roman"/>
          <w:i/>
          <w:iCs/>
          <w:szCs w:val="24"/>
          <w:lang w:val="bg-BG" w:bidi="en-US"/>
        </w:rPr>
        <w:t>Иновационните ваучери</w:t>
      </w:r>
      <w:r w:rsidRPr="000263F1">
        <w:rPr>
          <w:rFonts w:cs="Times New Roman"/>
          <w:szCs w:val="24"/>
          <w:lang w:val="bg-BG" w:bidi="en-US"/>
        </w:rPr>
        <w:t xml:space="preserve"> са един от утвърдените механизми – чрез тях правителствата предоставят на МСП малки грантове за закупуване на изследователски услуги или </w:t>
      </w:r>
      <w:proofErr w:type="spellStart"/>
      <w:r w:rsidRPr="000263F1">
        <w:rPr>
          <w:rFonts w:cs="Times New Roman"/>
          <w:szCs w:val="24"/>
          <w:lang w:val="bg-BG" w:bidi="en-US"/>
        </w:rPr>
        <w:t>know-how</w:t>
      </w:r>
      <w:proofErr w:type="spellEnd"/>
      <w:r w:rsidRPr="000263F1">
        <w:rPr>
          <w:rFonts w:cs="Times New Roman"/>
          <w:szCs w:val="24"/>
          <w:lang w:val="bg-BG" w:bidi="en-US"/>
        </w:rPr>
        <w:t xml:space="preserve"> от университети и лаборатории. Много държави (вкл. от Централна и Източна Европа) успешно прилагат подобни схеми, за да помогнат на малките фирми да </w:t>
      </w:r>
      <w:proofErr w:type="spellStart"/>
      <w:r w:rsidRPr="000263F1">
        <w:rPr>
          <w:rFonts w:cs="Times New Roman"/>
          <w:szCs w:val="24"/>
          <w:lang w:val="bg-BG" w:bidi="en-US"/>
        </w:rPr>
        <w:t>достъпят</w:t>
      </w:r>
      <w:proofErr w:type="spellEnd"/>
      <w:r w:rsidRPr="000263F1">
        <w:rPr>
          <w:rFonts w:cs="Times New Roman"/>
          <w:szCs w:val="24"/>
          <w:lang w:val="bg-BG" w:bidi="en-US"/>
        </w:rPr>
        <w:t xml:space="preserve"> знания и технологии, налични в академичния сектор. </w:t>
      </w:r>
    </w:p>
    <w:p w14:paraId="3A47FD33" w14:textId="77777777" w:rsidR="00221E33" w:rsidRDefault="000263F1" w:rsidP="005C5D13">
      <w:pPr>
        <w:spacing w:after="127" w:line="360" w:lineRule="auto"/>
        <w:ind w:right="2" w:firstLine="284"/>
        <w:jc w:val="both"/>
        <w:rPr>
          <w:rFonts w:cs="Times New Roman"/>
          <w:szCs w:val="24"/>
          <w:lang w:val="bg-BG" w:bidi="en-US"/>
        </w:rPr>
      </w:pPr>
      <w:r w:rsidRPr="000263F1">
        <w:rPr>
          <w:rFonts w:cs="Times New Roman"/>
          <w:szCs w:val="24"/>
          <w:lang w:val="bg-BG" w:bidi="en-US"/>
        </w:rPr>
        <w:t xml:space="preserve">Също така, регулаторните реформи за поощряване на комерсиализацията на научните резултати стават все по-чести – например законодателства, подобни на американския </w:t>
      </w:r>
      <w:proofErr w:type="spellStart"/>
      <w:r w:rsidRPr="000263F1">
        <w:rPr>
          <w:rFonts w:cs="Times New Roman"/>
          <w:szCs w:val="24"/>
          <w:lang w:val="bg-BG" w:bidi="en-US"/>
        </w:rPr>
        <w:t>Bayh-Dole</w:t>
      </w:r>
      <w:proofErr w:type="spellEnd"/>
      <w:r w:rsidRPr="000263F1">
        <w:rPr>
          <w:rFonts w:cs="Times New Roman"/>
          <w:szCs w:val="24"/>
          <w:lang w:val="bg-BG" w:bidi="en-US"/>
        </w:rPr>
        <w:t xml:space="preserve"> </w:t>
      </w:r>
      <w:proofErr w:type="spellStart"/>
      <w:r w:rsidRPr="000263F1">
        <w:rPr>
          <w:rFonts w:cs="Times New Roman"/>
          <w:szCs w:val="24"/>
          <w:lang w:val="bg-BG" w:bidi="en-US"/>
        </w:rPr>
        <w:t>Act</w:t>
      </w:r>
      <w:proofErr w:type="spellEnd"/>
      <w:r w:rsidRPr="000263F1">
        <w:rPr>
          <w:rFonts w:cs="Times New Roman"/>
          <w:szCs w:val="24"/>
          <w:lang w:val="bg-BG" w:bidi="en-US"/>
        </w:rPr>
        <w:t>, дават възможност университетите да учредяват спин-</w:t>
      </w:r>
      <w:proofErr w:type="spellStart"/>
      <w:r w:rsidRPr="000263F1">
        <w:rPr>
          <w:rFonts w:cs="Times New Roman"/>
          <w:szCs w:val="24"/>
          <w:lang w:val="bg-BG" w:bidi="en-US"/>
        </w:rPr>
        <w:t>оф</w:t>
      </w:r>
      <w:proofErr w:type="spellEnd"/>
      <w:r w:rsidRPr="000263F1">
        <w:rPr>
          <w:rFonts w:cs="Times New Roman"/>
          <w:szCs w:val="24"/>
          <w:lang w:val="bg-BG" w:bidi="en-US"/>
        </w:rPr>
        <w:t xml:space="preserve"> компании и да прехвърлят интелектуална собственост към индустрията. На ниво ЕС новата Европейска иновационна програма (New </w:t>
      </w:r>
      <w:proofErr w:type="spellStart"/>
      <w:r w:rsidRPr="000263F1">
        <w:rPr>
          <w:rFonts w:cs="Times New Roman"/>
          <w:szCs w:val="24"/>
          <w:lang w:val="bg-BG" w:bidi="en-US"/>
        </w:rPr>
        <w:t>European</w:t>
      </w:r>
      <w:proofErr w:type="spellEnd"/>
      <w:r w:rsidRPr="000263F1">
        <w:rPr>
          <w:rFonts w:cs="Times New Roman"/>
          <w:szCs w:val="24"/>
          <w:lang w:val="bg-BG" w:bidi="en-US"/>
        </w:rPr>
        <w:t xml:space="preserve"> </w:t>
      </w:r>
      <w:proofErr w:type="spellStart"/>
      <w:r w:rsidRPr="000263F1">
        <w:rPr>
          <w:rFonts w:cs="Times New Roman"/>
          <w:szCs w:val="24"/>
          <w:lang w:val="bg-BG" w:bidi="en-US"/>
        </w:rPr>
        <w:t>Innovation</w:t>
      </w:r>
      <w:proofErr w:type="spellEnd"/>
      <w:r w:rsidRPr="000263F1">
        <w:rPr>
          <w:rFonts w:cs="Times New Roman"/>
          <w:szCs w:val="24"/>
          <w:lang w:val="bg-BG" w:bidi="en-US"/>
        </w:rPr>
        <w:t xml:space="preserve"> </w:t>
      </w:r>
      <w:proofErr w:type="spellStart"/>
      <w:r w:rsidRPr="000263F1">
        <w:rPr>
          <w:rFonts w:cs="Times New Roman"/>
          <w:szCs w:val="24"/>
          <w:lang w:val="bg-BG" w:bidi="en-US"/>
        </w:rPr>
        <w:t>Agenda</w:t>
      </w:r>
      <w:proofErr w:type="spellEnd"/>
      <w:r w:rsidRPr="000263F1">
        <w:rPr>
          <w:rFonts w:cs="Times New Roman"/>
          <w:szCs w:val="24"/>
          <w:lang w:val="bg-BG" w:bidi="en-US"/>
        </w:rPr>
        <w:t xml:space="preserve">) поставя акцент върху засилване участието на индустрията и научните среди: предприемат се мерки за привличане на повече рисков капитал, създават се фондове и механизми в подкрепа на стартиращи предприятия, както и програми за обучение на кадри в дълбоки технологии. </w:t>
      </w:r>
    </w:p>
    <w:p w14:paraId="76C9547B" w14:textId="77777777" w:rsidR="000263F1" w:rsidRDefault="000263F1" w:rsidP="005C5D13">
      <w:pPr>
        <w:spacing w:after="127" w:line="360" w:lineRule="auto"/>
        <w:ind w:right="2" w:firstLine="284"/>
        <w:jc w:val="both"/>
        <w:rPr>
          <w:rFonts w:cs="Times New Roman"/>
          <w:szCs w:val="24"/>
          <w:lang w:val="bg-BG" w:bidi="en-US"/>
        </w:rPr>
      </w:pPr>
      <w:r w:rsidRPr="000263F1">
        <w:rPr>
          <w:rFonts w:cs="Times New Roman"/>
          <w:szCs w:val="24"/>
          <w:lang w:val="bg-BG" w:bidi="en-US"/>
        </w:rPr>
        <w:t>В допълнение, все по-признато е значението на редовния диалог (процес на предприемаческо откритие) с бизнеса и академичната общност при формиране на политики – кооперативният подход (четворната спирала) е възприет като добра практика в иновационно развитите страни, което подкрепя и настоящата препоръка за по-активни консултации с всички заинтересовани страни. Това позволява стратегия като ИСИС да се актуализира гъвкаво и да отразява по-добре нуждите на индустрията, вписвайки българските приоритети в по-широкия европейски контекст на развитието на науката и иновациите.</w:t>
      </w:r>
    </w:p>
    <w:p w14:paraId="24BAF36A" w14:textId="77777777" w:rsidR="00BC628C" w:rsidRPr="00BC628C" w:rsidRDefault="00BC628C" w:rsidP="005C5D13">
      <w:pPr>
        <w:pStyle w:val="Heading2"/>
        <w:spacing w:line="360" w:lineRule="auto"/>
        <w:rPr>
          <w:rFonts w:ascii="Times New Roman" w:hAnsi="Times New Roman" w:cs="Times New Roman"/>
          <w:b/>
          <w:bCs/>
          <w:lang w:val="bg-BG" w:bidi="en-US"/>
        </w:rPr>
      </w:pPr>
      <w:bookmarkStart w:id="19" w:name="_Toc216427815"/>
      <w:r w:rsidRPr="00BC628C">
        <w:rPr>
          <w:rFonts w:ascii="Times New Roman" w:hAnsi="Times New Roman" w:cs="Times New Roman"/>
          <w:b/>
          <w:bCs/>
          <w:lang w:val="bg-BG" w:bidi="en-US"/>
        </w:rPr>
        <w:t>Технологични тенденции.</w:t>
      </w:r>
      <w:bookmarkEnd w:id="19"/>
    </w:p>
    <w:p w14:paraId="3318DF62" w14:textId="77777777" w:rsidR="00221E33" w:rsidRDefault="000263F1" w:rsidP="005C5D13">
      <w:pPr>
        <w:spacing w:after="127" w:line="360" w:lineRule="auto"/>
        <w:ind w:right="2" w:firstLine="284"/>
        <w:jc w:val="both"/>
        <w:rPr>
          <w:rFonts w:cs="Times New Roman"/>
          <w:szCs w:val="24"/>
          <w:lang w:val="bg-BG" w:bidi="en-US"/>
        </w:rPr>
      </w:pPr>
      <w:r>
        <w:rPr>
          <w:rFonts w:cs="Times New Roman"/>
          <w:szCs w:val="24"/>
          <w:lang w:val="bg-BG" w:bidi="en-US"/>
        </w:rPr>
        <w:t>Наблюдават се</w:t>
      </w:r>
      <w:r w:rsidRPr="000263F1">
        <w:rPr>
          <w:rFonts w:cs="Times New Roman"/>
          <w:szCs w:val="24"/>
          <w:lang w:val="bg-BG" w:bidi="en-US"/>
        </w:rPr>
        <w:t xml:space="preserve"> тенденции </w:t>
      </w:r>
      <w:r>
        <w:rPr>
          <w:rFonts w:cs="Times New Roman"/>
          <w:szCs w:val="24"/>
          <w:lang w:val="bg-BG" w:bidi="en-US"/>
        </w:rPr>
        <w:t xml:space="preserve">за </w:t>
      </w:r>
      <w:r w:rsidRPr="000263F1">
        <w:rPr>
          <w:rFonts w:cs="Times New Roman"/>
          <w:szCs w:val="24"/>
          <w:lang w:val="bg-BG" w:bidi="en-US"/>
        </w:rPr>
        <w:t>бързо навлизане на нови технологии и приоритети – от изкуствен интелект</w:t>
      </w:r>
      <w:r w:rsidR="0068320C">
        <w:rPr>
          <w:rFonts w:cs="Times New Roman"/>
          <w:szCs w:val="24"/>
          <w:lang w:val="bg-BG" w:bidi="en-US"/>
        </w:rPr>
        <w:t>,</w:t>
      </w:r>
      <w:r w:rsidRPr="000263F1">
        <w:rPr>
          <w:rFonts w:cs="Times New Roman"/>
          <w:szCs w:val="24"/>
          <w:lang w:val="bg-BG" w:bidi="en-US"/>
        </w:rPr>
        <w:t xml:space="preserve"> киберсигурност</w:t>
      </w:r>
      <w:r w:rsidR="0068320C">
        <w:rPr>
          <w:rFonts w:cs="Times New Roman"/>
          <w:szCs w:val="24"/>
          <w:lang w:val="bg-BG" w:bidi="en-US"/>
        </w:rPr>
        <w:t>, космически, технологии с военно приложение</w:t>
      </w:r>
      <w:r w:rsidRPr="000263F1">
        <w:rPr>
          <w:rFonts w:cs="Times New Roman"/>
          <w:szCs w:val="24"/>
          <w:lang w:val="bg-BG" w:bidi="en-US"/>
        </w:rPr>
        <w:t xml:space="preserve"> до </w:t>
      </w:r>
      <w:r w:rsidRPr="000263F1">
        <w:rPr>
          <w:rFonts w:cs="Times New Roman"/>
          <w:szCs w:val="24"/>
          <w:lang w:val="bg-BG" w:bidi="en-US"/>
        </w:rPr>
        <w:lastRenderedPageBreak/>
        <w:t xml:space="preserve">квантови технологии – което изисква стратегиите за интелигентна специализация регулярно да преосмислят фокуса си. </w:t>
      </w:r>
      <w:r w:rsidR="0068320C">
        <w:rPr>
          <w:rFonts w:cs="Times New Roman"/>
          <w:szCs w:val="24"/>
          <w:lang w:val="bg-BG" w:bidi="en-US"/>
        </w:rPr>
        <w:t>Част</w:t>
      </w:r>
      <w:r w:rsidRPr="000263F1">
        <w:rPr>
          <w:rFonts w:cs="Times New Roman"/>
          <w:szCs w:val="24"/>
          <w:lang w:val="bg-BG" w:bidi="en-US"/>
        </w:rPr>
        <w:t xml:space="preserve"> от тези </w:t>
      </w:r>
      <w:r w:rsidRPr="000263F1">
        <w:rPr>
          <w:rFonts w:cs="Times New Roman"/>
          <w:b/>
          <w:bCs/>
          <w:szCs w:val="24"/>
          <w:lang w:val="bg-BG" w:bidi="en-US"/>
        </w:rPr>
        <w:t>критични технологии</w:t>
      </w:r>
      <w:r w:rsidRPr="000263F1">
        <w:rPr>
          <w:rFonts w:cs="Times New Roman"/>
          <w:szCs w:val="24"/>
          <w:lang w:val="bg-BG" w:bidi="en-US"/>
        </w:rPr>
        <w:t xml:space="preserve"> имат потенциал за </w:t>
      </w:r>
      <w:r w:rsidRPr="000263F1">
        <w:rPr>
          <w:rFonts w:cs="Times New Roman"/>
          <w:b/>
          <w:bCs/>
          <w:szCs w:val="24"/>
          <w:lang w:val="bg-BG" w:bidi="en-US"/>
        </w:rPr>
        <w:t>двойна употреба</w:t>
      </w:r>
      <w:r w:rsidRPr="000263F1">
        <w:rPr>
          <w:rFonts w:cs="Times New Roman"/>
          <w:szCs w:val="24"/>
          <w:lang w:val="bg-BG" w:bidi="en-US"/>
        </w:rPr>
        <w:t xml:space="preserve"> и могат да служат на стратегически цели, свързани с конкурентоспособността, устойчивостта, отбраната и сигурността. Европейската комисия посочва като примери изкуствения интелект, усъвършенстваните материали, нанотехнологиите, киберсигурността, сателитните технологии, биотехнологиите, квантовите технологии, авиационно-космическите системи и </w:t>
      </w:r>
      <w:proofErr w:type="spellStart"/>
      <w:r w:rsidRPr="000263F1">
        <w:rPr>
          <w:rFonts w:cs="Times New Roman"/>
          <w:szCs w:val="24"/>
          <w:lang w:val="bg-BG" w:bidi="en-US"/>
        </w:rPr>
        <w:t>дроновете</w:t>
      </w:r>
      <w:proofErr w:type="spellEnd"/>
      <w:r w:rsidRPr="000263F1">
        <w:rPr>
          <w:rFonts w:cs="Times New Roman"/>
          <w:szCs w:val="24"/>
          <w:lang w:val="bg-BG" w:bidi="en-US"/>
        </w:rPr>
        <w:t xml:space="preserve"> – именно такива направления, които днес формират ядрото на глобалния технологичен напредък. </w:t>
      </w:r>
      <w:r w:rsidR="001B614B" w:rsidRPr="001B614B">
        <w:rPr>
          <w:rFonts w:cs="Times New Roman"/>
          <w:szCs w:val="24"/>
          <w:lang w:val="bg-BG" w:bidi="en-US"/>
        </w:rPr>
        <w:t xml:space="preserve">НАТО вече постави фокус върху тези технологии чрез новия си Инвестиционен фонд за иновации с бюджет 1 млрд. евро, базиран в Люксембург – фондът ще инвестира в стартъпи и високотехнологични компании, разработващи иновации и технологии с двойна употреба и потенциално приложение в отбраната и сигурността. По този начин Алиансът цели да запази технологично превъзходство и да засили сътрудничеството с високотехнологични иноватори. </w:t>
      </w:r>
    </w:p>
    <w:p w14:paraId="5C3E7D14" w14:textId="77777777" w:rsidR="001B614B" w:rsidRDefault="001B614B" w:rsidP="005C5D13">
      <w:pPr>
        <w:spacing w:after="127" w:line="360" w:lineRule="auto"/>
        <w:ind w:right="2" w:firstLine="284"/>
        <w:jc w:val="both"/>
        <w:rPr>
          <w:rFonts w:cs="Times New Roman"/>
          <w:szCs w:val="24"/>
          <w:lang w:val="bg-BG" w:bidi="en-US"/>
        </w:rPr>
      </w:pPr>
      <w:r w:rsidRPr="001B614B">
        <w:rPr>
          <w:rFonts w:cs="Times New Roman"/>
          <w:szCs w:val="24"/>
          <w:lang w:val="bg-BG" w:bidi="en-US"/>
        </w:rPr>
        <w:t>В европейски контекст също се отчита, че развитието на двойната употреба на ключови технологии е решаващо за икономическата и стратегическата сигурност – много от критичните за бъдещето технологии могат да имат приложение едновременно в гражданската и военната сфера, което обуславя и специални политики на подкрепа от ЕС. Европейската комисия дори изготви Бяла книга (приета през януари 2024 г.) с възможности за засилване на научноизследователската и развойна дейност в технологии с двойна употреба, признавайки че това би спомогнало на ЕС да намали стратегическите си зависимости и да запази лидерство в критични технологии.</w:t>
      </w:r>
      <w:r>
        <w:rPr>
          <w:rFonts w:cs="Times New Roman"/>
          <w:szCs w:val="24"/>
          <w:lang w:val="bg-BG" w:bidi="en-US"/>
        </w:rPr>
        <w:t xml:space="preserve"> </w:t>
      </w:r>
    </w:p>
    <w:p w14:paraId="6451573C" w14:textId="77777777" w:rsidR="001B614B" w:rsidRPr="00AF5B3E" w:rsidRDefault="001B614B" w:rsidP="005C5D13">
      <w:pPr>
        <w:spacing w:after="127" w:line="360" w:lineRule="auto"/>
        <w:ind w:right="2" w:firstLine="284"/>
        <w:jc w:val="both"/>
        <w:rPr>
          <w:rFonts w:cs="Times New Roman"/>
          <w:szCs w:val="24"/>
          <w:lang w:val="bg-BG" w:bidi="en-US"/>
        </w:rPr>
      </w:pPr>
      <w:r w:rsidRPr="001B614B">
        <w:rPr>
          <w:rFonts w:cs="Times New Roman"/>
          <w:szCs w:val="24"/>
          <w:lang w:val="bg-BG" w:bidi="en-US"/>
        </w:rPr>
        <w:t xml:space="preserve">В световен мащаб </w:t>
      </w:r>
      <w:r w:rsidRPr="00081E4F">
        <w:rPr>
          <w:rFonts w:cs="Times New Roman"/>
          <w:b/>
          <w:bCs/>
          <w:szCs w:val="24"/>
          <w:lang w:val="bg-BG" w:bidi="en-US"/>
        </w:rPr>
        <w:t>космическата индустрия</w:t>
      </w:r>
      <w:r w:rsidRPr="001B614B">
        <w:rPr>
          <w:rFonts w:cs="Times New Roman"/>
          <w:szCs w:val="24"/>
          <w:lang w:val="bg-BG" w:bidi="en-US"/>
        </w:rPr>
        <w:t xml:space="preserve"> се разраства динамично – очаква се глобалната космическа икономика да достигне $1,8 трилиона до 2035 г. при среден годишен ръст около 9%, значително над глобалния БВП. Намаляването на разходите за изстрелване (спад с десетократен фактор през последните 20 години) и навлизането на частни играчи доведоха до безпрецедентен ръст на сателитните мисии и „отвориха“ космоса за повече играчи. Това означава, че космическите технологии стават достъпни и за по-малки държави и фирми, които могат да участват в разработването на сателитни приложения, наземна инфраструктура, системи за наблюдение, комуникации и др.</w:t>
      </w:r>
    </w:p>
    <w:p w14:paraId="1F8C7303" w14:textId="77777777" w:rsidR="00BC628C" w:rsidRDefault="0035737A" w:rsidP="005C5D13">
      <w:pPr>
        <w:spacing w:after="127" w:line="360" w:lineRule="auto"/>
        <w:ind w:right="2" w:firstLine="284"/>
        <w:jc w:val="both"/>
        <w:rPr>
          <w:rFonts w:cs="Times New Roman"/>
          <w:szCs w:val="24"/>
          <w:lang w:val="bg-BG" w:bidi="en-US"/>
        </w:rPr>
      </w:pPr>
      <w:r w:rsidRPr="0035737A">
        <w:rPr>
          <w:rFonts w:cs="Times New Roman"/>
          <w:szCs w:val="24"/>
          <w:lang w:val="bg-BG" w:bidi="en-US"/>
        </w:rPr>
        <w:t xml:space="preserve">Глобалните процеси – особено </w:t>
      </w:r>
      <w:proofErr w:type="spellStart"/>
      <w:r w:rsidRPr="0035737A">
        <w:rPr>
          <w:rFonts w:cs="Times New Roman"/>
          <w:szCs w:val="24"/>
          <w:lang w:val="bg-BG" w:bidi="en-US"/>
        </w:rPr>
        <w:t>декарбонизацията</w:t>
      </w:r>
      <w:proofErr w:type="spellEnd"/>
      <w:r w:rsidRPr="0035737A">
        <w:rPr>
          <w:rFonts w:cs="Times New Roman"/>
          <w:szCs w:val="24"/>
          <w:lang w:val="bg-BG" w:bidi="en-US"/>
        </w:rPr>
        <w:t xml:space="preserve"> на икономиката и цифровият преход – изстреляха търсенето на ключови суровини до безпрецедентни нива. Много от новите технологии (батерии за </w:t>
      </w:r>
      <w:proofErr w:type="spellStart"/>
      <w:r w:rsidRPr="0035737A">
        <w:rPr>
          <w:rFonts w:cs="Times New Roman"/>
          <w:szCs w:val="24"/>
          <w:lang w:val="bg-BG" w:bidi="en-US"/>
        </w:rPr>
        <w:t>електромобили</w:t>
      </w:r>
      <w:proofErr w:type="spellEnd"/>
      <w:r w:rsidRPr="0035737A">
        <w:rPr>
          <w:rFonts w:cs="Times New Roman"/>
          <w:szCs w:val="24"/>
          <w:lang w:val="bg-BG" w:bidi="en-US"/>
        </w:rPr>
        <w:t xml:space="preserve">, възобновяеми източници, електроника, </w:t>
      </w:r>
      <w:r w:rsidRPr="0035737A">
        <w:rPr>
          <w:rFonts w:cs="Times New Roman"/>
          <w:szCs w:val="24"/>
          <w:lang w:val="bg-BG" w:bidi="en-US"/>
        </w:rPr>
        <w:lastRenderedPageBreak/>
        <w:t xml:space="preserve">космически и отбранителни системи и др.) изискват редки метали и минерали, чиито доставки са ограничени. </w:t>
      </w:r>
      <w:r w:rsidRPr="0035737A">
        <w:rPr>
          <w:rFonts w:cs="Times New Roman"/>
          <w:b/>
          <w:bCs/>
          <w:szCs w:val="24"/>
          <w:lang w:val="bg-BG" w:bidi="en-US"/>
        </w:rPr>
        <w:t>Критичните суровини</w:t>
      </w:r>
      <w:r w:rsidRPr="0035737A">
        <w:rPr>
          <w:rFonts w:cs="Times New Roman"/>
          <w:szCs w:val="24"/>
          <w:lang w:val="bg-BG" w:bidi="en-US"/>
        </w:rPr>
        <w:t xml:space="preserve"> вече се признават като незаменими за икономиката на ЕС и широк набор от стратегически сектори – възобновяема енергия, цифрова индустрия, авиационно-космически и отбранителни технологии. В същото време Европа е силно зависима от внос, често от един външен доставчик, а последните кризи (напр. нарушенията във веригите на доставки по време на пандемията и геополитическото напрежение вследствие на войната в Украйна) подчертаха уязвимостта на тези зависимости. През 2023–2024 г. ЕС предприе решителни стъпки да отговори на този риск – беше приет Европейски акт за критичните суровини (CRM </w:t>
      </w:r>
      <w:proofErr w:type="spellStart"/>
      <w:r w:rsidRPr="0035737A">
        <w:rPr>
          <w:rFonts w:cs="Times New Roman"/>
          <w:szCs w:val="24"/>
          <w:lang w:val="bg-BG" w:bidi="en-US"/>
        </w:rPr>
        <w:t>Act</w:t>
      </w:r>
      <w:proofErr w:type="spellEnd"/>
      <w:r w:rsidRPr="0035737A">
        <w:rPr>
          <w:rFonts w:cs="Times New Roman"/>
          <w:szCs w:val="24"/>
          <w:lang w:val="bg-BG" w:bidi="en-US"/>
        </w:rPr>
        <w:t>), чиято цел е да гарантира сигурен и устойчив достъп на Съюза до важни материали. Част от мерките са насочени към развиване на собствен добив и преработка в Европа – поставени са цели поне 10% от годишното потребление на критични суровини в ЕС да се добиват вътре в Съюза и поне 40% да се преработват в Европа до 2030 г. За постигането на това се предвижда облекчаване на разрешителните процедури за стратегически проекти, ускорени инвестиции и партньорства със страни, богати на ресурси. На регионално ниво също има раздвижване – през 2023 г. Сърбия подписа стратегическо партньорство с ЕС в областта на устойчивите суровини, батерийните вериги и електромобилността, което демонстрира значението на добивния сектор за бъдещата зелена и цифрова трансформация на региона. България разполага с богати залежи от мед и други стратегически метали и вече е сред водещите миннодобивни държави в Европа по редица показатели. Това предоставя значителни възможности в контекста на новите условия – нарасналото глобално търсене и недостига на суровини превръщат притежаването на собствени ресурси в икономическо и геополитическо предимство.</w:t>
      </w:r>
    </w:p>
    <w:p w14:paraId="6A25083D" w14:textId="77777777" w:rsidR="00277B24" w:rsidRPr="00277B24" w:rsidRDefault="00277B24" w:rsidP="005C5D13">
      <w:pPr>
        <w:pStyle w:val="Heading2"/>
        <w:spacing w:line="360" w:lineRule="auto"/>
        <w:rPr>
          <w:rFonts w:ascii="Times New Roman" w:hAnsi="Times New Roman" w:cs="Times New Roman"/>
          <w:b/>
          <w:bCs/>
          <w:lang w:val="bg-BG" w:bidi="en-US"/>
        </w:rPr>
      </w:pPr>
      <w:bookmarkStart w:id="20" w:name="_Toc216427816"/>
      <w:r w:rsidRPr="00277B24">
        <w:rPr>
          <w:rFonts w:ascii="Times New Roman" w:hAnsi="Times New Roman" w:cs="Times New Roman"/>
          <w:b/>
          <w:bCs/>
          <w:lang w:val="bg-BG" w:bidi="en-US"/>
        </w:rPr>
        <w:t>Европейски политики и инициативи.</w:t>
      </w:r>
      <w:bookmarkEnd w:id="20"/>
    </w:p>
    <w:p w14:paraId="29B9F74F" w14:textId="77777777" w:rsidR="003537F7" w:rsidRPr="003537F7" w:rsidRDefault="003537F7" w:rsidP="005C5D13">
      <w:pPr>
        <w:spacing w:after="127" w:line="360" w:lineRule="auto"/>
        <w:ind w:right="2" w:firstLine="284"/>
        <w:jc w:val="both"/>
        <w:rPr>
          <w:rFonts w:cs="Times New Roman"/>
          <w:szCs w:val="24"/>
          <w:lang w:val="bg-BG" w:bidi="en-US"/>
        </w:rPr>
      </w:pPr>
      <w:r w:rsidRPr="003537F7">
        <w:rPr>
          <w:rFonts w:cs="Times New Roman"/>
          <w:szCs w:val="24"/>
          <w:lang w:val="bg-BG" w:bidi="en-US"/>
        </w:rPr>
        <w:t>Външната среда на изпълнението на ИСИС е в значителна степен обусловена от приоритетите на Европейския съюз в областта на научните изследвания, иновациите, индустриалната трансформация и регионалното развитие. Политиките на ЕС за периода 2021–2027 очертават ясна стратегическа рамка, която има пряко отражение върху националните иновационни системи и определя условията за достъп до финансиране, трансфер на знания и участие в европейски технологични инициативи.</w:t>
      </w:r>
    </w:p>
    <w:p w14:paraId="5E5161CC" w14:textId="77777777" w:rsidR="003537F7" w:rsidRPr="003537F7" w:rsidRDefault="003537F7" w:rsidP="005C5D13">
      <w:pPr>
        <w:spacing w:after="127" w:line="360" w:lineRule="auto"/>
        <w:ind w:right="2" w:firstLine="284"/>
        <w:jc w:val="both"/>
        <w:rPr>
          <w:rFonts w:cs="Times New Roman"/>
          <w:szCs w:val="24"/>
          <w:lang w:val="bg-BG" w:bidi="en-US"/>
        </w:rPr>
      </w:pPr>
      <w:r w:rsidRPr="003537F7">
        <w:rPr>
          <w:rFonts w:cs="Times New Roman"/>
          <w:szCs w:val="24"/>
          <w:lang w:val="bg-BG" w:bidi="en-US"/>
        </w:rPr>
        <w:t xml:space="preserve">В областта на индустриалната политика ЕС реализира последователни действия, насочени към укрепване на стратегическата автономност и конкурентоспособността на Съюза. </w:t>
      </w:r>
      <w:r>
        <w:rPr>
          <w:rFonts w:cs="Times New Roman"/>
          <w:szCs w:val="24"/>
          <w:lang w:val="bg-BG" w:bidi="en-US"/>
        </w:rPr>
        <w:t>Актове</w:t>
      </w:r>
      <w:r w:rsidRPr="003537F7">
        <w:rPr>
          <w:rFonts w:cs="Times New Roman"/>
          <w:szCs w:val="24"/>
          <w:lang w:val="bg-BG" w:bidi="en-US"/>
        </w:rPr>
        <w:t xml:space="preserve"> като </w:t>
      </w:r>
      <w:r>
        <w:rPr>
          <w:rFonts w:cs="Times New Roman"/>
          <w:szCs w:val="24"/>
          <w:lang w:val="bg-BG" w:bidi="en-US"/>
        </w:rPr>
        <w:t>Актът</w:t>
      </w:r>
      <w:r w:rsidRPr="003537F7">
        <w:rPr>
          <w:rFonts w:cs="Times New Roman"/>
          <w:szCs w:val="24"/>
          <w:lang w:val="bg-BG" w:bidi="en-US"/>
        </w:rPr>
        <w:t xml:space="preserve"> за интегралните схеми</w:t>
      </w:r>
      <w:r>
        <w:rPr>
          <w:rFonts w:cs="Times New Roman"/>
          <w:szCs w:val="24"/>
          <w:lang w:val="bg-BG" w:bidi="en-US"/>
        </w:rPr>
        <w:t>, Актът за суровините</w:t>
      </w:r>
      <w:r w:rsidRPr="003537F7">
        <w:rPr>
          <w:rFonts w:cs="Times New Roman"/>
          <w:szCs w:val="24"/>
          <w:lang w:val="bg-BG" w:bidi="en-US"/>
        </w:rPr>
        <w:t xml:space="preserve"> и </w:t>
      </w:r>
      <w:r>
        <w:rPr>
          <w:rFonts w:cs="Times New Roman"/>
          <w:szCs w:val="24"/>
          <w:lang w:val="bg-BG" w:bidi="en-US"/>
        </w:rPr>
        <w:t>А</w:t>
      </w:r>
      <w:r w:rsidRPr="003537F7">
        <w:rPr>
          <w:rFonts w:cs="Times New Roman"/>
          <w:szCs w:val="24"/>
          <w:lang w:val="bg-BG" w:bidi="en-US"/>
        </w:rPr>
        <w:t>кт</w:t>
      </w:r>
      <w:r>
        <w:rPr>
          <w:rFonts w:cs="Times New Roman"/>
          <w:szCs w:val="24"/>
          <w:lang w:val="bg-BG" w:bidi="en-US"/>
        </w:rPr>
        <w:t>ът</w:t>
      </w:r>
      <w:r w:rsidRPr="003537F7">
        <w:rPr>
          <w:rFonts w:cs="Times New Roman"/>
          <w:szCs w:val="24"/>
          <w:lang w:val="bg-BG" w:bidi="en-US"/>
        </w:rPr>
        <w:t xml:space="preserve"> за </w:t>
      </w:r>
      <w:r w:rsidRPr="003537F7">
        <w:rPr>
          <w:rFonts w:cs="Times New Roman"/>
          <w:szCs w:val="24"/>
          <w:lang w:val="bg-BG" w:bidi="en-US"/>
        </w:rPr>
        <w:lastRenderedPageBreak/>
        <w:t>промишленост с нулеви нетни емисии създават нова архитектура за устойчиво развитие на европейската индустрия, като целят намаляване на зависимостите от външни доставчици, стимулиране на иновациите в критични технологични сектори и ускорено развитие на капацитети за производство и преработка в рамките на ЕС. Тези инициативи поставят акцент върху области със системно значение – полупроводници, зелени технологии, стратегически суровини, високотехнологични компоненти – и осигуряват инструментариум за интегриране на по-малки икономики като България в европейските вериги за стойност.</w:t>
      </w:r>
    </w:p>
    <w:p w14:paraId="7321AF9D" w14:textId="77777777" w:rsidR="003537F7" w:rsidRPr="003537F7" w:rsidRDefault="003537F7" w:rsidP="005C5D13">
      <w:pPr>
        <w:spacing w:after="127" w:line="360" w:lineRule="auto"/>
        <w:ind w:right="2" w:firstLine="284"/>
        <w:jc w:val="both"/>
        <w:rPr>
          <w:rFonts w:cs="Times New Roman"/>
          <w:szCs w:val="24"/>
          <w:lang w:val="bg-BG" w:bidi="en-US"/>
        </w:rPr>
      </w:pPr>
      <w:r w:rsidRPr="003537F7">
        <w:rPr>
          <w:rFonts w:cs="Times New Roman"/>
          <w:szCs w:val="24"/>
          <w:lang w:val="bg-BG" w:bidi="en-US"/>
        </w:rPr>
        <w:t xml:space="preserve">Паралелно с индустриалната трансформация ЕС развива амбициозна рамка за иновации чрез Новата Европейска иновационна програма (New </w:t>
      </w:r>
      <w:proofErr w:type="spellStart"/>
      <w:r w:rsidRPr="003537F7">
        <w:rPr>
          <w:rFonts w:cs="Times New Roman"/>
          <w:szCs w:val="24"/>
          <w:lang w:val="bg-BG" w:bidi="en-US"/>
        </w:rPr>
        <w:t>European</w:t>
      </w:r>
      <w:proofErr w:type="spellEnd"/>
      <w:r w:rsidRPr="003537F7">
        <w:rPr>
          <w:rFonts w:cs="Times New Roman"/>
          <w:szCs w:val="24"/>
          <w:lang w:val="bg-BG" w:bidi="en-US"/>
        </w:rPr>
        <w:t xml:space="preserve"> </w:t>
      </w:r>
      <w:proofErr w:type="spellStart"/>
      <w:r w:rsidRPr="003537F7">
        <w:rPr>
          <w:rFonts w:cs="Times New Roman"/>
          <w:szCs w:val="24"/>
          <w:lang w:val="bg-BG" w:bidi="en-US"/>
        </w:rPr>
        <w:t>Innovation</w:t>
      </w:r>
      <w:proofErr w:type="spellEnd"/>
      <w:r w:rsidRPr="003537F7">
        <w:rPr>
          <w:rFonts w:cs="Times New Roman"/>
          <w:szCs w:val="24"/>
          <w:lang w:val="bg-BG" w:bidi="en-US"/>
        </w:rPr>
        <w:t xml:space="preserve"> </w:t>
      </w:r>
      <w:proofErr w:type="spellStart"/>
      <w:r w:rsidRPr="003537F7">
        <w:rPr>
          <w:rFonts w:cs="Times New Roman"/>
          <w:szCs w:val="24"/>
          <w:lang w:val="bg-BG" w:bidi="en-US"/>
        </w:rPr>
        <w:t>Agenda</w:t>
      </w:r>
      <w:proofErr w:type="spellEnd"/>
      <w:r w:rsidRPr="003537F7">
        <w:rPr>
          <w:rFonts w:cs="Times New Roman"/>
          <w:szCs w:val="24"/>
          <w:lang w:val="bg-BG" w:bidi="en-US"/>
        </w:rPr>
        <w:t>). Тя структурира действията на Съюза в посока ускоряване на развитието на дълбоки технологии, подобряване на достъпа до рисков капитал, подкрепа за стартиращи предприятия и укрепване на трансфера на знания между наука и индустрия. Програмата акцентира върху технологични направления с глобално стратегическо значение – изкуствен интелект, свръхмощни изчислителни системи, квантови технологии, биотехнологии, космически решения и автономни системи. В този контекст държавите членки, включително България, се насърчават да развиват интегрирани иновационни екосистеми, способни да генерират и комерсиализират високотехнологични решения.</w:t>
      </w:r>
    </w:p>
    <w:p w14:paraId="6E5B1870" w14:textId="77777777" w:rsidR="003537F7" w:rsidRPr="003537F7" w:rsidRDefault="003537F7" w:rsidP="005C5D13">
      <w:pPr>
        <w:spacing w:after="127" w:line="360" w:lineRule="auto"/>
        <w:ind w:right="2" w:firstLine="284"/>
        <w:jc w:val="both"/>
        <w:rPr>
          <w:rFonts w:cs="Times New Roman"/>
          <w:szCs w:val="24"/>
          <w:lang w:val="bg-BG" w:bidi="en-US"/>
        </w:rPr>
      </w:pPr>
      <w:r w:rsidRPr="003537F7">
        <w:rPr>
          <w:rFonts w:cs="Times New Roman"/>
          <w:szCs w:val="24"/>
          <w:lang w:val="bg-BG" w:bidi="en-US"/>
        </w:rPr>
        <w:t xml:space="preserve">Съществен е и приносът на европейските политики за регионално сближаване, които целят намаляване на териториалните различия и изграждане на мрежови иновационни екосистеми в по-слабо развитите региони. Инициативи като </w:t>
      </w:r>
      <w:proofErr w:type="spellStart"/>
      <w:r w:rsidRPr="003537F7">
        <w:rPr>
          <w:rFonts w:cs="Times New Roman"/>
          <w:szCs w:val="24"/>
          <w:lang w:val="bg-BG" w:bidi="en-US"/>
        </w:rPr>
        <w:t>Widening</w:t>
      </w:r>
      <w:proofErr w:type="spellEnd"/>
      <w:r w:rsidRPr="003537F7">
        <w:rPr>
          <w:rFonts w:cs="Times New Roman"/>
          <w:szCs w:val="24"/>
          <w:lang w:val="bg-BG" w:bidi="en-US"/>
        </w:rPr>
        <w:t xml:space="preserve"> </w:t>
      </w:r>
      <w:proofErr w:type="spellStart"/>
      <w:r w:rsidRPr="003537F7">
        <w:rPr>
          <w:rFonts w:cs="Times New Roman"/>
          <w:szCs w:val="24"/>
          <w:lang w:val="bg-BG" w:bidi="en-US"/>
        </w:rPr>
        <w:t>Participation</w:t>
      </w:r>
      <w:proofErr w:type="spellEnd"/>
      <w:r w:rsidRPr="003537F7">
        <w:rPr>
          <w:rFonts w:cs="Times New Roman"/>
          <w:szCs w:val="24"/>
          <w:lang w:val="bg-BG" w:bidi="en-US"/>
        </w:rPr>
        <w:t xml:space="preserve"> </w:t>
      </w:r>
      <w:proofErr w:type="spellStart"/>
      <w:r w:rsidRPr="003537F7">
        <w:rPr>
          <w:rFonts w:cs="Times New Roman"/>
          <w:szCs w:val="24"/>
          <w:lang w:val="bg-BG" w:bidi="en-US"/>
        </w:rPr>
        <w:t>and</w:t>
      </w:r>
      <w:proofErr w:type="spellEnd"/>
      <w:r w:rsidRPr="003537F7">
        <w:rPr>
          <w:rFonts w:cs="Times New Roman"/>
          <w:szCs w:val="24"/>
          <w:lang w:val="bg-BG" w:bidi="en-US"/>
        </w:rPr>
        <w:t xml:space="preserve"> </w:t>
      </w:r>
      <w:proofErr w:type="spellStart"/>
      <w:r w:rsidRPr="003537F7">
        <w:rPr>
          <w:rFonts w:cs="Times New Roman"/>
          <w:szCs w:val="24"/>
          <w:lang w:val="bg-BG" w:bidi="en-US"/>
        </w:rPr>
        <w:t>Spreading</w:t>
      </w:r>
      <w:proofErr w:type="spellEnd"/>
      <w:r w:rsidRPr="003537F7">
        <w:rPr>
          <w:rFonts w:cs="Times New Roman"/>
          <w:szCs w:val="24"/>
          <w:lang w:val="bg-BG" w:bidi="en-US"/>
        </w:rPr>
        <w:t xml:space="preserve"> </w:t>
      </w:r>
      <w:proofErr w:type="spellStart"/>
      <w:r w:rsidRPr="003537F7">
        <w:rPr>
          <w:rFonts w:cs="Times New Roman"/>
          <w:szCs w:val="24"/>
          <w:lang w:val="bg-BG" w:bidi="en-US"/>
        </w:rPr>
        <w:t>Excellence</w:t>
      </w:r>
      <w:proofErr w:type="spellEnd"/>
      <w:r w:rsidRPr="003537F7">
        <w:rPr>
          <w:rFonts w:cs="Times New Roman"/>
          <w:szCs w:val="24"/>
          <w:lang w:val="bg-BG" w:bidi="en-US"/>
        </w:rPr>
        <w:t>, Европейските иновационни долини (</w:t>
      </w:r>
      <w:proofErr w:type="spellStart"/>
      <w:r w:rsidRPr="003537F7">
        <w:rPr>
          <w:rFonts w:cs="Times New Roman"/>
          <w:szCs w:val="24"/>
          <w:lang w:val="bg-BG" w:bidi="en-US"/>
        </w:rPr>
        <w:t>Innovation</w:t>
      </w:r>
      <w:proofErr w:type="spellEnd"/>
      <w:r w:rsidRPr="003537F7">
        <w:rPr>
          <w:rFonts w:cs="Times New Roman"/>
          <w:szCs w:val="24"/>
          <w:lang w:val="bg-BG" w:bidi="en-US"/>
        </w:rPr>
        <w:t xml:space="preserve"> </w:t>
      </w:r>
      <w:proofErr w:type="spellStart"/>
      <w:r w:rsidRPr="003537F7">
        <w:rPr>
          <w:rFonts w:cs="Times New Roman"/>
          <w:szCs w:val="24"/>
          <w:lang w:val="bg-BG" w:bidi="en-US"/>
        </w:rPr>
        <w:t>Valleys</w:t>
      </w:r>
      <w:proofErr w:type="spellEnd"/>
      <w:r w:rsidRPr="003537F7">
        <w:rPr>
          <w:rFonts w:cs="Times New Roman"/>
          <w:szCs w:val="24"/>
          <w:lang w:val="bg-BG" w:bidi="en-US"/>
        </w:rPr>
        <w:t>) и мрежите от дигитални иновационни хъбове осигуряват насочен ресурс и експертна подкрепа за интеграция на изоставащите региони в европейския иновационен ландшафт. Тези инструменти са пряко свързани със С3 рамката (</w:t>
      </w:r>
      <w:proofErr w:type="spellStart"/>
      <w:r w:rsidRPr="003537F7">
        <w:rPr>
          <w:rFonts w:cs="Times New Roman"/>
          <w:szCs w:val="24"/>
          <w:lang w:val="bg-BG" w:bidi="en-US"/>
        </w:rPr>
        <w:t>Smart</w:t>
      </w:r>
      <w:proofErr w:type="spellEnd"/>
      <w:r w:rsidRPr="003537F7">
        <w:rPr>
          <w:rFonts w:cs="Times New Roman"/>
          <w:szCs w:val="24"/>
          <w:lang w:val="bg-BG" w:bidi="en-US"/>
        </w:rPr>
        <w:t xml:space="preserve"> </w:t>
      </w:r>
      <w:proofErr w:type="spellStart"/>
      <w:r w:rsidRPr="003537F7">
        <w:rPr>
          <w:rFonts w:cs="Times New Roman"/>
          <w:szCs w:val="24"/>
          <w:lang w:val="bg-BG" w:bidi="en-US"/>
        </w:rPr>
        <w:t>Specialisation</w:t>
      </w:r>
      <w:proofErr w:type="spellEnd"/>
      <w:r w:rsidRPr="003537F7">
        <w:rPr>
          <w:rFonts w:cs="Times New Roman"/>
          <w:szCs w:val="24"/>
          <w:lang w:val="bg-BG" w:bidi="en-US"/>
        </w:rPr>
        <w:t xml:space="preserve"> </w:t>
      </w:r>
      <w:proofErr w:type="spellStart"/>
      <w:r w:rsidRPr="003537F7">
        <w:rPr>
          <w:rFonts w:cs="Times New Roman"/>
          <w:szCs w:val="24"/>
          <w:lang w:val="bg-BG" w:bidi="en-US"/>
        </w:rPr>
        <w:t>Strategy</w:t>
      </w:r>
      <w:proofErr w:type="spellEnd"/>
      <w:r w:rsidRPr="003537F7">
        <w:rPr>
          <w:rFonts w:cs="Times New Roman"/>
          <w:szCs w:val="24"/>
          <w:lang w:val="bg-BG" w:bidi="en-US"/>
        </w:rPr>
        <w:t xml:space="preserve"> Framework) и подкрепят териториалната логика на ИСИС, насърчавайки по-балансирано разпределение на иновационния потенциал в България.</w:t>
      </w:r>
    </w:p>
    <w:p w14:paraId="37C56B03" w14:textId="77777777" w:rsidR="00146761" w:rsidRDefault="003537F7" w:rsidP="005C5D13">
      <w:pPr>
        <w:spacing w:after="127" w:line="360" w:lineRule="auto"/>
        <w:ind w:right="2" w:firstLine="284"/>
        <w:jc w:val="both"/>
        <w:rPr>
          <w:rFonts w:cs="Times New Roman"/>
          <w:szCs w:val="24"/>
          <w:lang w:val="bg-BG" w:bidi="en-US"/>
        </w:rPr>
      </w:pPr>
      <w:r w:rsidRPr="003537F7">
        <w:rPr>
          <w:rFonts w:cs="Times New Roman"/>
          <w:szCs w:val="24"/>
          <w:lang w:val="bg-BG" w:bidi="en-US"/>
        </w:rPr>
        <w:t xml:space="preserve">Особено значение има и европейската регулаторна и административна среда, която създава рамковите условия за изпълнението на иновационни политики. Чрез пакета за административно опростяване „Омнибус“ ЕС си поставя стратегическата цел до 2029 г. да бъде намалена административната тежест за бизнеса с 25%, а за МСП – с 35%. Тези действия включват дигитализация на процедурите, премахване на излишни изисквания, стандартизиране на процеси и намаляване на регулаторната фрагментация. </w:t>
      </w:r>
      <w:r w:rsidRPr="003537F7">
        <w:rPr>
          <w:rFonts w:cs="Times New Roman"/>
          <w:szCs w:val="24"/>
          <w:lang w:val="bg-BG" w:bidi="en-US"/>
        </w:rPr>
        <w:lastRenderedPageBreak/>
        <w:t xml:space="preserve">Допълнително, ключови нормативни актове – като </w:t>
      </w:r>
      <w:r w:rsidR="00D27F6D">
        <w:rPr>
          <w:rFonts w:cs="Times New Roman"/>
          <w:szCs w:val="24"/>
          <w:lang w:val="bg-BG" w:bidi="en-US"/>
        </w:rPr>
        <w:t>Актът за изкуствен интелект</w:t>
      </w:r>
      <w:r w:rsidRPr="003537F7">
        <w:rPr>
          <w:rFonts w:cs="Times New Roman"/>
          <w:szCs w:val="24"/>
          <w:lang w:val="bg-BG" w:bidi="en-US"/>
        </w:rPr>
        <w:t xml:space="preserve">, </w:t>
      </w:r>
      <w:r w:rsidR="00D27F6D">
        <w:rPr>
          <w:rFonts w:cs="Times New Roman"/>
          <w:szCs w:val="24"/>
          <w:lang w:val="bg-BG" w:bidi="en-US"/>
        </w:rPr>
        <w:t>Актът за данните</w:t>
      </w:r>
      <w:r w:rsidRPr="003537F7">
        <w:rPr>
          <w:rFonts w:cs="Times New Roman"/>
          <w:szCs w:val="24"/>
          <w:lang w:val="bg-BG" w:bidi="en-US"/>
        </w:rPr>
        <w:t xml:space="preserve">, </w:t>
      </w:r>
      <w:r w:rsidR="00D27F6D">
        <w:rPr>
          <w:rFonts w:cs="Times New Roman"/>
          <w:szCs w:val="24"/>
          <w:lang w:val="bg-BG" w:bidi="en-US"/>
        </w:rPr>
        <w:t>Актът за киберустойчивостта</w:t>
      </w:r>
      <w:r w:rsidRPr="003537F7">
        <w:rPr>
          <w:rFonts w:cs="Times New Roman"/>
          <w:szCs w:val="24"/>
          <w:lang w:val="bg-BG" w:bidi="en-US"/>
        </w:rPr>
        <w:t>, регулациите за цифрови услуги и управлението на данни – осигуряват стабилна и предвидима рамка за внедряването на иновации и за функционирането на технологичните компании в ЕС. За държавите членки това създава условия за адаптиране на националните политики към общоевропейските стандарти и за засилване на административния капацитет в приоритетните области.</w:t>
      </w:r>
    </w:p>
    <w:p w14:paraId="2BA72257" w14:textId="77777777" w:rsidR="0053330D" w:rsidRPr="00DF1128" w:rsidRDefault="00DF1128" w:rsidP="005C5D13">
      <w:pPr>
        <w:pStyle w:val="Heading2"/>
        <w:spacing w:line="360" w:lineRule="auto"/>
        <w:rPr>
          <w:rFonts w:ascii="Times New Roman" w:hAnsi="Times New Roman" w:cs="Times New Roman"/>
          <w:b/>
          <w:bCs/>
          <w:lang w:val="bg-BG" w:bidi="en-US"/>
        </w:rPr>
      </w:pPr>
      <w:bookmarkStart w:id="21" w:name="_Toc216427817"/>
      <w:r w:rsidRPr="00DF1128">
        <w:rPr>
          <w:rFonts w:ascii="Times New Roman" w:hAnsi="Times New Roman" w:cs="Times New Roman"/>
          <w:b/>
          <w:bCs/>
          <w:lang w:val="bg-BG" w:bidi="en-US"/>
        </w:rPr>
        <w:t>Въздействие върху реализацията на ИСИС.</w:t>
      </w:r>
      <w:bookmarkEnd w:id="21"/>
    </w:p>
    <w:p w14:paraId="45DD2BB0" w14:textId="77777777" w:rsidR="00CF70EB" w:rsidRPr="00CF70EB" w:rsidRDefault="00CF70EB" w:rsidP="005C5D13">
      <w:pPr>
        <w:spacing w:after="127" w:line="360" w:lineRule="auto"/>
        <w:ind w:right="2" w:firstLine="284"/>
        <w:jc w:val="both"/>
        <w:rPr>
          <w:rFonts w:cs="Times New Roman"/>
          <w:szCs w:val="24"/>
          <w:lang w:val="bg-BG" w:bidi="en-US"/>
        </w:rPr>
      </w:pPr>
      <w:r w:rsidRPr="00CF70EB">
        <w:rPr>
          <w:rFonts w:cs="Times New Roman"/>
          <w:szCs w:val="24"/>
          <w:lang w:val="bg-BG" w:bidi="en-US"/>
        </w:rPr>
        <w:t xml:space="preserve">Геополитическите процеси, ускорените технологични трансформации и динамиката на европейските политики формират сложна външна среда, която оказва пряко и многопластово въздействие върху изпълнението на ИСИС. Тази среда създава едновременно значителни </w:t>
      </w:r>
      <w:r w:rsidRPr="00CF70EB">
        <w:rPr>
          <w:rFonts w:cs="Times New Roman"/>
          <w:b/>
          <w:bCs/>
          <w:szCs w:val="24"/>
          <w:lang w:val="bg-BG" w:bidi="en-US"/>
        </w:rPr>
        <w:t>структурни ограничения</w:t>
      </w:r>
      <w:r w:rsidRPr="00CF70EB">
        <w:rPr>
          <w:rFonts w:cs="Times New Roman"/>
          <w:szCs w:val="24"/>
          <w:lang w:val="bg-BG" w:bidi="en-US"/>
        </w:rPr>
        <w:t xml:space="preserve"> и широк спектър </w:t>
      </w:r>
      <w:r w:rsidRPr="00CF70EB">
        <w:rPr>
          <w:rFonts w:cs="Times New Roman"/>
          <w:b/>
          <w:bCs/>
          <w:szCs w:val="24"/>
          <w:lang w:val="bg-BG" w:bidi="en-US"/>
        </w:rPr>
        <w:t>от стратегически възможности</w:t>
      </w:r>
      <w:r w:rsidRPr="00CF70EB">
        <w:rPr>
          <w:rFonts w:cs="Times New Roman"/>
          <w:szCs w:val="24"/>
          <w:lang w:val="bg-BG" w:bidi="en-US"/>
        </w:rPr>
        <w:t>, които изискват адаптивен, проактивен и интегриран подход при реализацията на националната иновационна политика.</w:t>
      </w:r>
    </w:p>
    <w:p w14:paraId="50E1CEBC" w14:textId="77777777" w:rsidR="00CF70EB" w:rsidRPr="00CF70EB" w:rsidRDefault="00CF70EB" w:rsidP="005C5D13">
      <w:pPr>
        <w:spacing w:after="127" w:line="360" w:lineRule="auto"/>
        <w:ind w:right="2" w:firstLine="284"/>
        <w:jc w:val="both"/>
        <w:rPr>
          <w:rFonts w:cs="Times New Roman"/>
          <w:szCs w:val="24"/>
          <w:lang w:val="bg-BG" w:bidi="en-US"/>
        </w:rPr>
      </w:pPr>
      <w:r w:rsidRPr="00CF70EB">
        <w:rPr>
          <w:rFonts w:cs="Times New Roman"/>
          <w:szCs w:val="24"/>
          <w:lang w:val="bg-BG" w:bidi="en-US"/>
        </w:rPr>
        <w:t xml:space="preserve">От гледна точка на рисковете, нарастващата нестабилност в глобалните вериги на доставки, засилената зависимост от критични суровини и повишената конкуренция в ключови технологични сегменти – като изкуствен интелект, микроелектроника, квантови технологии и космически системи – ограничават предвидимостта и устойчивостта на иновационните процеси. Тези тенденции се комбинират със системно </w:t>
      </w:r>
      <w:proofErr w:type="spellStart"/>
      <w:r w:rsidRPr="00CF70EB">
        <w:rPr>
          <w:rFonts w:cs="Times New Roman"/>
          <w:szCs w:val="24"/>
          <w:lang w:val="bg-BG" w:bidi="en-US"/>
        </w:rPr>
        <w:t>недофинансиране</w:t>
      </w:r>
      <w:proofErr w:type="spellEnd"/>
      <w:r w:rsidRPr="00CF70EB">
        <w:rPr>
          <w:rFonts w:cs="Times New Roman"/>
          <w:szCs w:val="24"/>
          <w:lang w:val="bg-BG" w:bidi="en-US"/>
        </w:rPr>
        <w:t xml:space="preserve"> на </w:t>
      </w:r>
      <w:r w:rsidR="002F5566">
        <w:rPr>
          <w:rFonts w:cs="Times New Roman"/>
          <w:szCs w:val="24"/>
          <w:lang w:val="bg-BG" w:bidi="en-US"/>
        </w:rPr>
        <w:t>НИРД</w:t>
      </w:r>
      <w:r w:rsidRPr="00CF70EB">
        <w:rPr>
          <w:rFonts w:cs="Times New Roman"/>
          <w:szCs w:val="24"/>
          <w:lang w:val="bg-BG" w:bidi="en-US"/>
        </w:rPr>
        <w:t xml:space="preserve"> на национално ниво, което поставя България в трайно догонваща позиция спрямо средните европейски стойности. Регионалните дисбаланси в разходите за НИРД и в развитието на иновационните екосистеми допълнително утежняват ситуацията, като ограничават способността за равномерно териториално разгръщане на потенциала на интелигентната специализация. Недостигът на висококвалифицирани кадри в STEM областите и конкуренцията с частния сектор за задържане на експерти представляват допълнителни препятствия за изпълнението на стратегическите цели.</w:t>
      </w:r>
    </w:p>
    <w:p w14:paraId="01C4ED4C" w14:textId="77777777" w:rsidR="00CF70EB" w:rsidRPr="00CF70EB" w:rsidRDefault="00CF70EB" w:rsidP="005C5D13">
      <w:pPr>
        <w:spacing w:after="127" w:line="360" w:lineRule="auto"/>
        <w:ind w:right="2" w:firstLine="284"/>
        <w:jc w:val="both"/>
        <w:rPr>
          <w:rFonts w:cs="Times New Roman"/>
          <w:szCs w:val="24"/>
          <w:lang w:val="bg-BG" w:bidi="en-US"/>
        </w:rPr>
      </w:pPr>
      <w:r w:rsidRPr="00CF70EB">
        <w:rPr>
          <w:rFonts w:cs="Times New Roman"/>
          <w:szCs w:val="24"/>
          <w:lang w:val="bg-BG" w:bidi="en-US"/>
        </w:rPr>
        <w:t xml:space="preserve">В същото време външната среда предоставя съществени възможности, които могат да ускорят реализацията на ИСИС при наличие на целенасочени политики и капацитет за усвояване. Европейските инициативи в областта на дълбоките технологии, индустриалната трансформация и стратегическата автономност разширяват достъпа на България до финансови инструменти, технологични консорциуми и мрежи за научноизследователско сътрудничество. Перспективите за участие в европейските инициативи по линия на </w:t>
      </w:r>
      <w:r w:rsidR="002F5566">
        <w:rPr>
          <w:rFonts w:cs="Times New Roman"/>
          <w:szCs w:val="24"/>
          <w:lang w:val="bg-BG" w:bidi="en-US"/>
        </w:rPr>
        <w:t>Актът за интегралните схеми</w:t>
      </w:r>
      <w:r w:rsidRPr="00CF70EB">
        <w:rPr>
          <w:rFonts w:cs="Times New Roman"/>
          <w:szCs w:val="24"/>
          <w:lang w:val="bg-BG" w:bidi="en-US"/>
        </w:rPr>
        <w:t xml:space="preserve">, </w:t>
      </w:r>
      <w:r w:rsidR="002F5566">
        <w:rPr>
          <w:rFonts w:cs="Times New Roman"/>
          <w:szCs w:val="24"/>
          <w:lang w:val="bg-BG" w:bidi="en-US"/>
        </w:rPr>
        <w:t xml:space="preserve">Актът за промишленост с нулеви </w:t>
      </w:r>
      <w:r w:rsidR="002F5566">
        <w:rPr>
          <w:rFonts w:cs="Times New Roman"/>
          <w:szCs w:val="24"/>
          <w:lang w:val="bg-BG" w:bidi="en-US"/>
        </w:rPr>
        <w:lastRenderedPageBreak/>
        <w:t>нетни емисии</w:t>
      </w:r>
      <w:r w:rsidRPr="00CF70EB">
        <w:rPr>
          <w:rFonts w:cs="Times New Roman"/>
          <w:szCs w:val="24"/>
          <w:lang w:val="bg-BG" w:bidi="en-US"/>
        </w:rPr>
        <w:t>, програми за квантови и космически технологии, както и в проекти за двойно употребяеми технологии, подкрепени от ЕС и НАТО, предоставят възможност за позициониране на страната в нови европейски вериги на стойност. Паралелно с това продължаващите усилия на ЕС за административно опростяване и цифровизация на процесите – включително целите за намаляване на регулаторната тежест – създават предпоставки за повишаване на ефективността на иновационната администрация в България. Възможностите за обмен на опит с водещи европейски администрации, участието в научни инфраструктури от европейско значение и засилването на трансфера на знания между научния и индустриалния сектор допълнително разширяват капацитета за развитие на нови научни направления и за внедряване на високотехнологични решения.</w:t>
      </w:r>
    </w:p>
    <w:p w14:paraId="7AD03EC5" w14:textId="77777777" w:rsidR="00DF1128" w:rsidRDefault="00CF70EB" w:rsidP="005C5D13">
      <w:pPr>
        <w:spacing w:after="127" w:line="360" w:lineRule="auto"/>
        <w:ind w:right="2" w:firstLine="284"/>
        <w:jc w:val="both"/>
        <w:rPr>
          <w:rFonts w:cs="Times New Roman"/>
          <w:szCs w:val="24"/>
          <w:lang w:val="bg-BG" w:bidi="en-US"/>
        </w:rPr>
      </w:pPr>
      <w:r w:rsidRPr="00CF70EB">
        <w:rPr>
          <w:rFonts w:cs="Times New Roman"/>
          <w:szCs w:val="24"/>
          <w:lang w:val="bg-BG" w:bidi="en-US"/>
        </w:rPr>
        <w:t>В цялостното си влияние външната среда налага необходимостта от по-гъвкава и адаптивна реализация на ИСИС, способна да интегрира нововъзникващите технологични и геополитически тенденции, да използва в пълна степен наличните европейски инструменти и да минимизира рисковете, произтичащи от глобалната нестабилност. Стратегическото управление на ИСИС следва да бъде ориентирано към навременни корекции, укрепване на институционалния капацитет и реално ангажиране на индустрията, научната общност и регионалните партньори, така че България да трансформира външните предизвикателства в двигател за ускорено развитие и повишена конкурентоспособност.</w:t>
      </w:r>
    </w:p>
    <w:p w14:paraId="2204F452" w14:textId="77777777" w:rsidR="00DB07CB" w:rsidRDefault="00DB07CB">
      <w:pPr>
        <w:rPr>
          <w:rFonts w:cs="Times New Roman"/>
          <w:szCs w:val="24"/>
          <w:lang w:val="bg-BG" w:bidi="en-US"/>
        </w:rPr>
      </w:pPr>
      <w:r>
        <w:rPr>
          <w:rFonts w:cs="Times New Roman"/>
          <w:szCs w:val="24"/>
          <w:lang w:val="bg-BG" w:bidi="en-US"/>
        </w:rPr>
        <w:br w:type="page"/>
      </w:r>
    </w:p>
    <w:p w14:paraId="331DB5CC" w14:textId="77777777" w:rsidR="00AE19E9" w:rsidRPr="00DD1D42" w:rsidRDefault="00AE19E9" w:rsidP="005C5D13">
      <w:pPr>
        <w:pStyle w:val="Heading1"/>
        <w:spacing w:line="360" w:lineRule="auto"/>
        <w:rPr>
          <w:rFonts w:ascii="Times New Roman" w:hAnsi="Times New Roman" w:cs="Times New Roman"/>
          <w:b/>
          <w:bCs/>
          <w:lang w:val="bg-BG" w:bidi="en-US"/>
        </w:rPr>
      </w:pPr>
      <w:bookmarkStart w:id="22" w:name="_Toc216427818"/>
      <w:r w:rsidRPr="00DD1D42">
        <w:rPr>
          <w:rFonts w:ascii="Times New Roman" w:hAnsi="Times New Roman" w:cs="Times New Roman"/>
          <w:b/>
          <w:bCs/>
          <w:lang w:val="bg-BG" w:bidi="en-US"/>
        </w:rPr>
        <w:lastRenderedPageBreak/>
        <w:t>Напредък по изпълнението на Стратегията и постигането на стратегическите и оперативни цели</w:t>
      </w:r>
      <w:bookmarkEnd w:id="22"/>
    </w:p>
    <w:p w14:paraId="15D41BF1" w14:textId="77777777" w:rsidR="00DD1D42" w:rsidRPr="00DD1D42" w:rsidRDefault="00DD1D42" w:rsidP="005C5D13">
      <w:pPr>
        <w:pStyle w:val="Heading2"/>
        <w:spacing w:line="360" w:lineRule="auto"/>
        <w:rPr>
          <w:rFonts w:ascii="Times New Roman" w:hAnsi="Times New Roman" w:cs="Times New Roman"/>
          <w:b/>
          <w:bCs/>
          <w:lang w:val="bg-BG" w:bidi="en-US"/>
        </w:rPr>
      </w:pPr>
      <w:bookmarkStart w:id="23" w:name="_Toc216427819"/>
      <w:r w:rsidRPr="00DD1D42">
        <w:rPr>
          <w:rFonts w:ascii="Times New Roman" w:hAnsi="Times New Roman" w:cs="Times New Roman"/>
          <w:b/>
          <w:bCs/>
          <w:lang w:val="bg-BG" w:bidi="en-US"/>
        </w:rPr>
        <w:t>Статус на изпълнение по стратегически цели.</w:t>
      </w:r>
      <w:bookmarkEnd w:id="23"/>
    </w:p>
    <w:p w14:paraId="0540B54F" w14:textId="77777777" w:rsidR="00E86A9C" w:rsidRPr="00233A0B"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Към 2025 г. изпълнението на ИСИС напредва, като са реализирани значителна част от заложените мерки, макар и с различно темпо по отделните цели. </w:t>
      </w:r>
    </w:p>
    <w:p w14:paraId="1E78597D" w14:textId="77777777" w:rsidR="00E86A9C" w:rsidRPr="00233A0B"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По </w:t>
      </w:r>
      <w:r w:rsidRPr="00233A0B">
        <w:rPr>
          <w:rFonts w:cs="Times New Roman"/>
          <w:b/>
          <w:bCs/>
          <w:szCs w:val="24"/>
          <w:lang w:val="bg-BG" w:bidi="en-US"/>
        </w:rPr>
        <w:t>Стратегическа цел № </w:t>
      </w:r>
      <w:r w:rsidR="00CF7D41">
        <w:rPr>
          <w:rFonts w:cs="Times New Roman"/>
          <w:b/>
          <w:bCs/>
          <w:szCs w:val="24"/>
          <w:lang w:bidi="en-US"/>
        </w:rPr>
        <w:t>I</w:t>
      </w:r>
      <w:r w:rsidRPr="00233A0B">
        <w:rPr>
          <w:rFonts w:cs="Times New Roman"/>
          <w:szCs w:val="24"/>
          <w:lang w:val="bg-BG" w:bidi="en-US"/>
        </w:rPr>
        <w:t xml:space="preserve"> </w:t>
      </w:r>
      <w:r w:rsidR="001E791E" w:rsidRPr="001E791E">
        <w:rPr>
          <w:rFonts w:cs="Times New Roman"/>
          <w:i/>
          <w:iCs/>
          <w:szCs w:val="24"/>
          <w:lang w:val="bg-BG" w:bidi="en-US"/>
        </w:rPr>
        <w:t>(технологична и дигитална трансформация)</w:t>
      </w:r>
      <w:r w:rsidR="001E791E">
        <w:rPr>
          <w:rFonts w:cs="Times New Roman"/>
          <w:szCs w:val="24"/>
          <w:lang w:val="bg-BG" w:bidi="en-US"/>
        </w:rPr>
        <w:t xml:space="preserve"> </w:t>
      </w:r>
      <w:r w:rsidRPr="00233A0B">
        <w:rPr>
          <w:rFonts w:cs="Times New Roman"/>
          <w:szCs w:val="24"/>
          <w:lang w:val="bg-BG" w:bidi="en-US"/>
        </w:rPr>
        <w:t>от общо 48 мерки в Плана за действие 12 мерки вече са изцяло изпълнени, 31 мерки са в процес на изпълнение, а 5 мерки не са стартирали или отпада необходимостта от тях. Разбивката по оперативни цели показва, че: по Оперативна цел </w:t>
      </w:r>
      <w:r w:rsidR="00982372" w:rsidRPr="00233A0B">
        <w:rPr>
          <w:rFonts w:cs="Times New Roman"/>
          <w:szCs w:val="24"/>
          <w:lang w:val="bg-BG" w:bidi="en-US"/>
        </w:rPr>
        <w:t xml:space="preserve">№ </w:t>
      </w:r>
      <w:r w:rsidRPr="00233A0B">
        <w:rPr>
          <w:rFonts w:cs="Times New Roman"/>
          <w:szCs w:val="24"/>
          <w:lang w:val="bg-BG" w:bidi="en-US"/>
        </w:rPr>
        <w:t xml:space="preserve">1 има 12 мерки в процес на изпълнение и 1 </w:t>
      </w:r>
      <w:proofErr w:type="spellStart"/>
      <w:r w:rsidR="00982372" w:rsidRPr="00233A0B">
        <w:rPr>
          <w:rFonts w:cs="Times New Roman"/>
          <w:szCs w:val="24"/>
          <w:lang w:val="bg-BG" w:bidi="en-US"/>
        </w:rPr>
        <w:t>нестартирала</w:t>
      </w:r>
      <w:proofErr w:type="spellEnd"/>
      <w:r w:rsidRPr="00233A0B">
        <w:rPr>
          <w:rFonts w:cs="Times New Roman"/>
          <w:szCs w:val="24"/>
          <w:lang w:val="bg-BG" w:bidi="en-US"/>
        </w:rPr>
        <w:t>; по Оперативна цел </w:t>
      </w:r>
      <w:r w:rsidR="00982372" w:rsidRPr="00233A0B">
        <w:rPr>
          <w:rFonts w:cs="Times New Roman"/>
          <w:szCs w:val="24"/>
          <w:lang w:val="bg-BG" w:bidi="en-US"/>
        </w:rPr>
        <w:t xml:space="preserve">№ </w:t>
      </w:r>
      <w:r w:rsidRPr="00233A0B">
        <w:rPr>
          <w:rFonts w:cs="Times New Roman"/>
          <w:szCs w:val="24"/>
          <w:lang w:val="bg-BG" w:bidi="en-US"/>
        </w:rPr>
        <w:t xml:space="preserve">2 – 12 мерки изпълнени, 13 в изпълнение, 1 </w:t>
      </w:r>
      <w:proofErr w:type="spellStart"/>
      <w:r w:rsidR="00982372" w:rsidRPr="00233A0B">
        <w:rPr>
          <w:rFonts w:cs="Times New Roman"/>
          <w:szCs w:val="24"/>
          <w:lang w:val="bg-BG" w:bidi="en-US"/>
        </w:rPr>
        <w:t>нестартирала</w:t>
      </w:r>
      <w:proofErr w:type="spellEnd"/>
      <w:r w:rsidRPr="00233A0B">
        <w:rPr>
          <w:rFonts w:cs="Times New Roman"/>
          <w:szCs w:val="24"/>
          <w:lang w:val="bg-BG" w:bidi="en-US"/>
        </w:rPr>
        <w:t>, 1 отпаднала и 2 обединени с други мерки; по Оперативна цел </w:t>
      </w:r>
      <w:r w:rsidR="00982372" w:rsidRPr="00233A0B">
        <w:rPr>
          <w:rFonts w:cs="Times New Roman"/>
          <w:szCs w:val="24"/>
          <w:lang w:val="bg-BG" w:bidi="en-US"/>
        </w:rPr>
        <w:t xml:space="preserve">№ </w:t>
      </w:r>
      <w:r w:rsidRPr="00233A0B">
        <w:rPr>
          <w:rFonts w:cs="Times New Roman"/>
          <w:szCs w:val="24"/>
          <w:lang w:val="bg-BG" w:bidi="en-US"/>
        </w:rPr>
        <w:t xml:space="preserve">3 – 6 мерки в процес на изпълнение. </w:t>
      </w:r>
    </w:p>
    <w:p w14:paraId="0A0DD652" w14:textId="77777777" w:rsidR="00AE19E9" w:rsidRPr="00233A0B"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В рамките на </w:t>
      </w:r>
      <w:r w:rsidRPr="00233A0B">
        <w:rPr>
          <w:rFonts w:cs="Times New Roman"/>
          <w:b/>
          <w:bCs/>
          <w:szCs w:val="24"/>
          <w:lang w:val="bg-BG" w:bidi="en-US"/>
        </w:rPr>
        <w:t>Стратегическа цел № </w:t>
      </w:r>
      <w:r w:rsidR="00CF7D41">
        <w:rPr>
          <w:rFonts w:cs="Times New Roman"/>
          <w:b/>
          <w:bCs/>
          <w:szCs w:val="24"/>
          <w:lang w:bidi="en-US"/>
        </w:rPr>
        <w:t>II</w:t>
      </w:r>
      <w:r w:rsidRPr="00233A0B">
        <w:rPr>
          <w:rFonts w:cs="Times New Roman"/>
          <w:szCs w:val="24"/>
          <w:lang w:val="bg-BG" w:bidi="en-US"/>
        </w:rPr>
        <w:t xml:space="preserve"> </w:t>
      </w:r>
      <w:r w:rsidR="001E791E" w:rsidRPr="001E791E">
        <w:rPr>
          <w:rFonts w:cs="Times New Roman"/>
          <w:i/>
          <w:iCs/>
          <w:szCs w:val="24"/>
          <w:lang w:val="bg-BG" w:bidi="en-US"/>
        </w:rPr>
        <w:t>(иновационна екосистема и свързаност)</w:t>
      </w:r>
      <w:r w:rsidR="001E791E">
        <w:rPr>
          <w:rFonts w:cs="Times New Roman"/>
          <w:szCs w:val="24"/>
          <w:lang w:val="bg-BG" w:bidi="en-US"/>
        </w:rPr>
        <w:t xml:space="preserve"> </w:t>
      </w:r>
      <w:r w:rsidRPr="00233A0B">
        <w:rPr>
          <w:rFonts w:cs="Times New Roman"/>
          <w:szCs w:val="24"/>
          <w:lang w:val="bg-BG" w:bidi="en-US"/>
        </w:rPr>
        <w:t>напредъкът е по-ограничен – от 23 мерки само 1 е напълно изпълнена, 14 са в процес на изпълнение, а 8 не са стартирани или са прекратени. По оперативни цели за Стратегическа цел </w:t>
      </w:r>
      <w:r w:rsidR="00982372" w:rsidRPr="00233A0B">
        <w:rPr>
          <w:rFonts w:cs="Times New Roman"/>
          <w:szCs w:val="24"/>
          <w:lang w:val="bg-BG" w:bidi="en-US"/>
        </w:rPr>
        <w:t xml:space="preserve">№ </w:t>
      </w:r>
      <w:r w:rsidR="00CF7D41">
        <w:rPr>
          <w:rFonts w:cs="Times New Roman"/>
          <w:szCs w:val="24"/>
          <w:lang w:bidi="en-US"/>
        </w:rPr>
        <w:t>II</w:t>
      </w:r>
      <w:r w:rsidRPr="00233A0B">
        <w:rPr>
          <w:rFonts w:cs="Times New Roman"/>
          <w:szCs w:val="24"/>
          <w:lang w:val="bg-BG" w:bidi="en-US"/>
        </w:rPr>
        <w:t>: за Оперативна цел</w:t>
      </w:r>
      <w:r w:rsidR="00982372" w:rsidRPr="00233A0B">
        <w:rPr>
          <w:rFonts w:cs="Times New Roman"/>
          <w:szCs w:val="24"/>
          <w:lang w:val="bg-BG" w:bidi="en-US"/>
        </w:rPr>
        <w:t xml:space="preserve"> №</w:t>
      </w:r>
      <w:r w:rsidRPr="00233A0B">
        <w:rPr>
          <w:rFonts w:cs="Times New Roman"/>
          <w:szCs w:val="24"/>
          <w:lang w:val="bg-BG" w:bidi="en-US"/>
        </w:rPr>
        <w:t xml:space="preserve"> 1 – 4 мерки в изпълнение, 1 неизпълнена, 1 </w:t>
      </w:r>
      <w:proofErr w:type="spellStart"/>
      <w:r w:rsidRPr="00233A0B">
        <w:rPr>
          <w:rFonts w:cs="Times New Roman"/>
          <w:szCs w:val="24"/>
          <w:lang w:val="bg-BG" w:bidi="en-US"/>
        </w:rPr>
        <w:t>нестартирала</w:t>
      </w:r>
      <w:proofErr w:type="spellEnd"/>
      <w:r w:rsidRPr="00233A0B">
        <w:rPr>
          <w:rFonts w:cs="Times New Roman"/>
          <w:szCs w:val="24"/>
          <w:lang w:val="bg-BG" w:bidi="en-US"/>
        </w:rPr>
        <w:t>; за Оперативна цел </w:t>
      </w:r>
      <w:r w:rsidR="00982372" w:rsidRPr="00233A0B">
        <w:rPr>
          <w:rFonts w:cs="Times New Roman"/>
          <w:szCs w:val="24"/>
          <w:lang w:val="bg-BG" w:bidi="en-US"/>
        </w:rPr>
        <w:t xml:space="preserve">№ </w:t>
      </w:r>
      <w:r w:rsidRPr="00233A0B">
        <w:rPr>
          <w:rFonts w:cs="Times New Roman"/>
          <w:szCs w:val="24"/>
          <w:lang w:val="bg-BG" w:bidi="en-US"/>
        </w:rPr>
        <w:t>2 – 3 мерки в изпълнение; за Оперативна цел </w:t>
      </w:r>
      <w:r w:rsidR="00982372" w:rsidRPr="00233A0B">
        <w:rPr>
          <w:rFonts w:cs="Times New Roman"/>
          <w:szCs w:val="24"/>
          <w:lang w:val="bg-BG" w:bidi="en-US"/>
        </w:rPr>
        <w:t xml:space="preserve">№ </w:t>
      </w:r>
      <w:r w:rsidRPr="00233A0B">
        <w:rPr>
          <w:rFonts w:cs="Times New Roman"/>
          <w:szCs w:val="24"/>
          <w:lang w:val="bg-BG" w:bidi="en-US"/>
        </w:rPr>
        <w:t xml:space="preserve">3 – 1 изпълнена, 7 в изпълнение, 2 </w:t>
      </w:r>
      <w:proofErr w:type="spellStart"/>
      <w:r w:rsidRPr="00233A0B">
        <w:rPr>
          <w:rFonts w:cs="Times New Roman"/>
          <w:szCs w:val="24"/>
          <w:lang w:val="bg-BG" w:bidi="en-US"/>
        </w:rPr>
        <w:t>нестартирали</w:t>
      </w:r>
      <w:proofErr w:type="spellEnd"/>
      <w:r w:rsidRPr="00233A0B">
        <w:rPr>
          <w:rFonts w:cs="Times New Roman"/>
          <w:szCs w:val="24"/>
          <w:lang w:val="bg-BG" w:bidi="en-US"/>
        </w:rPr>
        <w:t xml:space="preserve"> и 3 прекратени.</w:t>
      </w:r>
    </w:p>
    <w:p w14:paraId="4FE3CD52" w14:textId="77777777" w:rsidR="00AE19E9" w:rsidRPr="00233A0B" w:rsidRDefault="00AE19E9" w:rsidP="005C5D13">
      <w:pPr>
        <w:spacing w:after="127" w:line="360" w:lineRule="auto"/>
        <w:ind w:right="2" w:firstLine="360"/>
        <w:jc w:val="both"/>
        <w:rPr>
          <w:rFonts w:cs="Times New Roman"/>
          <w:szCs w:val="24"/>
          <w:lang w:val="bg-BG" w:bidi="en-US"/>
        </w:rPr>
      </w:pPr>
      <w:r w:rsidRPr="00233A0B">
        <w:rPr>
          <w:rFonts w:cs="Times New Roman"/>
          <w:b/>
          <w:bCs/>
          <w:szCs w:val="24"/>
          <w:lang w:val="bg-BG" w:bidi="en-US"/>
        </w:rPr>
        <w:t>Напредък по Стратегическа цел </w:t>
      </w:r>
      <w:r w:rsidR="00934955" w:rsidRPr="00233A0B">
        <w:rPr>
          <w:rFonts w:cs="Times New Roman"/>
          <w:b/>
          <w:bCs/>
          <w:szCs w:val="24"/>
          <w:lang w:val="bg-BG" w:bidi="en-US"/>
        </w:rPr>
        <w:t xml:space="preserve">№ </w:t>
      </w:r>
      <w:r w:rsidR="00CF7D41">
        <w:rPr>
          <w:rFonts w:cs="Times New Roman"/>
          <w:b/>
          <w:bCs/>
          <w:szCs w:val="24"/>
          <w:lang w:bidi="en-US"/>
        </w:rPr>
        <w:t>I</w:t>
      </w:r>
      <w:r w:rsidRPr="00233A0B">
        <w:rPr>
          <w:rFonts w:cs="Times New Roman"/>
          <w:b/>
          <w:bCs/>
          <w:szCs w:val="24"/>
          <w:lang w:val="bg-BG" w:bidi="en-US"/>
        </w:rPr>
        <w:t xml:space="preserve"> </w:t>
      </w:r>
      <w:r w:rsidRPr="0095669A">
        <w:rPr>
          <w:rFonts w:cs="Times New Roman"/>
          <w:b/>
          <w:bCs/>
          <w:i/>
          <w:iCs/>
          <w:szCs w:val="24"/>
          <w:lang w:val="bg-BG" w:bidi="en-US"/>
        </w:rPr>
        <w:t>(технологична и дигитална трансформация).</w:t>
      </w:r>
      <w:r w:rsidRPr="0095669A">
        <w:rPr>
          <w:rFonts w:cs="Times New Roman"/>
          <w:i/>
          <w:iCs/>
          <w:szCs w:val="24"/>
          <w:lang w:val="bg-BG" w:bidi="en-US"/>
        </w:rPr>
        <w:t xml:space="preserve"> </w:t>
      </w:r>
      <w:r w:rsidRPr="00233A0B">
        <w:rPr>
          <w:rFonts w:cs="Times New Roman"/>
          <w:szCs w:val="24"/>
          <w:lang w:val="bg-BG" w:bidi="en-US"/>
        </w:rPr>
        <w:t xml:space="preserve">Данните сочат, че изпълнението по първата стратегическа цел е значително по-напреднало, отколкото по втората. Изпълнените 12 мерки (25% от заложените) създават устойчиво темпо на цифровизация, особено в публичната администрация, където са внедрени нови информационни системи и дигитални услуги. Постигнатият напредък се подкрепя от стабилно финансиране – основно чрез ПНИИДИТ, която осигурява необходимия ресурс и предвидимост за проектите. Все още преобладаващата част (31 мерки) са в ход на изпълнение, което показва, че първоначалните стъпки са успешно стартирани, но процесите на цифрова трансформация и внедряване на високотехнологични решения изискват повече време. Някои инициативи по тази цел са планирани да се реализират до края на 2027 или 2029 г., което ще позволи по-пълно покриване на целевите резултати въпреки текущите неизпълнения. Необходимостта от удължен времеви хоризонт се обяснява със сложността при интегрирането на нови системи в съществуващата инфраструктура, </w:t>
      </w:r>
      <w:r w:rsidRPr="00233A0B">
        <w:rPr>
          <w:rFonts w:cs="Times New Roman"/>
          <w:szCs w:val="24"/>
          <w:lang w:val="bg-BG" w:bidi="en-US"/>
        </w:rPr>
        <w:lastRenderedPageBreak/>
        <w:t>обучението на персонал, междуресорната координация и адаптацията към бързо променяща се технологична среда.</w:t>
      </w:r>
    </w:p>
    <w:p w14:paraId="7148B234" w14:textId="77777777" w:rsidR="00584066" w:rsidRPr="00233A0B"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При реализацията на мерките по Стратегическа цел </w:t>
      </w:r>
      <w:r w:rsidR="00544FA7" w:rsidRPr="00233A0B">
        <w:rPr>
          <w:rFonts w:cs="Times New Roman"/>
          <w:szCs w:val="24"/>
          <w:lang w:val="bg-BG" w:bidi="en-US"/>
        </w:rPr>
        <w:t xml:space="preserve">№ </w:t>
      </w:r>
      <w:r w:rsidR="00CF7D41">
        <w:rPr>
          <w:rFonts w:cs="Times New Roman"/>
          <w:szCs w:val="24"/>
          <w:lang w:bidi="en-US"/>
        </w:rPr>
        <w:t>I</w:t>
      </w:r>
      <w:r w:rsidRPr="00233A0B">
        <w:rPr>
          <w:rFonts w:cs="Times New Roman"/>
          <w:szCs w:val="24"/>
          <w:lang w:val="bg-BG" w:bidi="en-US"/>
        </w:rPr>
        <w:t xml:space="preserve"> </w:t>
      </w:r>
      <w:r w:rsidR="000A4200" w:rsidRPr="000A4200">
        <w:rPr>
          <w:rFonts w:cs="Times New Roman"/>
          <w:i/>
          <w:iCs/>
          <w:szCs w:val="24"/>
          <w:lang w:val="bg-BG" w:bidi="en-US"/>
        </w:rPr>
        <w:t>(технологична и дигитална трансформация)</w:t>
      </w:r>
      <w:r w:rsidR="000A4200">
        <w:rPr>
          <w:rFonts w:cs="Times New Roman"/>
          <w:szCs w:val="24"/>
          <w:lang w:val="bg-BG" w:bidi="en-US"/>
        </w:rPr>
        <w:t xml:space="preserve"> </w:t>
      </w:r>
      <w:r w:rsidRPr="00233A0B">
        <w:rPr>
          <w:rFonts w:cs="Times New Roman"/>
          <w:szCs w:val="24"/>
          <w:lang w:val="bg-BG" w:bidi="en-US"/>
        </w:rPr>
        <w:t xml:space="preserve">институциите срещат и някои затруднения. Като общо предизвикателство се отчита </w:t>
      </w:r>
      <w:r w:rsidRPr="00233A0B">
        <w:rPr>
          <w:rFonts w:cs="Times New Roman"/>
          <w:b/>
          <w:bCs/>
          <w:szCs w:val="24"/>
          <w:lang w:val="bg-BG" w:bidi="en-US"/>
        </w:rPr>
        <w:t>недостатъчният ресурсен капацитет</w:t>
      </w:r>
      <w:r w:rsidRPr="00233A0B">
        <w:rPr>
          <w:rFonts w:cs="Times New Roman"/>
          <w:szCs w:val="24"/>
          <w:lang w:val="bg-BG" w:bidi="en-US"/>
        </w:rPr>
        <w:t xml:space="preserve"> – в някои случаи ограничени или забавени финансови средства (напр. изчакване на външно финансиране) водят до отлагане старта на проекти или по-бавно изпълнение. Част от мерките изискват координация с външни източници (Европейски програми, други донори) и сложни процедури, което също поражда забавяне. Освен това се наблюдават </w:t>
      </w:r>
      <w:r w:rsidRPr="00233A0B">
        <w:rPr>
          <w:rFonts w:cs="Times New Roman"/>
          <w:b/>
          <w:bCs/>
          <w:szCs w:val="24"/>
          <w:lang w:val="bg-BG" w:bidi="en-US"/>
        </w:rPr>
        <w:t>регионални дисбаланси</w:t>
      </w:r>
      <w:r w:rsidRPr="00233A0B">
        <w:rPr>
          <w:rFonts w:cs="Times New Roman"/>
          <w:szCs w:val="24"/>
          <w:lang w:val="bg-BG" w:bidi="en-US"/>
        </w:rPr>
        <w:t xml:space="preserve"> – достъпът до рисков и инвестиционен капитал извън големите градски центрове и извън ИКТ сектора остава ограничен, което затруднява изпълнението на иновационни проекти в периферните райони. </w:t>
      </w:r>
    </w:p>
    <w:p w14:paraId="0CE978EB" w14:textId="77777777" w:rsidR="00AE19E9" w:rsidRPr="00233A0B" w:rsidRDefault="00AE19E9" w:rsidP="005C5D13">
      <w:pPr>
        <w:spacing w:after="127" w:line="360" w:lineRule="auto"/>
        <w:ind w:right="2" w:firstLine="360"/>
        <w:jc w:val="both"/>
        <w:rPr>
          <w:rFonts w:cs="Times New Roman"/>
          <w:szCs w:val="24"/>
          <w:lang w:bidi="en-US"/>
        </w:rPr>
      </w:pPr>
      <w:r w:rsidRPr="00233A0B">
        <w:rPr>
          <w:rFonts w:cs="Times New Roman"/>
          <w:b/>
          <w:bCs/>
          <w:szCs w:val="24"/>
          <w:lang w:val="bg-BG" w:bidi="en-US"/>
        </w:rPr>
        <w:t>Напредък по Стратегическа цел </w:t>
      </w:r>
      <w:r w:rsidR="00E55021" w:rsidRPr="00233A0B">
        <w:rPr>
          <w:rFonts w:cs="Times New Roman"/>
          <w:b/>
          <w:bCs/>
          <w:szCs w:val="24"/>
          <w:lang w:val="bg-BG" w:bidi="en-US"/>
        </w:rPr>
        <w:t xml:space="preserve">№ </w:t>
      </w:r>
      <w:r w:rsidR="00CF7D41">
        <w:rPr>
          <w:rFonts w:cs="Times New Roman"/>
          <w:b/>
          <w:bCs/>
          <w:szCs w:val="24"/>
          <w:lang w:bidi="en-US"/>
        </w:rPr>
        <w:t>II</w:t>
      </w:r>
      <w:r w:rsidRPr="00233A0B">
        <w:rPr>
          <w:rFonts w:cs="Times New Roman"/>
          <w:b/>
          <w:bCs/>
          <w:szCs w:val="24"/>
          <w:lang w:val="bg-BG" w:bidi="en-US"/>
        </w:rPr>
        <w:t xml:space="preserve"> </w:t>
      </w:r>
      <w:r w:rsidRPr="00437925">
        <w:rPr>
          <w:rFonts w:cs="Times New Roman"/>
          <w:b/>
          <w:bCs/>
          <w:i/>
          <w:iCs/>
          <w:szCs w:val="24"/>
          <w:lang w:val="bg-BG" w:bidi="en-US"/>
        </w:rPr>
        <w:t>(иновационна екосистема и свързаност).</w:t>
      </w:r>
      <w:r w:rsidRPr="00437925">
        <w:rPr>
          <w:rFonts w:cs="Times New Roman"/>
          <w:i/>
          <w:iCs/>
          <w:szCs w:val="24"/>
          <w:lang w:val="bg-BG" w:bidi="en-US"/>
        </w:rPr>
        <w:t xml:space="preserve"> </w:t>
      </w:r>
      <w:r w:rsidRPr="00233A0B">
        <w:rPr>
          <w:rFonts w:cs="Times New Roman"/>
          <w:szCs w:val="24"/>
          <w:lang w:val="bg-BG" w:bidi="en-US"/>
        </w:rPr>
        <w:t xml:space="preserve">Изпълнението на втората стратегическа цел </w:t>
      </w:r>
      <w:r w:rsidR="00E55021" w:rsidRPr="00233A0B">
        <w:rPr>
          <w:rFonts w:cs="Times New Roman"/>
          <w:szCs w:val="24"/>
          <w:lang w:val="bg-BG" w:bidi="en-US"/>
        </w:rPr>
        <w:t>също показва забавяне</w:t>
      </w:r>
      <w:r w:rsidRPr="00233A0B">
        <w:rPr>
          <w:rFonts w:cs="Times New Roman"/>
          <w:szCs w:val="24"/>
          <w:lang w:val="bg-BG" w:bidi="en-US"/>
        </w:rPr>
        <w:t xml:space="preserve">, като мнозинството от мерките са все още в процес на реализация, а завършените проекти са </w:t>
      </w:r>
      <w:r w:rsidR="00E55021" w:rsidRPr="00233A0B">
        <w:rPr>
          <w:rFonts w:cs="Times New Roman"/>
          <w:szCs w:val="24"/>
          <w:lang w:val="bg-BG" w:bidi="en-US"/>
        </w:rPr>
        <w:t>по-малко</w:t>
      </w:r>
      <w:r w:rsidRPr="00233A0B">
        <w:rPr>
          <w:rFonts w:cs="Times New Roman"/>
          <w:szCs w:val="24"/>
          <w:lang w:val="bg-BG" w:bidi="en-US"/>
        </w:rPr>
        <w:t xml:space="preserve">. Отчетеният слаб напредък по тази цел се дължи в немалка степен на </w:t>
      </w:r>
      <w:r w:rsidRPr="00233A0B">
        <w:rPr>
          <w:rFonts w:cs="Times New Roman"/>
          <w:b/>
          <w:bCs/>
          <w:szCs w:val="24"/>
          <w:lang w:val="bg-BG" w:bidi="en-US"/>
        </w:rPr>
        <w:t>бариери от различно естество</w:t>
      </w:r>
      <w:r w:rsidRPr="00233A0B">
        <w:rPr>
          <w:rFonts w:cs="Times New Roman"/>
          <w:szCs w:val="24"/>
          <w:lang w:val="bg-BG" w:bidi="en-US"/>
        </w:rPr>
        <w:t xml:space="preserve">. </w:t>
      </w:r>
      <w:r w:rsidR="00DA7893" w:rsidRPr="00233A0B">
        <w:rPr>
          <w:rFonts w:cs="Times New Roman"/>
          <w:szCs w:val="24"/>
          <w:lang w:val="bg-BG" w:bidi="en-US"/>
        </w:rPr>
        <w:t xml:space="preserve">В резултат от различните трудности свързани с разнообразното ресурсно обезпечаване, </w:t>
      </w:r>
      <w:r w:rsidRPr="00233A0B">
        <w:rPr>
          <w:rFonts w:cs="Times New Roman"/>
          <w:szCs w:val="24"/>
          <w:lang w:val="bg-BG" w:bidi="en-US"/>
        </w:rPr>
        <w:t>някои проекти стартират със закъснение или търпят промени в обхвата, като институциите се стремят да компенсират чрез пренареждане на приоритети, търсене на допълнителни партньорства и оптимизиране на наличния експертен потенциал. Забавянията невинаги водят до отказ от дадена мярка, но поставят под въпрос навременното постигане на междинните цели. На този фон България успява частично да подобри иновационното си представяне, но продължава да изостава спрямо повечето държави членки (страната все още е в долната третина по показатели на Европейския иновационен индекс).</w:t>
      </w:r>
    </w:p>
    <w:p w14:paraId="73D084F1" w14:textId="77777777" w:rsidR="00AE19E9" w:rsidRPr="00233A0B"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Друг ключов фактор, възпрепятстващ прогреса, са </w:t>
      </w:r>
      <w:r w:rsidRPr="00233A0B">
        <w:rPr>
          <w:rFonts w:cs="Times New Roman"/>
          <w:b/>
          <w:bCs/>
          <w:szCs w:val="24"/>
          <w:lang w:val="bg-BG" w:bidi="en-US"/>
        </w:rPr>
        <w:t>нормативните и административни пречки</w:t>
      </w:r>
      <w:r w:rsidRPr="00233A0B">
        <w:rPr>
          <w:rFonts w:cs="Times New Roman"/>
          <w:szCs w:val="24"/>
          <w:lang w:val="bg-BG" w:bidi="en-US"/>
        </w:rPr>
        <w:t xml:space="preserve">. Нерядко действието на институциите се сблъсква с остаряла или </w:t>
      </w:r>
      <w:proofErr w:type="spellStart"/>
      <w:r w:rsidRPr="00233A0B">
        <w:rPr>
          <w:rFonts w:cs="Times New Roman"/>
          <w:szCs w:val="24"/>
          <w:lang w:val="bg-BG" w:bidi="en-US"/>
        </w:rPr>
        <w:t>неадаптирана</w:t>
      </w:r>
      <w:proofErr w:type="spellEnd"/>
      <w:r w:rsidRPr="00233A0B">
        <w:rPr>
          <w:rFonts w:cs="Times New Roman"/>
          <w:szCs w:val="24"/>
          <w:lang w:val="bg-BG" w:bidi="en-US"/>
        </w:rPr>
        <w:t xml:space="preserve"> нормативна уредба, което забавя внедряването на нововъведения. Това явление не е уникално за България – на европейско ниво също се констатира, че прекомерната бюрокрация и разпокъсаната регулаторна рамка спъват иновациите. В отговор Европейската комисия предприема мерки чрез т.нар. „Омнибус“ пакети, насочени към намаляване на административната тежест с 25% общо и с 35% специално за малки и средни предприятия до 2029 г. Аналогични проблеми </w:t>
      </w:r>
      <w:r w:rsidR="00954043" w:rsidRPr="00233A0B">
        <w:rPr>
          <w:rFonts w:cs="Times New Roman"/>
          <w:szCs w:val="24"/>
          <w:lang w:val="bg-BG" w:bidi="en-US"/>
        </w:rPr>
        <w:t>са идентифицирани</w:t>
      </w:r>
      <w:r w:rsidRPr="00233A0B">
        <w:rPr>
          <w:rFonts w:cs="Times New Roman"/>
          <w:szCs w:val="24"/>
          <w:lang w:val="bg-BG" w:bidi="en-US"/>
        </w:rPr>
        <w:t xml:space="preserve"> и </w:t>
      </w:r>
      <w:r w:rsidRPr="00233A0B">
        <w:rPr>
          <w:rFonts w:cs="Times New Roman"/>
          <w:szCs w:val="24"/>
          <w:lang w:val="bg-BG" w:bidi="en-US"/>
        </w:rPr>
        <w:lastRenderedPageBreak/>
        <w:t>при редица мерки по ИСИС – необходими промени в закони или допълнителни разрешителни режими са удължили изпълнението и са го направили зависимо от дългосрочни реформи в нормативната база.</w:t>
      </w:r>
    </w:p>
    <w:p w14:paraId="21890CE3" w14:textId="77777777" w:rsidR="00B74C22" w:rsidRPr="0040263A" w:rsidRDefault="00B74C22" w:rsidP="005C5D13">
      <w:pPr>
        <w:spacing w:after="127" w:line="360" w:lineRule="auto"/>
        <w:ind w:right="2" w:firstLine="360"/>
        <w:jc w:val="both"/>
        <w:rPr>
          <w:rFonts w:cs="Times New Roman"/>
          <w:color w:val="FF0000"/>
          <w:szCs w:val="24"/>
          <w:lang w:val="tr-TR" w:bidi="en-US"/>
        </w:rPr>
      </w:pPr>
      <w:r w:rsidRPr="00233A0B">
        <w:rPr>
          <w:rFonts w:cs="Times New Roman"/>
          <w:b/>
          <w:bCs/>
          <w:szCs w:val="24"/>
          <w:lang w:val="bg-BG" w:bidi="en-US"/>
        </w:rPr>
        <w:t>Капацитет и координация.</w:t>
      </w:r>
      <w:r w:rsidRPr="00233A0B">
        <w:rPr>
          <w:rFonts w:cs="Times New Roman"/>
          <w:szCs w:val="24"/>
          <w:lang w:val="bg-BG" w:bidi="en-US"/>
        </w:rPr>
        <w:t xml:space="preserve"> На изпълнението на стратегията повлияват и фактори, свързани с ограничен административен капацитет и политическа нестабилност през последните години. Повече от половината мерки отчитат недостиг на квалифицирани експерти или недостатъчно добра координация между различните участници (министерства, агенции, изпълнители). Липсата на експертиза, ограничените възможности за обучение и недостатъчната институционална подкрепа затрудняват планирането, управлението и мониторинга на иновационните политики. Това налага предприемането на стъпки към </w:t>
      </w:r>
      <w:r w:rsidRPr="00233A0B">
        <w:rPr>
          <w:rFonts w:cs="Times New Roman"/>
          <w:b/>
          <w:bCs/>
          <w:szCs w:val="24"/>
          <w:lang w:val="bg-BG" w:bidi="en-US"/>
        </w:rPr>
        <w:t xml:space="preserve">структурни реформи, </w:t>
      </w:r>
      <w:r w:rsidRPr="00233A0B">
        <w:rPr>
          <w:rFonts w:cs="Times New Roman"/>
          <w:szCs w:val="24"/>
          <w:lang w:val="bg-BG" w:bidi="en-US"/>
        </w:rPr>
        <w:t xml:space="preserve">като в началото на 2024 година влиза в сила новият Закон за насърчаване на научните изследвания и иновациите (ЗННИИ). Той институционализира взаимодействието между наука и бизнес и създава нови звена за координация. </w:t>
      </w:r>
      <w:r w:rsidR="00432F44" w:rsidRPr="00715F30">
        <w:rPr>
          <w:rFonts w:cs="Times New Roman"/>
          <w:szCs w:val="24"/>
          <w:lang w:val="bg-BG" w:bidi="en-US"/>
        </w:rPr>
        <w:t xml:space="preserve">В рамките на ЗННИИ да се активира Съветът за иновации и научни изследвания като инструмент за междуведомствена координация. </w:t>
      </w:r>
    </w:p>
    <w:p w14:paraId="21C01358" w14:textId="77777777" w:rsidR="00DD1D42" w:rsidRPr="00DD1D42" w:rsidRDefault="00DD1D42" w:rsidP="005C5D13">
      <w:pPr>
        <w:pStyle w:val="Heading2"/>
        <w:spacing w:line="360" w:lineRule="auto"/>
        <w:rPr>
          <w:rFonts w:ascii="Times New Roman" w:hAnsi="Times New Roman" w:cs="Times New Roman"/>
          <w:b/>
          <w:bCs/>
          <w:lang w:val="bg-BG" w:bidi="en-US"/>
        </w:rPr>
      </w:pPr>
      <w:bookmarkStart w:id="24" w:name="_Toc216427820"/>
      <w:r w:rsidRPr="00DD1D42">
        <w:rPr>
          <w:rFonts w:ascii="Times New Roman" w:hAnsi="Times New Roman" w:cs="Times New Roman"/>
          <w:b/>
          <w:bCs/>
          <w:lang w:val="bg-BG" w:bidi="en-US"/>
        </w:rPr>
        <w:t>Напредък по изпълнението на оперативни цели.</w:t>
      </w:r>
      <w:bookmarkEnd w:id="24"/>
    </w:p>
    <w:p w14:paraId="60B2D741" w14:textId="77777777" w:rsidR="00C03295" w:rsidRPr="00233A0B" w:rsidRDefault="00B74C2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Специфичният анализ по оперативни цели разкрива ясно разграничение в степента на напредък между двете стратегически цели. </w:t>
      </w:r>
    </w:p>
    <w:p w14:paraId="47F8D2F9" w14:textId="77777777" w:rsidR="00B74C22" w:rsidRPr="00233A0B" w:rsidRDefault="00B74C2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По </w:t>
      </w:r>
      <w:r w:rsidRPr="00233A0B">
        <w:rPr>
          <w:rFonts w:cs="Times New Roman"/>
          <w:b/>
          <w:bCs/>
          <w:szCs w:val="24"/>
          <w:lang w:val="bg-BG" w:bidi="en-US"/>
        </w:rPr>
        <w:t>Оперативна цел № 1</w:t>
      </w:r>
      <w:r w:rsidRPr="00233A0B">
        <w:rPr>
          <w:rFonts w:cs="Times New Roman"/>
          <w:szCs w:val="24"/>
          <w:lang w:val="bg-BG" w:bidi="en-US"/>
        </w:rPr>
        <w:t xml:space="preserve"> в рамките на </w:t>
      </w:r>
      <w:r w:rsidRPr="00E82C7A">
        <w:rPr>
          <w:rFonts w:cs="Times New Roman"/>
          <w:b/>
          <w:bCs/>
          <w:szCs w:val="24"/>
          <w:lang w:val="bg-BG" w:bidi="en-US"/>
        </w:rPr>
        <w:t>Стратегическа цел № I</w:t>
      </w:r>
      <w:r w:rsidRPr="00233A0B">
        <w:rPr>
          <w:rFonts w:cs="Times New Roman"/>
          <w:szCs w:val="24"/>
          <w:lang w:val="bg-BG" w:bidi="en-US"/>
        </w:rPr>
        <w:t xml:space="preserve"> </w:t>
      </w:r>
      <w:r w:rsidR="00437925" w:rsidRPr="00437925">
        <w:rPr>
          <w:rFonts w:cs="Times New Roman"/>
          <w:i/>
          <w:iCs/>
          <w:szCs w:val="24"/>
          <w:lang w:val="bg-BG" w:bidi="en-US"/>
        </w:rPr>
        <w:t>(технологична и дигитална трансформация)</w:t>
      </w:r>
      <w:r w:rsidR="00437925">
        <w:rPr>
          <w:rFonts w:cs="Times New Roman"/>
          <w:szCs w:val="24"/>
          <w:lang w:val="bg-BG" w:bidi="en-US"/>
        </w:rPr>
        <w:t xml:space="preserve"> </w:t>
      </w:r>
      <w:r w:rsidRPr="00233A0B">
        <w:rPr>
          <w:rFonts w:cs="Times New Roman"/>
          <w:szCs w:val="24"/>
          <w:lang w:val="bg-BG" w:bidi="en-US"/>
        </w:rPr>
        <w:t>се наблюдава осезаемо по-добро представяне. Значителна част от мерките имат технически характер – например разработване на нови ИТ системи, интегрирани бази данни, автоматизация на процеси в публичната администрация – което е предпоставка за по-прецизно планиране, измерване и контрол на резултатите. Някои мерки са с по-голям мащаб и дългосрочно действие (напр. брой потребители на е-услуги, брой издадени електронни удостоверения, брой подкрепени изследователи), което означава, че тяхното изпълнение продължава поетапно и отчетността им е затруднена от споменатите вече външни фактори.</w:t>
      </w:r>
    </w:p>
    <w:p w14:paraId="2FC265B0" w14:textId="77777777" w:rsidR="00B74C22" w:rsidRPr="00233A0B" w:rsidRDefault="00B74C22"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В контраст, оперативните цели, свързани със </w:t>
      </w:r>
      <w:r w:rsidRPr="00233A0B">
        <w:rPr>
          <w:rFonts w:cs="Times New Roman"/>
          <w:b/>
          <w:bCs/>
          <w:szCs w:val="24"/>
          <w:lang w:val="bg-BG" w:bidi="en-US"/>
        </w:rPr>
        <w:t xml:space="preserve">Стратегическа цел № </w:t>
      </w:r>
      <w:r w:rsidR="00CF7D41">
        <w:rPr>
          <w:rFonts w:cs="Times New Roman"/>
          <w:b/>
          <w:bCs/>
          <w:szCs w:val="24"/>
          <w:lang w:bidi="en-US"/>
        </w:rPr>
        <w:t>II</w:t>
      </w:r>
      <w:r w:rsidR="005A5750">
        <w:rPr>
          <w:rFonts w:cs="Times New Roman"/>
          <w:b/>
          <w:bCs/>
          <w:szCs w:val="24"/>
          <w:lang w:val="bg-BG" w:bidi="en-US"/>
        </w:rPr>
        <w:t xml:space="preserve"> </w:t>
      </w:r>
      <w:r w:rsidR="005A5750" w:rsidRPr="005A5750">
        <w:rPr>
          <w:rFonts w:cs="Times New Roman"/>
          <w:i/>
          <w:iCs/>
          <w:szCs w:val="24"/>
          <w:lang w:val="bg-BG" w:bidi="en-US"/>
        </w:rPr>
        <w:t>(иновационна екосистема и свързаност)</w:t>
      </w:r>
      <w:r w:rsidRPr="005A5750">
        <w:rPr>
          <w:rFonts w:cs="Times New Roman"/>
          <w:i/>
          <w:iCs/>
          <w:szCs w:val="24"/>
          <w:lang w:val="bg-BG" w:bidi="en-US"/>
        </w:rPr>
        <w:t xml:space="preserve">, </w:t>
      </w:r>
      <w:r w:rsidRPr="00233A0B">
        <w:rPr>
          <w:rFonts w:cs="Times New Roman"/>
          <w:szCs w:val="24"/>
          <w:lang w:val="bg-BG" w:bidi="en-US"/>
        </w:rPr>
        <w:t xml:space="preserve">срещат сериозни затруднения. Тези цели изискват изграждане на устойчива, приобщаваща и мрежова иновационна екосистема – процес, който предполага активно взаимодействие между множество заинтересовани страни (университети, научни институти, компании, неправителствени организации, местни власти). Координацията между тези субекти се оказва недостатъчна: липсва устойчив </w:t>
      </w:r>
      <w:r w:rsidRPr="00233A0B">
        <w:rPr>
          <w:rFonts w:cs="Times New Roman"/>
          <w:szCs w:val="24"/>
          <w:lang w:val="bg-BG" w:bidi="en-US"/>
        </w:rPr>
        <w:lastRenderedPageBreak/>
        <w:t>механизъм за комуникация, което води до дублиране на усилия, разпиляване на ресурси и забавяне на инициативи. Създаването на хармонична иновационна среда изисква повече време в сравнение с „технологичните“ мерки по</w:t>
      </w:r>
      <w:r w:rsidR="00A24BEB">
        <w:rPr>
          <w:rFonts w:cs="Times New Roman"/>
          <w:szCs w:val="24"/>
          <w:lang w:val="bg-BG" w:bidi="en-US"/>
        </w:rPr>
        <w:t xml:space="preserve"> Стратегическа</w:t>
      </w:r>
      <w:r w:rsidRPr="00233A0B">
        <w:rPr>
          <w:rFonts w:cs="Times New Roman"/>
          <w:szCs w:val="24"/>
          <w:lang w:val="bg-BG" w:bidi="en-US"/>
        </w:rPr>
        <w:t xml:space="preserve"> цел № I</w:t>
      </w:r>
      <w:r w:rsidR="00A24BEB">
        <w:rPr>
          <w:rFonts w:cs="Times New Roman"/>
          <w:szCs w:val="24"/>
          <w:lang w:val="bg-BG" w:bidi="en-US"/>
        </w:rPr>
        <w:t xml:space="preserve"> </w:t>
      </w:r>
      <w:r w:rsidR="00A24BEB" w:rsidRPr="00A24BEB">
        <w:rPr>
          <w:rFonts w:cs="Times New Roman"/>
          <w:i/>
          <w:iCs/>
          <w:szCs w:val="24"/>
          <w:lang w:val="bg-BG" w:bidi="en-US"/>
        </w:rPr>
        <w:t>(технологична и дигитална трансформация)</w:t>
      </w:r>
      <w:r w:rsidRPr="00233A0B">
        <w:rPr>
          <w:rFonts w:cs="Times New Roman"/>
          <w:szCs w:val="24"/>
          <w:lang w:val="bg-BG" w:bidi="en-US"/>
        </w:rPr>
        <w:t>, където процесите са по-структурирани и под контрола на отделни институции.</w:t>
      </w:r>
    </w:p>
    <w:p w14:paraId="4FC3D280" w14:textId="77777777" w:rsidR="0079760E" w:rsidRPr="0018275C" w:rsidRDefault="0018275C" w:rsidP="005C5D13">
      <w:pPr>
        <w:pStyle w:val="Heading2"/>
        <w:spacing w:line="360" w:lineRule="auto"/>
        <w:rPr>
          <w:rFonts w:ascii="Times New Roman" w:hAnsi="Times New Roman" w:cs="Times New Roman"/>
          <w:b/>
          <w:bCs/>
          <w:lang w:val="bg-BG" w:bidi="en-US"/>
        </w:rPr>
      </w:pPr>
      <w:bookmarkStart w:id="25" w:name="_Toc216427821"/>
      <w:r w:rsidRPr="0018275C">
        <w:rPr>
          <w:rFonts w:ascii="Times New Roman" w:hAnsi="Times New Roman" w:cs="Times New Roman"/>
          <w:b/>
          <w:bCs/>
          <w:lang w:val="bg-BG" w:bidi="en-US"/>
        </w:rPr>
        <w:t>Индикатори</w:t>
      </w:r>
      <w:r>
        <w:rPr>
          <w:rFonts w:ascii="Times New Roman" w:hAnsi="Times New Roman" w:cs="Times New Roman"/>
          <w:b/>
          <w:bCs/>
          <w:lang w:val="bg-BG" w:bidi="en-US"/>
        </w:rPr>
        <w:t xml:space="preserve"> и </w:t>
      </w:r>
      <w:r w:rsidR="00B2490E">
        <w:rPr>
          <w:rFonts w:ascii="Times New Roman" w:hAnsi="Times New Roman" w:cs="Times New Roman"/>
          <w:b/>
          <w:bCs/>
          <w:lang w:val="bg-BG" w:bidi="en-US"/>
        </w:rPr>
        <w:t xml:space="preserve">отчетен </w:t>
      </w:r>
      <w:r>
        <w:rPr>
          <w:rFonts w:ascii="Times New Roman" w:hAnsi="Times New Roman" w:cs="Times New Roman"/>
          <w:b/>
          <w:bCs/>
          <w:lang w:val="bg-BG" w:bidi="en-US"/>
        </w:rPr>
        <w:t xml:space="preserve">напредък по </w:t>
      </w:r>
      <w:r w:rsidR="00B2490E">
        <w:rPr>
          <w:rFonts w:ascii="Times New Roman" w:hAnsi="Times New Roman" w:cs="Times New Roman"/>
          <w:b/>
          <w:bCs/>
          <w:lang w:val="bg-BG" w:bidi="en-US"/>
        </w:rPr>
        <w:t xml:space="preserve">тях разделен по </w:t>
      </w:r>
      <w:r>
        <w:rPr>
          <w:rFonts w:ascii="Times New Roman" w:hAnsi="Times New Roman" w:cs="Times New Roman"/>
          <w:b/>
          <w:bCs/>
          <w:lang w:val="bg-BG" w:bidi="en-US"/>
        </w:rPr>
        <w:t>тематични области</w:t>
      </w:r>
      <w:r w:rsidRPr="0018275C">
        <w:rPr>
          <w:rFonts w:ascii="Times New Roman" w:hAnsi="Times New Roman" w:cs="Times New Roman"/>
          <w:b/>
          <w:bCs/>
          <w:lang w:val="bg-BG" w:bidi="en-US"/>
        </w:rPr>
        <w:t>.</w:t>
      </w:r>
      <w:bookmarkEnd w:id="25"/>
    </w:p>
    <w:p w14:paraId="266F4FDE" w14:textId="77777777" w:rsidR="00E879AD" w:rsidRPr="00233A0B" w:rsidRDefault="002B4807"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Стратегията разполага с многостепенна система за мониторинг, която позволява проследяване на напредъка по ключовите цели чрез </w:t>
      </w:r>
      <w:r w:rsidRPr="00233A0B">
        <w:rPr>
          <w:rFonts w:cs="Times New Roman"/>
          <w:b/>
          <w:bCs/>
          <w:szCs w:val="24"/>
          <w:lang w:val="bg-BG" w:bidi="en-US"/>
        </w:rPr>
        <w:t xml:space="preserve">индикатори за краен продукт, резултат и въздействие. </w:t>
      </w:r>
      <w:r w:rsidRPr="00233A0B">
        <w:rPr>
          <w:rFonts w:cs="Times New Roman"/>
          <w:szCs w:val="24"/>
          <w:lang w:val="bg-BG" w:bidi="en-US"/>
        </w:rPr>
        <w:t>Към 2023–2024 г. фокусът на наблюдението е насочен основно към първите два типа показатели, тъй като стратегическият период е все още в междинна фаза и конкретни количествени индикатори за дългосрочно въздействие не са заложени</w:t>
      </w:r>
      <w:r w:rsidR="00FC4E2A" w:rsidRPr="00233A0B">
        <w:rPr>
          <w:rFonts w:cs="Times New Roman"/>
          <w:szCs w:val="24"/>
          <w:lang w:val="bg-BG" w:bidi="en-US"/>
        </w:rPr>
        <w:t>.</w:t>
      </w:r>
      <w:r w:rsidRPr="00233A0B">
        <w:rPr>
          <w:rFonts w:cs="Times New Roman"/>
          <w:szCs w:val="24"/>
          <w:lang w:val="bg-BG" w:bidi="en-US"/>
        </w:rPr>
        <w:t xml:space="preserve"> Мониторингът стъпва на данни от</w:t>
      </w:r>
      <w:r w:rsidR="00FC4E2A" w:rsidRPr="00233A0B">
        <w:rPr>
          <w:rFonts w:cs="Times New Roman"/>
          <w:szCs w:val="24"/>
          <w:lang w:val="bg-BG" w:bidi="en-US"/>
        </w:rPr>
        <w:t xml:space="preserve"> различните ведомства</w:t>
      </w:r>
      <w:r w:rsidRPr="00233A0B">
        <w:rPr>
          <w:rFonts w:cs="Times New Roman"/>
          <w:szCs w:val="24"/>
          <w:lang w:val="bg-BG" w:bidi="en-US"/>
        </w:rPr>
        <w:t>, които дават обективна картина за напредъка на страната по отношение на конкурентоспособността, дигитализацията и иновационния капацитет.</w:t>
      </w:r>
      <w:r w:rsidR="00E879AD" w:rsidRPr="00233A0B">
        <w:rPr>
          <w:rFonts w:cs="Times New Roman"/>
          <w:szCs w:val="24"/>
          <w:lang w:val="bg-BG" w:bidi="en-US"/>
        </w:rPr>
        <w:t xml:space="preserve"> В плана за изпълнение на ИСИС за 2023–2024 г. са дефинирани около 40 индикатора за краен продукт, ~45 за резултат и ~20 за въздействие (стратегически ефекти). Анализът показва, че към края на 2024 г. мнозинството от тези индикатори все още нямат отчетен напредък. Голям процент от показателите за продукт и резултат са „</w:t>
      </w:r>
      <w:proofErr w:type="spellStart"/>
      <w:r w:rsidR="00E879AD" w:rsidRPr="00233A0B">
        <w:rPr>
          <w:rFonts w:cs="Times New Roman"/>
          <w:szCs w:val="24"/>
          <w:lang w:val="bg-BG" w:bidi="en-US"/>
        </w:rPr>
        <w:t>нестартирали</w:t>
      </w:r>
      <w:proofErr w:type="spellEnd"/>
      <w:r w:rsidR="00E879AD" w:rsidRPr="00233A0B">
        <w:rPr>
          <w:rFonts w:cs="Times New Roman"/>
          <w:szCs w:val="24"/>
          <w:lang w:val="bg-BG" w:bidi="en-US"/>
        </w:rPr>
        <w:t>“ – т.е. стойностите им остават на базово ниво (обикновено 0) и планираните интервенции по тях или не са започнали, или са във ранен етап. Останалите индикатори са „в изпълнение“, като в по-малко случаи могат да се считат за „изпълнени“.</w:t>
      </w:r>
    </w:p>
    <w:p w14:paraId="1757C98C" w14:textId="77777777" w:rsidR="00F60D7E" w:rsidRPr="00233A0B" w:rsidRDefault="00F60D7E"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Напредъкът към 2024 г. по тематичните области спрямо индикаторите е както следва:</w:t>
      </w:r>
    </w:p>
    <w:p w14:paraId="1DDBC7CB" w14:textId="77777777" w:rsidR="00F60D7E" w:rsidRPr="00233A0B" w:rsidRDefault="00F60D7E" w:rsidP="005C5D13">
      <w:pPr>
        <w:pStyle w:val="ListParagraph"/>
        <w:numPr>
          <w:ilvl w:val="0"/>
          <w:numId w:val="14"/>
        </w:numPr>
        <w:spacing w:after="127" w:line="360" w:lineRule="auto"/>
        <w:ind w:right="2"/>
        <w:jc w:val="both"/>
        <w:rPr>
          <w:rFonts w:cs="Times New Roman"/>
          <w:szCs w:val="24"/>
          <w:lang w:val="bg-BG" w:bidi="en-US"/>
        </w:rPr>
      </w:pPr>
      <w:r w:rsidRPr="001E4564">
        <w:rPr>
          <w:rFonts w:cs="Times New Roman"/>
          <w:b/>
          <w:bCs/>
          <w:szCs w:val="24"/>
          <w:u w:val="single"/>
          <w:lang w:val="bg-BG" w:bidi="en-US"/>
        </w:rPr>
        <w:t>Информатика и ИКТ:</w:t>
      </w:r>
      <w:r w:rsidRPr="00233A0B">
        <w:rPr>
          <w:rFonts w:cs="Times New Roman"/>
          <w:szCs w:val="24"/>
          <w:lang w:val="bg-BG" w:bidi="en-US"/>
        </w:rPr>
        <w:t xml:space="preserve"> Тази област отбелязва най-съществен ранен напредък. Реализирани са няколко проекта за цифрова трансформация – напр. изграждане на облачна ИТ инфраструктура в митническата администрация и внедряване на нови е-услуги за бизнеса. Резултатите са видими: постигнато е надграждане на публичните електронни услуги, като България е лидер по някои показатели в ЕС (напр. мобилни цифрови услуги). Самият ИКТ сектор продължава да се развива динамично – още в предходния период той се откроява с най-много подадени проектни предложения по иновационни процедури. Тази устойчива активност се запазва, което предполага, че до 2027 г. целите в ИКТ сферата (напр. създаване на нови цифрови продукти, дигитализация на МСП) са постижими или дори могат да бъдат преизпълнени.</w:t>
      </w:r>
    </w:p>
    <w:p w14:paraId="138C789C" w14:textId="77777777" w:rsidR="00F60D7E" w:rsidRPr="00233A0B" w:rsidRDefault="00F60D7E" w:rsidP="005C5D13">
      <w:pPr>
        <w:pStyle w:val="ListParagraph"/>
        <w:numPr>
          <w:ilvl w:val="0"/>
          <w:numId w:val="14"/>
        </w:numPr>
        <w:spacing w:after="127" w:line="360" w:lineRule="auto"/>
        <w:ind w:right="2"/>
        <w:jc w:val="both"/>
        <w:rPr>
          <w:rFonts w:cs="Times New Roman"/>
          <w:szCs w:val="24"/>
          <w:lang w:val="bg-BG" w:bidi="en-US"/>
        </w:rPr>
      </w:pPr>
      <w:proofErr w:type="spellStart"/>
      <w:r w:rsidRPr="001E4564">
        <w:rPr>
          <w:rFonts w:cs="Times New Roman"/>
          <w:b/>
          <w:bCs/>
          <w:szCs w:val="24"/>
          <w:u w:val="single"/>
          <w:lang w:val="bg-BG" w:bidi="en-US"/>
        </w:rPr>
        <w:lastRenderedPageBreak/>
        <w:t>Мехатроника</w:t>
      </w:r>
      <w:proofErr w:type="spellEnd"/>
      <w:r w:rsidRPr="001E4564">
        <w:rPr>
          <w:rFonts w:cs="Times New Roman"/>
          <w:b/>
          <w:bCs/>
          <w:szCs w:val="24"/>
          <w:u w:val="single"/>
          <w:lang w:val="bg-BG" w:bidi="en-US"/>
        </w:rPr>
        <w:t xml:space="preserve"> и микроелектроника:</w:t>
      </w:r>
      <w:r w:rsidRPr="00233A0B">
        <w:rPr>
          <w:rFonts w:cs="Times New Roman"/>
          <w:szCs w:val="24"/>
          <w:lang w:val="bg-BG" w:bidi="en-US"/>
        </w:rPr>
        <w:t xml:space="preserve"> Тук към 2024 г. напредъкът е по-ограничен. Много от мерките за подкрепа на индустриалните иновации (закупуване на модерно оборудване, въвеждане на автоматизация и др.) все още не са стартирали или са в начален етап (напр. програмите за технологична модернизация на МСП започват през 2024 г.). Исторически България има силни позиции в </w:t>
      </w:r>
      <w:proofErr w:type="spellStart"/>
      <w:r w:rsidRPr="00233A0B">
        <w:rPr>
          <w:rFonts w:cs="Times New Roman"/>
          <w:szCs w:val="24"/>
          <w:lang w:val="bg-BG" w:bidi="en-US"/>
        </w:rPr>
        <w:t>мехатрониката</w:t>
      </w:r>
      <w:proofErr w:type="spellEnd"/>
      <w:r w:rsidRPr="00233A0B">
        <w:rPr>
          <w:rFonts w:cs="Times New Roman"/>
          <w:szCs w:val="24"/>
          <w:lang w:val="bg-BG" w:bidi="en-US"/>
        </w:rPr>
        <w:t xml:space="preserve"> и електрониката, наследени от миналото, но реалното им надграждане чрез ИСИС предстои. Очаква се през 2025–2027 г. с изпълнението на проекти в рамките на ОПИК/ПКИП да се реализират нови производствени иновации, което ще повиши показателите в тази област (напр. брой създадени високотехнологични производства, патентни заявки и др.). Засега обаче областта изостава – няма отчетени значими резултати към 2024 г., което е сигнал, че трябва ускорено изпълнение на планираните интервенции.</w:t>
      </w:r>
    </w:p>
    <w:p w14:paraId="0EFBC58D" w14:textId="77777777" w:rsidR="00F60D7E" w:rsidRPr="00233A0B" w:rsidRDefault="00F60D7E" w:rsidP="005C5D13">
      <w:pPr>
        <w:pStyle w:val="ListParagraph"/>
        <w:numPr>
          <w:ilvl w:val="0"/>
          <w:numId w:val="14"/>
        </w:numPr>
        <w:spacing w:after="127" w:line="360" w:lineRule="auto"/>
        <w:ind w:right="2"/>
        <w:jc w:val="both"/>
        <w:rPr>
          <w:rFonts w:cs="Times New Roman"/>
          <w:szCs w:val="24"/>
          <w:lang w:val="bg-BG" w:bidi="en-US"/>
        </w:rPr>
      </w:pPr>
      <w:r w:rsidRPr="001E4564">
        <w:rPr>
          <w:rFonts w:cs="Times New Roman"/>
          <w:b/>
          <w:bCs/>
          <w:szCs w:val="24"/>
          <w:u w:val="single"/>
          <w:lang w:val="bg-BG" w:bidi="en-US"/>
        </w:rPr>
        <w:t>Индустрия за здравословен живот, биоикономика и биотехнологии:</w:t>
      </w:r>
      <w:r w:rsidRPr="00233A0B">
        <w:rPr>
          <w:rFonts w:cs="Times New Roman"/>
          <w:szCs w:val="24"/>
          <w:lang w:val="bg-BG" w:bidi="en-US"/>
        </w:rPr>
        <w:t xml:space="preserve"> Към края на 2024 г. липсват конкретни измерими постижения и в тази тематична ниша. Част от инициативите тук зависят от научни разработки и инвестиции в сектори като фармация, земеделие и храни, които имат по-дълъг хоризонт. Някои проекти се финансират по линия на </w:t>
      </w:r>
      <w:r w:rsidR="006C4620" w:rsidRPr="00233A0B">
        <w:rPr>
          <w:rFonts w:cs="Times New Roman"/>
          <w:szCs w:val="24"/>
          <w:lang w:val="bg-BG" w:bidi="en-US"/>
        </w:rPr>
        <w:t>НПВУ</w:t>
      </w:r>
      <w:r w:rsidRPr="00233A0B">
        <w:rPr>
          <w:rFonts w:cs="Times New Roman"/>
          <w:szCs w:val="24"/>
          <w:lang w:val="bg-BG" w:bidi="en-US"/>
        </w:rPr>
        <w:t xml:space="preserve"> (напр. създаване на центрове за върхови постижения в биотехнологиите) – те са в начален стадий. Затова индикаторите за резултат (напр. брой нови биотехнологични продукти на пазара, увеличен износ на </w:t>
      </w:r>
      <w:proofErr w:type="spellStart"/>
      <w:r w:rsidRPr="00233A0B">
        <w:rPr>
          <w:rFonts w:cs="Times New Roman"/>
          <w:szCs w:val="24"/>
          <w:lang w:val="bg-BG" w:bidi="en-US"/>
        </w:rPr>
        <w:t>биобазирани</w:t>
      </w:r>
      <w:proofErr w:type="spellEnd"/>
      <w:r w:rsidRPr="00233A0B">
        <w:rPr>
          <w:rFonts w:cs="Times New Roman"/>
          <w:szCs w:val="24"/>
          <w:lang w:val="bg-BG" w:bidi="en-US"/>
        </w:rPr>
        <w:t xml:space="preserve"> стоки) засега не бележат </w:t>
      </w:r>
      <w:r w:rsidR="00926C5E">
        <w:rPr>
          <w:rFonts w:cs="Times New Roman"/>
          <w:szCs w:val="24"/>
          <w:lang w:val="bg-BG" w:bidi="en-US"/>
        </w:rPr>
        <w:t xml:space="preserve">особена </w:t>
      </w:r>
      <w:r w:rsidRPr="00233A0B">
        <w:rPr>
          <w:rFonts w:cs="Times New Roman"/>
          <w:szCs w:val="24"/>
          <w:lang w:val="bg-BG" w:bidi="en-US"/>
        </w:rPr>
        <w:t>промяна. Очакванията са след 2025 г. да се видят първите ефекти – например комерсиализирани научни разработки в био-сектора. За да се навакса изоставането, е важно бързо реализиране на планираните иновационни хъбове и програми за трансфер на знания</w:t>
      </w:r>
      <w:r w:rsidR="00864FF2" w:rsidRPr="00233A0B">
        <w:rPr>
          <w:rFonts w:cs="Times New Roman"/>
          <w:szCs w:val="24"/>
          <w:lang w:val="bg-BG" w:bidi="en-US"/>
        </w:rPr>
        <w:t xml:space="preserve"> и технологии</w:t>
      </w:r>
      <w:r w:rsidRPr="00233A0B">
        <w:rPr>
          <w:rFonts w:cs="Times New Roman"/>
          <w:szCs w:val="24"/>
          <w:lang w:val="bg-BG" w:bidi="en-US"/>
        </w:rPr>
        <w:t xml:space="preserve"> в тази област.</w:t>
      </w:r>
    </w:p>
    <w:p w14:paraId="6BD673A2" w14:textId="77777777" w:rsidR="00F60D7E" w:rsidRPr="00233A0B" w:rsidRDefault="00F60D7E" w:rsidP="005C5D13">
      <w:pPr>
        <w:pStyle w:val="ListParagraph"/>
        <w:numPr>
          <w:ilvl w:val="0"/>
          <w:numId w:val="14"/>
        </w:numPr>
        <w:spacing w:after="127" w:line="360" w:lineRule="auto"/>
        <w:ind w:right="2"/>
        <w:jc w:val="both"/>
        <w:rPr>
          <w:rFonts w:cs="Times New Roman"/>
          <w:szCs w:val="24"/>
          <w:lang w:val="bg-BG" w:bidi="en-US"/>
        </w:rPr>
      </w:pPr>
      <w:r w:rsidRPr="001E4564">
        <w:rPr>
          <w:rFonts w:cs="Times New Roman"/>
          <w:b/>
          <w:bCs/>
          <w:szCs w:val="24"/>
          <w:u w:val="single"/>
          <w:lang w:val="bg-BG" w:bidi="en-US"/>
        </w:rPr>
        <w:t xml:space="preserve">Нови технологии в креативните и </w:t>
      </w:r>
      <w:proofErr w:type="spellStart"/>
      <w:r w:rsidRPr="001E4564">
        <w:rPr>
          <w:rFonts w:cs="Times New Roman"/>
          <w:b/>
          <w:bCs/>
          <w:szCs w:val="24"/>
          <w:u w:val="single"/>
          <w:lang w:val="bg-BG" w:bidi="en-US"/>
        </w:rPr>
        <w:t>рекреативните</w:t>
      </w:r>
      <w:proofErr w:type="spellEnd"/>
      <w:r w:rsidRPr="001E4564">
        <w:rPr>
          <w:rFonts w:cs="Times New Roman"/>
          <w:b/>
          <w:bCs/>
          <w:szCs w:val="24"/>
          <w:u w:val="single"/>
          <w:lang w:val="bg-BG" w:bidi="en-US"/>
        </w:rPr>
        <w:t xml:space="preserve"> индустрии:</w:t>
      </w:r>
      <w:r w:rsidRPr="00233A0B">
        <w:rPr>
          <w:rFonts w:cs="Times New Roman"/>
          <w:szCs w:val="24"/>
          <w:lang w:val="bg-BG" w:bidi="en-US"/>
        </w:rPr>
        <w:t xml:space="preserve"> Тази приоритетна област също има ограничен напредък към 2024 г. Стартирали са отделни инициативи – например новаторски проекти в сферата на дигиталните развлечения и културно наследство (интерактивни платформи, сериозни игри и др.), финансирани чрез конкурси за иновации. Те обаче се намират в ранен етап на изпълнение, поради което индикатори като дял на творческите индустрии в БВП или брой цифровизирани културни продукти не с</w:t>
      </w:r>
      <w:r w:rsidR="00812A24" w:rsidRPr="00233A0B">
        <w:rPr>
          <w:rFonts w:cs="Times New Roman"/>
          <w:szCs w:val="24"/>
          <w:lang w:val="bg-BG" w:bidi="en-US"/>
        </w:rPr>
        <w:t xml:space="preserve">а записали </w:t>
      </w:r>
      <w:r w:rsidRPr="00233A0B">
        <w:rPr>
          <w:rFonts w:cs="Times New Roman"/>
          <w:szCs w:val="24"/>
          <w:lang w:val="bg-BG" w:bidi="en-US"/>
        </w:rPr>
        <w:t>значител</w:t>
      </w:r>
      <w:r w:rsidR="00812A24" w:rsidRPr="00233A0B">
        <w:rPr>
          <w:rFonts w:cs="Times New Roman"/>
          <w:szCs w:val="24"/>
          <w:lang w:val="bg-BG" w:bidi="en-US"/>
        </w:rPr>
        <w:t>ен ръст</w:t>
      </w:r>
      <w:r w:rsidRPr="00233A0B">
        <w:rPr>
          <w:rFonts w:cs="Times New Roman"/>
          <w:szCs w:val="24"/>
          <w:lang w:val="bg-BG" w:bidi="en-US"/>
        </w:rPr>
        <w:t xml:space="preserve">. Положителен знак е нарасналият интерес към тези сектори – наблюдава се активност на стартиращи фирми и проекти, особено в областта на дизайна, медийните технологии и туризма. За периода до 2027 г. може да се очаква умерен </w:t>
      </w:r>
      <w:r w:rsidRPr="00233A0B">
        <w:rPr>
          <w:rFonts w:cs="Times New Roman"/>
          <w:szCs w:val="24"/>
          <w:lang w:val="bg-BG" w:bidi="en-US"/>
        </w:rPr>
        <w:lastRenderedPageBreak/>
        <w:t>напредък – вероятно някои цели (напр. брой създадени творчески продукти с висока добавена стойност) ще бъдат частично постигнати, но като цяло креативният сектор ще изисква повече време и подкрепа, за да разгърне пълния си потенциал.</w:t>
      </w:r>
    </w:p>
    <w:p w14:paraId="1D1EFDA6" w14:textId="77777777" w:rsidR="00F60D7E" w:rsidRPr="00233A0B" w:rsidRDefault="00F60D7E" w:rsidP="005C5D13">
      <w:pPr>
        <w:pStyle w:val="ListParagraph"/>
        <w:numPr>
          <w:ilvl w:val="0"/>
          <w:numId w:val="14"/>
        </w:numPr>
        <w:spacing w:after="127" w:line="360" w:lineRule="auto"/>
        <w:ind w:right="2"/>
        <w:jc w:val="both"/>
        <w:rPr>
          <w:rFonts w:cs="Times New Roman"/>
          <w:szCs w:val="24"/>
          <w:lang w:val="bg-BG" w:bidi="en-US"/>
        </w:rPr>
      </w:pPr>
      <w:r w:rsidRPr="001E4564">
        <w:rPr>
          <w:rFonts w:cs="Times New Roman"/>
          <w:b/>
          <w:bCs/>
          <w:szCs w:val="24"/>
          <w:u w:val="single"/>
          <w:lang w:val="bg-BG" w:bidi="en-US"/>
        </w:rPr>
        <w:t>Чисти технологии, кръгова и нисковъглеродна икономика:</w:t>
      </w:r>
      <w:r w:rsidRPr="00233A0B">
        <w:rPr>
          <w:rFonts w:cs="Times New Roman"/>
          <w:szCs w:val="24"/>
          <w:lang w:val="bg-BG" w:bidi="en-US"/>
        </w:rPr>
        <w:t xml:space="preserve"> Темите за зелената трансформация заемат ключово място в стратегията, но реализирането им отнема време. Към 2024 г. са налице първи стъпки – например в рамките на програмите за териториално сътрудничество стартира проект за енергийна ефективност и кръгова икономика по </w:t>
      </w:r>
      <w:r w:rsidR="00A5621C" w:rsidRPr="00233A0B">
        <w:rPr>
          <w:rFonts w:cs="Times New Roman"/>
          <w:szCs w:val="24"/>
          <w:lang w:val="bg-BG" w:bidi="en-US"/>
        </w:rPr>
        <w:t xml:space="preserve">ИНТЕРРЕГ </w:t>
      </w:r>
      <w:r w:rsidRPr="00233A0B">
        <w:rPr>
          <w:rFonts w:cs="Times New Roman"/>
          <w:szCs w:val="24"/>
          <w:lang w:val="bg-BG" w:bidi="en-US"/>
        </w:rPr>
        <w:t>(България–Турция) и са предвидени обучения за предприятия относно нисковъглеродни технологии. Тези дейности все още не дават измерим принос към индикаторите (напр. намаление н</w:t>
      </w:r>
      <w:r w:rsidR="00A5621C" w:rsidRPr="00233A0B">
        <w:rPr>
          <w:rFonts w:cs="Times New Roman"/>
          <w:szCs w:val="24"/>
          <w:lang w:val="bg-BG" w:bidi="en-US"/>
        </w:rPr>
        <w:t xml:space="preserve">а </w:t>
      </w:r>
      <w:r w:rsidRPr="00233A0B">
        <w:rPr>
          <w:rFonts w:cs="Times New Roman"/>
          <w:szCs w:val="24"/>
          <w:lang w:val="bg-BG" w:bidi="en-US"/>
        </w:rPr>
        <w:t xml:space="preserve">емисиите CO₂, брой предприятия с въведени кръгови процеси – засега без промяна). </w:t>
      </w:r>
      <w:r w:rsidR="00644DEB" w:rsidRPr="00233A0B">
        <w:rPr>
          <w:rFonts w:cs="Times New Roman"/>
          <w:szCs w:val="24"/>
          <w:lang w:val="bg-BG" w:bidi="en-US"/>
        </w:rPr>
        <w:t>Част от о</w:t>
      </w:r>
      <w:r w:rsidRPr="00233A0B">
        <w:rPr>
          <w:rFonts w:cs="Times New Roman"/>
          <w:szCs w:val="24"/>
          <w:lang w:val="bg-BG" w:bidi="en-US"/>
        </w:rPr>
        <w:t>сновните ефекти се очакват след 2025 г., когато по линия на НПВУ и други източници ще се реализират инвестиции в</w:t>
      </w:r>
      <w:r w:rsidR="00A5621C" w:rsidRPr="00233A0B">
        <w:rPr>
          <w:rFonts w:cs="Times New Roman"/>
          <w:szCs w:val="24"/>
          <w:lang w:val="bg-BG" w:bidi="en-US"/>
        </w:rPr>
        <w:t>ъв</w:t>
      </w:r>
      <w:r w:rsidRPr="00233A0B">
        <w:rPr>
          <w:rFonts w:cs="Times New Roman"/>
          <w:szCs w:val="24"/>
          <w:lang w:val="bg-BG" w:bidi="en-US"/>
        </w:rPr>
        <w:t xml:space="preserve"> ВЕИ, водородна инфраструктура и др. Стратегически, ИСИС </w:t>
      </w:r>
      <w:r w:rsidR="00A5621C" w:rsidRPr="00233A0B">
        <w:rPr>
          <w:rFonts w:cs="Times New Roman"/>
          <w:szCs w:val="24"/>
          <w:lang w:val="bg-BG" w:bidi="en-US"/>
        </w:rPr>
        <w:t>залага</w:t>
      </w:r>
      <w:r w:rsidRPr="00233A0B">
        <w:rPr>
          <w:rFonts w:cs="Times New Roman"/>
          <w:szCs w:val="24"/>
          <w:lang w:val="bg-BG" w:bidi="en-US"/>
        </w:rPr>
        <w:t xml:space="preserve"> България да се възползва от нишата в зелените технологии (напр. производство и приложение на водород) и да подобри ресурсната ефективност на икономиката. До 2027 г. вероятно ще видим начало на тази трансформация – изпълнение на пилотни проекти,</w:t>
      </w:r>
      <w:r w:rsidR="00A5621C" w:rsidRPr="00233A0B">
        <w:rPr>
          <w:rFonts w:cs="Times New Roman"/>
          <w:szCs w:val="24"/>
          <w:lang w:val="bg-BG" w:bidi="en-US"/>
        </w:rPr>
        <w:t xml:space="preserve"> изграждане</w:t>
      </w:r>
      <w:r w:rsidRPr="00233A0B">
        <w:rPr>
          <w:rFonts w:cs="Times New Roman"/>
          <w:szCs w:val="24"/>
          <w:lang w:val="bg-BG" w:bidi="en-US"/>
        </w:rPr>
        <w:t xml:space="preserve"> на капацитет и поява на първи статистически подобрения (например леко повишаване на дела на енергията от ВЕИ, повишена ресурсна продуктивност). Пълното въздействие (напр. съществено намаление на емисиите, достигане на европейските цели за кръгова икономика) обаче ще изисква по-дълъг период и надхвърля рамката на 2027 г.</w:t>
      </w:r>
    </w:p>
    <w:p w14:paraId="48F57D14" w14:textId="77777777" w:rsidR="00E879AD" w:rsidRPr="00233A0B" w:rsidRDefault="00E879AD"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Към междинния период 2023–2024 г. степента на изпълнение на целевите стойности за 2027 г. изостава от необходимата траектория, макар да има отделни успешни примери. По повечето индикатори текущите стойности представляват малък дял от целите за 2027</w:t>
      </w:r>
      <w:r w:rsidR="0079760E" w:rsidRPr="00233A0B">
        <w:rPr>
          <w:rFonts w:cs="Times New Roman"/>
          <w:szCs w:val="24"/>
          <w:lang w:val="bg-BG" w:bidi="en-US"/>
        </w:rPr>
        <w:t> </w:t>
      </w:r>
      <w:r w:rsidRPr="00233A0B">
        <w:rPr>
          <w:rFonts w:cs="Times New Roman"/>
          <w:szCs w:val="24"/>
          <w:lang w:val="bg-BG" w:bidi="en-US"/>
        </w:rPr>
        <w:t xml:space="preserve">г. Например, разходите за НИРД – ключов показател за въздействие – достигат през 2023 г. едва 0.79% от БВП на България. Тази стойност е леко подобрение спрямо предходната година, но остава далеч под националната цел (~1.5% от БВП) и още по-далеч под средното за ЕС (~3% от БВП). Все пак има и положителни тенденции, които стратегията отчита. Например, цифровизацията на публичните услуги в България е на високо ниво – страната е на 7-мо място в ЕС по развитие на е-управление, изпреварвайки държави като Германия и Франция. Тази област кореспондира с тематичен приоритет „Информатика и ИКТ“ и показва, че при правилна реализация някои цели могат дори да </w:t>
      </w:r>
      <w:r w:rsidRPr="00233A0B">
        <w:rPr>
          <w:rFonts w:cs="Times New Roman"/>
          <w:szCs w:val="24"/>
          <w:lang w:val="bg-BG" w:bidi="en-US"/>
        </w:rPr>
        <w:lastRenderedPageBreak/>
        <w:t>бъдат преизпълнени. Също така се отчита подем в предприемаческата активност – рекорден брой новорегистрирани фирми през 2024 г., включително много високо място на България по младежко предприемачество в ЕС. Тези външни показатели подсказват, че потенциал за ускорение има, но ефектът на ИСИС върху тях вероятно ще се материализира в следващите години.</w:t>
      </w:r>
    </w:p>
    <w:p w14:paraId="0CCC55D0" w14:textId="77777777" w:rsidR="00F33FFE" w:rsidRPr="00B2490E" w:rsidRDefault="00AE19E9" w:rsidP="005C5D13">
      <w:pPr>
        <w:pStyle w:val="Heading2"/>
        <w:spacing w:line="360" w:lineRule="auto"/>
        <w:rPr>
          <w:rFonts w:ascii="Times New Roman" w:hAnsi="Times New Roman" w:cs="Times New Roman"/>
          <w:b/>
          <w:bCs/>
          <w:lang w:val="bg-BG" w:bidi="en-US"/>
        </w:rPr>
      </w:pPr>
      <w:bookmarkStart w:id="26" w:name="_Toc216427822"/>
      <w:r w:rsidRPr="00B2490E">
        <w:rPr>
          <w:rFonts w:ascii="Times New Roman" w:hAnsi="Times New Roman" w:cs="Times New Roman"/>
          <w:b/>
          <w:bCs/>
          <w:lang w:val="bg-BG" w:bidi="en-US"/>
        </w:rPr>
        <w:t xml:space="preserve">Основни </w:t>
      </w:r>
      <w:r w:rsidR="00B2490E" w:rsidRPr="00B2490E">
        <w:rPr>
          <w:rFonts w:ascii="Times New Roman" w:hAnsi="Times New Roman" w:cs="Times New Roman"/>
          <w:b/>
          <w:bCs/>
          <w:lang w:val="bg-BG" w:bidi="en-US"/>
        </w:rPr>
        <w:t>предизвикателства и бариери</w:t>
      </w:r>
      <w:r w:rsidRPr="00B2490E">
        <w:rPr>
          <w:rFonts w:ascii="Times New Roman" w:hAnsi="Times New Roman" w:cs="Times New Roman"/>
          <w:b/>
          <w:bCs/>
          <w:lang w:val="bg-BG" w:bidi="en-US"/>
        </w:rPr>
        <w:t>.</w:t>
      </w:r>
      <w:bookmarkEnd w:id="26"/>
      <w:r w:rsidRPr="00B2490E">
        <w:rPr>
          <w:rFonts w:ascii="Times New Roman" w:hAnsi="Times New Roman" w:cs="Times New Roman"/>
          <w:b/>
          <w:bCs/>
          <w:lang w:val="bg-BG" w:bidi="en-US"/>
        </w:rPr>
        <w:t xml:space="preserve"> </w:t>
      </w:r>
    </w:p>
    <w:p w14:paraId="1604D578" w14:textId="77777777" w:rsidR="00AE19E9" w:rsidRPr="00233A0B"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Обобщавайки, изпълнението на ИСИС до момента е белязано от два основни типа проблеми: </w:t>
      </w:r>
      <w:r w:rsidRPr="00233A0B">
        <w:rPr>
          <w:rFonts w:cs="Times New Roman"/>
          <w:i/>
          <w:iCs/>
          <w:szCs w:val="24"/>
          <w:lang w:val="bg-BG" w:bidi="en-US"/>
        </w:rPr>
        <w:t>технически</w:t>
      </w:r>
      <w:r w:rsidRPr="00233A0B">
        <w:rPr>
          <w:rFonts w:cs="Times New Roman"/>
          <w:szCs w:val="24"/>
          <w:lang w:val="bg-BG" w:bidi="en-US"/>
        </w:rPr>
        <w:t xml:space="preserve"> и </w:t>
      </w:r>
      <w:r w:rsidRPr="00233A0B">
        <w:rPr>
          <w:rFonts w:cs="Times New Roman"/>
          <w:i/>
          <w:iCs/>
          <w:szCs w:val="24"/>
          <w:lang w:val="bg-BG" w:bidi="en-US"/>
        </w:rPr>
        <w:t>процедурни</w:t>
      </w:r>
      <w:r w:rsidRPr="00233A0B">
        <w:rPr>
          <w:rFonts w:cs="Times New Roman"/>
          <w:szCs w:val="24"/>
          <w:lang w:val="bg-BG" w:bidi="en-US"/>
        </w:rPr>
        <w:t xml:space="preserve">. Техническите проблеми включват затруднения с внедряването на нови технологии, несъвместимост на ИТ платформи, недостиг на технически специалисти и необходимост от допълнителни тестове и настройки на системите. Процедурните забавяния обхващат бавни обществени поръчки, продължителни срокове за оценка и договаряне на проекти, забавено предоставяне на финансиране, както и сложни административни изисквания, удължаващи реализацията. Влияние </w:t>
      </w:r>
      <w:r w:rsidR="0031683F" w:rsidRPr="00233A0B">
        <w:rPr>
          <w:rFonts w:cs="Times New Roman"/>
          <w:szCs w:val="24"/>
          <w:lang w:val="bg-BG" w:bidi="en-US"/>
        </w:rPr>
        <w:t>оказват</w:t>
      </w:r>
      <w:r w:rsidRPr="00233A0B">
        <w:rPr>
          <w:rFonts w:cs="Times New Roman"/>
          <w:szCs w:val="24"/>
          <w:lang w:val="bg-BG" w:bidi="en-US"/>
        </w:rPr>
        <w:t xml:space="preserve"> и външни фактори като честа смяна на политическото ръководство, което забав</w:t>
      </w:r>
      <w:r w:rsidR="0031683F" w:rsidRPr="00233A0B">
        <w:rPr>
          <w:rFonts w:cs="Times New Roman"/>
          <w:szCs w:val="24"/>
          <w:lang w:val="bg-BG" w:bidi="en-US"/>
        </w:rPr>
        <w:t>я</w:t>
      </w:r>
      <w:r w:rsidRPr="00233A0B">
        <w:rPr>
          <w:rFonts w:cs="Times New Roman"/>
          <w:szCs w:val="24"/>
          <w:lang w:val="bg-BG" w:bidi="en-US"/>
        </w:rPr>
        <w:t xml:space="preserve"> някои стратегически инициативи и приемането на ключови нормативни изменения.</w:t>
      </w:r>
    </w:p>
    <w:p w14:paraId="527E2C51" w14:textId="77777777" w:rsidR="00626923" w:rsidRPr="00233A0B"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Въпреки тези трудности, цялостната оценка е, че </w:t>
      </w:r>
      <w:r w:rsidRPr="00233A0B">
        <w:rPr>
          <w:rFonts w:cs="Times New Roman"/>
          <w:b/>
          <w:bCs/>
          <w:szCs w:val="24"/>
          <w:lang w:val="bg-BG" w:bidi="en-US"/>
        </w:rPr>
        <w:t xml:space="preserve">Стратегията напредва </w:t>
      </w:r>
      <w:r w:rsidR="00FC2896" w:rsidRPr="00233A0B">
        <w:rPr>
          <w:rFonts w:cs="Times New Roman"/>
          <w:b/>
          <w:bCs/>
          <w:szCs w:val="24"/>
          <w:lang w:val="bg-BG" w:bidi="en-US"/>
        </w:rPr>
        <w:t>с добро темпо</w:t>
      </w:r>
      <w:r w:rsidRPr="00233A0B">
        <w:rPr>
          <w:rFonts w:cs="Times New Roman"/>
          <w:b/>
          <w:bCs/>
          <w:szCs w:val="24"/>
          <w:lang w:val="bg-BG" w:bidi="en-US"/>
        </w:rPr>
        <w:t xml:space="preserve"> по своите цели</w:t>
      </w:r>
      <w:r w:rsidRPr="00233A0B">
        <w:rPr>
          <w:rFonts w:cs="Times New Roman"/>
          <w:szCs w:val="24"/>
          <w:lang w:val="bg-BG" w:bidi="en-US"/>
        </w:rPr>
        <w:t xml:space="preserve"> </w:t>
      </w:r>
      <w:r w:rsidRPr="00233A0B">
        <w:rPr>
          <w:rFonts w:cs="Times New Roman"/>
          <w:b/>
          <w:bCs/>
          <w:szCs w:val="24"/>
          <w:lang w:val="bg-BG" w:bidi="en-US"/>
        </w:rPr>
        <w:t>и има реалистичен шанс значителна част от тях да бъдат постигнати успешно до 2027 г.</w:t>
      </w:r>
      <w:r w:rsidRPr="00233A0B">
        <w:rPr>
          <w:rFonts w:cs="Times New Roman"/>
          <w:szCs w:val="24"/>
          <w:lang w:val="bg-BG" w:bidi="en-US"/>
        </w:rPr>
        <w:t xml:space="preserve"> </w:t>
      </w:r>
    </w:p>
    <w:p w14:paraId="4D770374" w14:textId="77777777" w:rsidR="00626923" w:rsidRPr="00233A0B"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Постигнатият напредък по Стратегическа цел </w:t>
      </w:r>
      <w:r w:rsidR="008F5E32" w:rsidRPr="00233A0B">
        <w:rPr>
          <w:rFonts w:cs="Times New Roman"/>
          <w:szCs w:val="24"/>
          <w:lang w:val="bg-BG" w:bidi="en-US"/>
        </w:rPr>
        <w:t xml:space="preserve">№ </w:t>
      </w:r>
      <w:r w:rsidR="0040584D">
        <w:rPr>
          <w:rFonts w:cs="Times New Roman"/>
          <w:szCs w:val="24"/>
          <w:lang w:bidi="en-US"/>
        </w:rPr>
        <w:t>I</w:t>
      </w:r>
      <w:r w:rsidRPr="0040584D">
        <w:rPr>
          <w:rFonts w:cs="Times New Roman"/>
          <w:i/>
          <w:iCs/>
          <w:szCs w:val="24"/>
          <w:lang w:val="bg-BG" w:bidi="en-US"/>
        </w:rPr>
        <w:t xml:space="preserve"> </w:t>
      </w:r>
      <w:r w:rsidR="0040584D" w:rsidRPr="0040584D">
        <w:rPr>
          <w:rFonts w:cs="Times New Roman"/>
          <w:i/>
          <w:iCs/>
          <w:szCs w:val="24"/>
          <w:lang w:val="bg-BG" w:bidi="en-US"/>
        </w:rPr>
        <w:t>(технологична и дигитална трансформация</w:t>
      </w:r>
      <w:r w:rsidR="0040584D" w:rsidRPr="0040584D">
        <w:rPr>
          <w:rFonts w:cs="Times New Roman"/>
          <w:szCs w:val="24"/>
          <w:lang w:val="bg-BG" w:bidi="en-US"/>
        </w:rPr>
        <w:t>)</w:t>
      </w:r>
      <w:r w:rsidR="0040584D">
        <w:rPr>
          <w:rFonts w:cs="Times New Roman"/>
          <w:szCs w:val="24"/>
          <w:lang w:val="bg-BG" w:bidi="en-US"/>
        </w:rPr>
        <w:t xml:space="preserve"> </w:t>
      </w:r>
      <w:r w:rsidRPr="00233A0B">
        <w:rPr>
          <w:rFonts w:cs="Times New Roman"/>
          <w:szCs w:val="24"/>
          <w:lang w:val="bg-BG" w:bidi="en-US"/>
        </w:rPr>
        <w:t>и предприетите мерки за адаптация по Стратегическа цел </w:t>
      </w:r>
      <w:r w:rsidR="008F5E32" w:rsidRPr="00233A0B">
        <w:rPr>
          <w:rFonts w:cs="Times New Roman"/>
          <w:szCs w:val="24"/>
          <w:lang w:val="bg-BG" w:bidi="en-US"/>
        </w:rPr>
        <w:t xml:space="preserve">№ </w:t>
      </w:r>
      <w:r w:rsidR="0040584D">
        <w:rPr>
          <w:rFonts w:cs="Times New Roman"/>
          <w:szCs w:val="24"/>
          <w:lang w:bidi="en-US"/>
        </w:rPr>
        <w:t xml:space="preserve">II </w:t>
      </w:r>
      <w:r w:rsidR="0040584D" w:rsidRPr="0040584D">
        <w:rPr>
          <w:rFonts w:cs="Times New Roman"/>
          <w:i/>
          <w:iCs/>
          <w:szCs w:val="24"/>
          <w:lang w:bidi="en-US"/>
        </w:rPr>
        <w:t>(</w:t>
      </w:r>
      <w:proofErr w:type="spellStart"/>
      <w:r w:rsidR="0040584D" w:rsidRPr="0040584D">
        <w:rPr>
          <w:rFonts w:cs="Times New Roman"/>
          <w:i/>
          <w:iCs/>
          <w:szCs w:val="24"/>
          <w:lang w:bidi="en-US"/>
        </w:rPr>
        <w:t>иновационна</w:t>
      </w:r>
      <w:proofErr w:type="spellEnd"/>
      <w:r w:rsidR="0040584D" w:rsidRPr="0040584D">
        <w:rPr>
          <w:rFonts w:cs="Times New Roman"/>
          <w:i/>
          <w:iCs/>
          <w:szCs w:val="24"/>
          <w:lang w:bidi="en-US"/>
        </w:rPr>
        <w:t xml:space="preserve"> </w:t>
      </w:r>
      <w:proofErr w:type="spellStart"/>
      <w:r w:rsidR="0040584D" w:rsidRPr="0040584D">
        <w:rPr>
          <w:rFonts w:cs="Times New Roman"/>
          <w:i/>
          <w:iCs/>
          <w:szCs w:val="24"/>
          <w:lang w:bidi="en-US"/>
        </w:rPr>
        <w:t>екосистема</w:t>
      </w:r>
      <w:proofErr w:type="spellEnd"/>
      <w:r w:rsidR="0040584D" w:rsidRPr="0040584D">
        <w:rPr>
          <w:rFonts w:cs="Times New Roman"/>
          <w:i/>
          <w:iCs/>
          <w:szCs w:val="24"/>
          <w:lang w:bidi="en-US"/>
        </w:rPr>
        <w:t xml:space="preserve"> и </w:t>
      </w:r>
      <w:proofErr w:type="spellStart"/>
      <w:r w:rsidR="0040584D" w:rsidRPr="0040584D">
        <w:rPr>
          <w:rFonts w:cs="Times New Roman"/>
          <w:i/>
          <w:iCs/>
          <w:szCs w:val="24"/>
          <w:lang w:bidi="en-US"/>
        </w:rPr>
        <w:t>свързаност</w:t>
      </w:r>
      <w:proofErr w:type="spellEnd"/>
      <w:r w:rsidR="0040584D" w:rsidRPr="0040584D">
        <w:rPr>
          <w:rFonts w:cs="Times New Roman"/>
          <w:i/>
          <w:iCs/>
          <w:szCs w:val="24"/>
          <w:lang w:bidi="en-US"/>
        </w:rPr>
        <w:t>)</w:t>
      </w:r>
      <w:r w:rsidRPr="00233A0B">
        <w:rPr>
          <w:rFonts w:cs="Times New Roman"/>
          <w:szCs w:val="24"/>
          <w:lang w:val="bg-BG" w:bidi="en-US"/>
        </w:rPr>
        <w:t xml:space="preserve"> създават основа за оптимизъм.</w:t>
      </w:r>
      <w:r w:rsidR="00AB36C7" w:rsidRPr="00233A0B">
        <w:rPr>
          <w:rFonts w:cs="Times New Roman"/>
          <w:szCs w:val="24"/>
          <w:lang w:val="bg-BG" w:bidi="en-US"/>
        </w:rPr>
        <w:t xml:space="preserve"> </w:t>
      </w:r>
    </w:p>
    <w:p w14:paraId="69CC65C9" w14:textId="77777777" w:rsidR="00AB36C7" w:rsidRPr="003A5C04" w:rsidRDefault="00AB36C7" w:rsidP="005C5D13">
      <w:pPr>
        <w:spacing w:after="127" w:line="360" w:lineRule="auto"/>
        <w:ind w:right="2" w:firstLine="360"/>
        <w:jc w:val="both"/>
        <w:rPr>
          <w:rFonts w:cs="Times New Roman"/>
          <w:b/>
          <w:bCs/>
          <w:szCs w:val="24"/>
          <w:lang w:val="bg-BG" w:bidi="en-US"/>
        </w:rPr>
      </w:pPr>
      <w:r w:rsidRPr="00233A0B">
        <w:rPr>
          <w:rFonts w:cs="Times New Roman"/>
          <w:szCs w:val="24"/>
          <w:lang w:val="bg-BG" w:bidi="en-US"/>
        </w:rPr>
        <w:t>Същевременно новата геополитическа обстановка се характеризира с повишена несигурност, фрагментиране на международния ред и преосмисляне на икономическите зависимости. Руската агресия срещу Украйна коренно промени гледната точка на ЕС относно сигурността, като я превърна в един от основните вектор</w:t>
      </w:r>
      <w:r w:rsidR="008B4DBE" w:rsidRPr="00233A0B">
        <w:rPr>
          <w:rFonts w:cs="Times New Roman"/>
          <w:szCs w:val="24"/>
          <w:lang w:val="bg-BG" w:bidi="en-US"/>
        </w:rPr>
        <w:t>и</w:t>
      </w:r>
      <w:r w:rsidRPr="00233A0B">
        <w:rPr>
          <w:rFonts w:cs="Times New Roman"/>
          <w:szCs w:val="24"/>
          <w:lang w:val="bg-BG" w:bidi="en-US"/>
        </w:rPr>
        <w:t xml:space="preserve"> на всички политики. Геополитическите сътресения и напрежението в глобалните вериги на стойност откроиха уязвимости в досегашния модел на „отворена глобализация“. Вече е видно, че почти всичко – от енергоносители до технологии и логистични канали – може да бъде използвано като инструмент за геополитически натиск. </w:t>
      </w:r>
      <w:r w:rsidRPr="003A5C04">
        <w:rPr>
          <w:rFonts w:cs="Times New Roman"/>
          <w:b/>
          <w:bCs/>
          <w:szCs w:val="24"/>
          <w:lang w:val="bg-BG" w:bidi="en-US"/>
        </w:rPr>
        <w:t>Това налага стратегиите в областта на иновациите (включително ИСИС) да се адаптират към новите реалности, интегрирайки съображения за икономическа сигурност, устойчивост и отворена стратегическа автономност на страната в европейски контекст.</w:t>
      </w:r>
    </w:p>
    <w:p w14:paraId="6169B865" w14:textId="77777777" w:rsidR="00AB36C7" w:rsidRPr="00233A0B" w:rsidRDefault="00AB36C7" w:rsidP="005C5D13">
      <w:pPr>
        <w:spacing w:after="127" w:line="360" w:lineRule="auto"/>
        <w:ind w:right="2" w:firstLine="360"/>
        <w:jc w:val="both"/>
        <w:rPr>
          <w:rFonts w:cs="Times New Roman"/>
          <w:szCs w:val="24"/>
          <w:lang w:val="bg-BG" w:bidi="en-US"/>
        </w:rPr>
      </w:pPr>
      <w:r w:rsidRPr="00233A0B">
        <w:rPr>
          <w:rFonts w:cs="Times New Roman"/>
          <w:szCs w:val="24"/>
          <w:lang w:val="bg-BG" w:bidi="en-US"/>
        </w:rPr>
        <w:lastRenderedPageBreak/>
        <w:t xml:space="preserve">В рамките на Европейския съюз се наблюдава стремеж към баланс между конкурентоспособност и стратегическа автономност. ЕС целенасочено намалява външните си зависимости – от енергийните суровини </w:t>
      </w:r>
      <w:r w:rsidR="008B4DBE" w:rsidRPr="00233A0B">
        <w:rPr>
          <w:rFonts w:cs="Times New Roman"/>
          <w:szCs w:val="24"/>
          <w:lang w:val="bg-BG" w:bidi="en-US"/>
        </w:rPr>
        <w:t>през</w:t>
      </w:r>
      <w:r w:rsidRPr="00233A0B">
        <w:rPr>
          <w:rFonts w:cs="Times New Roman"/>
          <w:szCs w:val="24"/>
          <w:lang w:val="bg-BG" w:bidi="en-US"/>
        </w:rPr>
        <w:t xml:space="preserve"> високотехнологичните продукти </w:t>
      </w:r>
      <w:r w:rsidR="008B4DBE" w:rsidRPr="00233A0B">
        <w:rPr>
          <w:rFonts w:cs="Times New Roman"/>
          <w:szCs w:val="24"/>
          <w:lang w:val="bg-BG" w:bidi="en-US"/>
        </w:rPr>
        <w:t xml:space="preserve">до фабрики за изкуствен интелект </w:t>
      </w:r>
      <w:r w:rsidRPr="00233A0B">
        <w:rPr>
          <w:rFonts w:cs="Times New Roman"/>
          <w:szCs w:val="24"/>
          <w:lang w:val="bg-BG" w:bidi="en-US"/>
        </w:rPr>
        <w:t xml:space="preserve">– за да повиши собствената си устойчивост към шокове. Едновременно с това обаче се признава, че сигурността и отворената автономност на Европа ще зависят повече от всякога от способността ѝ да въвежда иновации и да се конкурира успешно с останалите икономики. С други думи, </w:t>
      </w:r>
      <w:r w:rsidRPr="00E55DB1">
        <w:rPr>
          <w:rFonts w:cs="Times New Roman"/>
          <w:b/>
          <w:bCs/>
          <w:szCs w:val="24"/>
          <w:lang w:val="bg-BG" w:bidi="en-US"/>
        </w:rPr>
        <w:t xml:space="preserve">подсилването на иновационния капацитет е не само икономическа необходимост, но и ключово условие за защита на националните интереси и намаляване на рисковете, произтичащи от глобалната нестабилност. В този контекст стратегическите цели на ИСИС следва да бъдат </w:t>
      </w:r>
      <w:proofErr w:type="spellStart"/>
      <w:r w:rsidRPr="00E55DB1">
        <w:rPr>
          <w:rFonts w:cs="Times New Roman"/>
          <w:b/>
          <w:bCs/>
          <w:szCs w:val="24"/>
          <w:lang w:val="bg-BG" w:bidi="en-US"/>
        </w:rPr>
        <w:t>префокусирани</w:t>
      </w:r>
      <w:proofErr w:type="spellEnd"/>
      <w:r w:rsidRPr="00E55DB1">
        <w:rPr>
          <w:rFonts w:cs="Times New Roman"/>
          <w:b/>
          <w:bCs/>
          <w:szCs w:val="24"/>
          <w:lang w:val="bg-BG" w:bidi="en-US"/>
        </w:rPr>
        <w:t xml:space="preserve"> така, че да отразяват новите приоритети – развитие на критични технологии, гарантиране на сигурни вериги на доставки и засилване на капацитета за адаптация на икономиката.</w:t>
      </w:r>
      <w:r w:rsidRPr="00233A0B">
        <w:rPr>
          <w:rFonts w:cs="Times New Roman"/>
          <w:szCs w:val="24"/>
          <w:lang w:val="bg-BG" w:bidi="en-US"/>
        </w:rPr>
        <w:t xml:space="preserve"> Това може да означава увеличаване на подкрепата за </w:t>
      </w:r>
      <w:r w:rsidR="005016A5" w:rsidRPr="00233A0B">
        <w:rPr>
          <w:rFonts w:cs="Times New Roman"/>
          <w:szCs w:val="24"/>
          <w:lang w:val="bg-BG" w:bidi="en-US"/>
        </w:rPr>
        <w:t>НИРД</w:t>
      </w:r>
      <w:r w:rsidRPr="00233A0B">
        <w:rPr>
          <w:rFonts w:cs="Times New Roman"/>
          <w:szCs w:val="24"/>
          <w:lang w:val="bg-BG" w:bidi="en-US"/>
        </w:rPr>
        <w:t xml:space="preserve"> в области като енергийна независимост, киберсигурност, биотехнологии и други сфери със значение за националната и европейската сигурност.</w:t>
      </w:r>
    </w:p>
    <w:p w14:paraId="2FD3D581" w14:textId="77777777" w:rsidR="00851278" w:rsidRPr="00233A0B" w:rsidRDefault="00851278"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Преходът към зелена енергия и дигитална икономика създава и нови зависимости за Европа. Днес голяма част от ключовите суровини и технологии – като соларни панели, батерии и редки метали – са концентрирани в ръцете на няколко външни доставчици. Това важи и за дигиталната инфраструктура, където около 70% от облачните услуги в ЕС идват от компании извън съюза. Така, докато Европа върви уверено по пътя към модерна и устойчива икономика, тя разчита на външни играчи за критични елементи, което я прави уязвима.</w:t>
      </w:r>
    </w:p>
    <w:p w14:paraId="6CB29565" w14:textId="77777777" w:rsidR="00851278" w:rsidRPr="00233A0B" w:rsidRDefault="00851278"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Растящото геополитическо напрежение само засилва тези рискове. Санкции, ограничения върху търговията, кибератаки или дори еднократни прекъсвания в доставките могат да имат сериозен ефект върху бизнеса и индустрията. През последните години наблюдаваме значително увеличаване на ограниченията за износ на важни суровини, което означава, че в кризисни ситуации достъпът до ключови материали може да бъде ограничен. </w:t>
      </w:r>
      <w:r w:rsidRPr="00EA6BCB">
        <w:rPr>
          <w:rFonts w:cs="Times New Roman"/>
          <w:b/>
          <w:bCs/>
          <w:szCs w:val="24"/>
          <w:lang w:val="bg-BG" w:bidi="en-US"/>
        </w:rPr>
        <w:t>Ако не се изградят вътрешни способности и защитни механизми, част от целите на стратегията може да се забавят или да не се реализират напълно.</w:t>
      </w:r>
    </w:p>
    <w:p w14:paraId="1A1A343D" w14:textId="77777777" w:rsidR="00851278" w:rsidRPr="00233A0B" w:rsidRDefault="00851278"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 xml:space="preserve">Но въпреки тези предизвикателства, новата среда носи и важни възможности. ЕС за първи път инвестира толкова целенасочено в стратегически отрасли – от полупроводници и облачни технологии до отбранителни иновации – за да гарантира </w:t>
      </w:r>
      <w:r w:rsidRPr="00233A0B">
        <w:rPr>
          <w:rFonts w:cs="Times New Roman"/>
          <w:szCs w:val="24"/>
          <w:lang w:val="bg-BG" w:bidi="en-US"/>
        </w:rPr>
        <w:lastRenderedPageBreak/>
        <w:t>своята технологична независимост. Това е шанс България да се включи по-активно в новите европейски индустриални и изследователски инициативи, да привлече партньори и да ускори трансформацията на своята икономика. Освен това глобалната тенденция към преместване на производства и услуги по-близо до сигурни и стабилни среди отваря врата пред страната да привлече нови инвеститори, които търсят надеждна локация в рамките на ЕС.</w:t>
      </w:r>
    </w:p>
    <w:p w14:paraId="7A52B50A" w14:textId="77777777" w:rsidR="00AE19E9" w:rsidRPr="0060346F" w:rsidRDefault="00851278" w:rsidP="005C5D13">
      <w:pPr>
        <w:spacing w:after="127" w:line="360" w:lineRule="auto"/>
        <w:ind w:right="2" w:firstLine="360"/>
        <w:jc w:val="both"/>
        <w:rPr>
          <w:rFonts w:cs="Times New Roman"/>
          <w:b/>
          <w:bCs/>
          <w:szCs w:val="24"/>
          <w:lang w:val="bg-BG" w:bidi="en-US"/>
        </w:rPr>
      </w:pPr>
      <w:r w:rsidRPr="00233A0B">
        <w:rPr>
          <w:rFonts w:cs="Times New Roman"/>
          <w:szCs w:val="24"/>
          <w:lang w:val="bg-BG" w:bidi="en-US"/>
        </w:rPr>
        <w:t xml:space="preserve">В обобщение, динамичната геополитическа ситуация изисква гъвкава и проактивна промяна в реализацията на ИСИС. Преосмислянето и адаптирането на стратегическите цели в светлината на сигурността, новите зависимости и глобалните рискове ще гарантира, че до 2027 г. стратегията не само адресира вътрешните предизвикателства, но и устоява на външните сътресения. Така България може да превърне кризисните влияния във възможност за трансформиране на икономиката си, постигане на заложените иновационни цели и подобряване на конкурентоспособността си в един променен европейски контекст. </w:t>
      </w:r>
      <w:r w:rsidRPr="0060346F">
        <w:rPr>
          <w:rFonts w:cs="Times New Roman"/>
          <w:b/>
          <w:bCs/>
          <w:szCs w:val="24"/>
          <w:lang w:val="bg-BG" w:bidi="en-US"/>
        </w:rPr>
        <w:t>Извеждането на сигурността и устойчивостта на преден план в иновационната политика ще спомогне страната по-уверено да посрещне бъдещи предизвикателства и да запази курса към дългосрочен растеж и просперитет.</w:t>
      </w:r>
    </w:p>
    <w:p w14:paraId="51F83944" w14:textId="77777777" w:rsidR="00AE19E9" w:rsidRPr="004B4581" w:rsidRDefault="00AE19E9" w:rsidP="005C5D13">
      <w:pPr>
        <w:spacing w:after="127" w:line="360" w:lineRule="auto"/>
        <w:ind w:right="2" w:firstLine="360"/>
        <w:jc w:val="both"/>
        <w:rPr>
          <w:rFonts w:cs="Times New Roman"/>
          <w:b/>
          <w:bCs/>
          <w:szCs w:val="24"/>
          <w:lang w:val="bg-BG" w:bidi="en-US"/>
        </w:rPr>
      </w:pPr>
      <w:r w:rsidRPr="00233A0B">
        <w:rPr>
          <w:rFonts w:cs="Times New Roman"/>
          <w:szCs w:val="24"/>
          <w:lang w:val="bg-BG" w:bidi="en-US"/>
        </w:rPr>
        <w:t xml:space="preserve">Изпълнението на ИСИС е съпътствано и от значителни </w:t>
      </w:r>
      <w:r w:rsidRPr="0075079F">
        <w:rPr>
          <w:rFonts w:cs="Times New Roman"/>
          <w:b/>
          <w:bCs/>
          <w:szCs w:val="24"/>
          <w:lang w:val="bg-BG" w:bidi="en-US"/>
        </w:rPr>
        <w:t>регионални различия</w:t>
      </w:r>
      <w:r w:rsidRPr="00233A0B">
        <w:rPr>
          <w:rFonts w:cs="Times New Roman"/>
          <w:szCs w:val="24"/>
          <w:lang w:val="bg-BG" w:bidi="en-US"/>
        </w:rPr>
        <w:t xml:space="preserve">. Анализът показва, че приносът на отделните райони на планиране към целите на Стратегията е неравномерен – следствие от съществуващите диспропорции в социално-икономическото развитие и концентрацията на научно-иновационна инфраструктура в определени центрове. Ресурсите за иновации са съсредоточени предимно в Югозападния регион (София), докато по-слабо развитите северни и някои южни райони допринасят скромно към общите показатели. </w:t>
      </w:r>
      <w:r w:rsidRPr="004B4581">
        <w:rPr>
          <w:rFonts w:cs="Times New Roman"/>
          <w:b/>
          <w:bCs/>
          <w:szCs w:val="24"/>
          <w:lang w:val="bg-BG" w:bidi="en-US"/>
        </w:rPr>
        <w:t xml:space="preserve">Това е потвърждение на изводите от предходния период, че въпреки положителни тенденции (нарастване на разходите за НИРД, поява на нови иновационни центрове), регионалната иновационна система остава </w:t>
      </w:r>
      <w:r w:rsidR="00626923" w:rsidRPr="004B4581">
        <w:rPr>
          <w:rFonts w:cs="Times New Roman"/>
          <w:b/>
          <w:bCs/>
          <w:szCs w:val="24"/>
          <w:lang w:val="bg-BG" w:bidi="en-US"/>
        </w:rPr>
        <w:t>небалансирана</w:t>
      </w:r>
      <w:r w:rsidRPr="004B4581">
        <w:rPr>
          <w:rFonts w:cs="Times New Roman"/>
          <w:b/>
          <w:bCs/>
          <w:szCs w:val="24"/>
          <w:lang w:val="bg-BG" w:bidi="en-US"/>
        </w:rPr>
        <w:t xml:space="preserve"> и не функционира пълноценно за всички части на страната.</w:t>
      </w:r>
    </w:p>
    <w:p w14:paraId="3AB9D0A0" w14:textId="77777777" w:rsidR="00ED73B4"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За адресиране на този проблем в рамките на различни програми се предприемат мерки за териториално насочване на ресурсите. България пое ангажимент най-малко 50% от общото финансиране по европейските фондове (без техническа помощ) да бъде насочено към трите по-слабо развити северни региона – Северозападен, Северен централен и Североизточен. По линия на ПНИИДИТ се прилагат механизми като допълнително точкуване и квоти за проекти от Северна България. Предвидено е също създаване на цифрови иновационни хъбове в Северозападния и Северн</w:t>
      </w:r>
      <w:r w:rsidR="00EA711E" w:rsidRPr="00233A0B">
        <w:rPr>
          <w:rFonts w:cs="Times New Roman"/>
          <w:szCs w:val="24"/>
          <w:lang w:val="bg-BG" w:bidi="en-US"/>
        </w:rPr>
        <w:t>о-</w:t>
      </w:r>
      <w:r w:rsidRPr="00233A0B">
        <w:rPr>
          <w:rFonts w:cs="Times New Roman"/>
          <w:szCs w:val="24"/>
          <w:lang w:val="bg-BG" w:bidi="en-US"/>
        </w:rPr>
        <w:t>централ</w:t>
      </w:r>
      <w:r w:rsidR="00EA711E" w:rsidRPr="00233A0B">
        <w:rPr>
          <w:rFonts w:cs="Times New Roman"/>
          <w:szCs w:val="24"/>
          <w:lang w:val="bg-BG" w:bidi="en-US"/>
        </w:rPr>
        <w:t>ния</w:t>
      </w:r>
      <w:r w:rsidRPr="00233A0B">
        <w:rPr>
          <w:rFonts w:cs="Times New Roman"/>
          <w:szCs w:val="24"/>
          <w:lang w:val="bg-BG" w:bidi="en-US"/>
        </w:rPr>
        <w:t xml:space="preserve"> </w:t>
      </w:r>
      <w:r w:rsidRPr="00233A0B">
        <w:rPr>
          <w:rFonts w:cs="Times New Roman"/>
          <w:szCs w:val="24"/>
          <w:lang w:val="bg-BG" w:bidi="en-US"/>
        </w:rPr>
        <w:lastRenderedPageBreak/>
        <w:t xml:space="preserve">регион, като част от усилията за развитие на регионален иновационен капацитет и преодоляване на дисбалансите. Въпреки тези стъпки, текущата междинна оценка и обратната връзка от заинтересованите страни потвърждават, че </w:t>
      </w:r>
      <w:r w:rsidRPr="00233A0B">
        <w:rPr>
          <w:rFonts w:cs="Times New Roman"/>
          <w:b/>
          <w:bCs/>
          <w:szCs w:val="24"/>
          <w:lang w:val="bg-BG" w:bidi="en-US"/>
        </w:rPr>
        <w:t>дисбалансът София–останали региони продължава да е на лице</w:t>
      </w:r>
      <w:r w:rsidRPr="00233A0B">
        <w:rPr>
          <w:rFonts w:cs="Times New Roman"/>
          <w:szCs w:val="24"/>
          <w:lang w:val="bg-BG" w:bidi="en-US"/>
        </w:rPr>
        <w:t xml:space="preserve">. В столицата и Югозападния регион са концентрирани основните иновационни фирми, инвестиции и научни организации, докато голяма част от периферните области изостават по ключови показатели. </w:t>
      </w:r>
    </w:p>
    <w:p w14:paraId="05856BAF" w14:textId="77777777" w:rsidR="00AE19E9" w:rsidRPr="00ED73B4" w:rsidRDefault="00AE19E9" w:rsidP="005C5D13">
      <w:pPr>
        <w:spacing w:after="127" w:line="360" w:lineRule="auto"/>
        <w:ind w:right="2" w:firstLine="360"/>
        <w:jc w:val="both"/>
        <w:rPr>
          <w:rFonts w:cs="Times New Roman"/>
          <w:b/>
          <w:bCs/>
          <w:szCs w:val="24"/>
          <w:lang w:val="bg-BG" w:bidi="en-US"/>
        </w:rPr>
      </w:pPr>
      <w:r w:rsidRPr="00ED73B4">
        <w:rPr>
          <w:rFonts w:cs="Times New Roman"/>
          <w:b/>
          <w:bCs/>
          <w:szCs w:val="24"/>
          <w:lang w:val="bg-BG" w:bidi="en-US"/>
        </w:rPr>
        <w:t>Този въпрос се разглежда като стратегически за втората половина на периода – необходими са допълнителни усилия за териториално балансиране на ефектите от ИСИС, така че всички региони да се възползват от инструментите за интелигентна специализация.</w:t>
      </w:r>
    </w:p>
    <w:p w14:paraId="6A80DF14" w14:textId="77777777" w:rsidR="00CA1D1C" w:rsidRDefault="00CA1D1C">
      <w:pPr>
        <w:rPr>
          <w:rFonts w:cs="Times New Roman"/>
          <w:szCs w:val="24"/>
          <w:lang w:val="bg-BG" w:bidi="en-US"/>
        </w:rPr>
      </w:pPr>
      <w:r>
        <w:rPr>
          <w:rFonts w:cs="Times New Roman"/>
          <w:szCs w:val="24"/>
          <w:lang w:val="bg-BG" w:bidi="en-US"/>
        </w:rPr>
        <w:br w:type="page"/>
      </w:r>
    </w:p>
    <w:p w14:paraId="6CFAFF8B" w14:textId="77777777" w:rsidR="000B6F9F" w:rsidRPr="000B6F9F" w:rsidRDefault="000B6F9F" w:rsidP="005C5D13">
      <w:pPr>
        <w:pStyle w:val="Heading1"/>
        <w:spacing w:line="360" w:lineRule="auto"/>
        <w:rPr>
          <w:rFonts w:ascii="Times New Roman" w:hAnsi="Times New Roman" w:cs="Times New Roman"/>
          <w:b/>
          <w:bCs/>
          <w:lang w:val="bg-BG" w:bidi="en-US"/>
        </w:rPr>
      </w:pPr>
      <w:bookmarkStart w:id="27" w:name="_Toc216427823"/>
      <w:r w:rsidRPr="000B6F9F">
        <w:rPr>
          <w:rFonts w:ascii="Times New Roman" w:hAnsi="Times New Roman" w:cs="Times New Roman"/>
          <w:b/>
          <w:bCs/>
          <w:lang w:val="bg-BG" w:bidi="en-US"/>
        </w:rPr>
        <w:lastRenderedPageBreak/>
        <w:t>Препоръки.</w:t>
      </w:r>
      <w:bookmarkEnd w:id="27"/>
    </w:p>
    <w:p w14:paraId="742A6C4E" w14:textId="77777777" w:rsidR="00AE19E9" w:rsidRDefault="00AE19E9" w:rsidP="005C5D13">
      <w:pPr>
        <w:spacing w:after="127" w:line="360" w:lineRule="auto"/>
        <w:ind w:right="2" w:firstLine="360"/>
        <w:jc w:val="both"/>
        <w:rPr>
          <w:rFonts w:cs="Times New Roman"/>
          <w:szCs w:val="24"/>
          <w:lang w:val="bg-BG" w:bidi="en-US"/>
        </w:rPr>
      </w:pPr>
      <w:r w:rsidRPr="00233A0B">
        <w:rPr>
          <w:rFonts w:cs="Times New Roman"/>
          <w:szCs w:val="24"/>
          <w:lang w:val="bg-BG" w:bidi="en-US"/>
        </w:rPr>
        <w:t>На базата на гореизложените анализи, отчетения напредък и идентифицираните проблеми, както и въз основа на проведените дискусии (</w:t>
      </w:r>
      <w:r w:rsidRPr="00233A0B">
        <w:rPr>
          <w:rFonts w:cs="Times New Roman"/>
          <w:i/>
          <w:iCs/>
          <w:szCs w:val="24"/>
          <w:lang w:val="bg-BG" w:bidi="en-US"/>
        </w:rPr>
        <w:t>Комисията по икономическа политика към ИСС</w:t>
      </w:r>
      <w:r w:rsidR="00E01F24" w:rsidRPr="00233A0B">
        <w:rPr>
          <w:rFonts w:cs="Times New Roman"/>
          <w:i/>
          <w:iCs/>
          <w:szCs w:val="24"/>
          <w:lang w:val="bg-BG" w:bidi="en-US"/>
        </w:rPr>
        <w:t>;</w:t>
      </w:r>
      <w:r w:rsidRPr="00233A0B">
        <w:rPr>
          <w:rFonts w:cs="Times New Roman"/>
          <w:i/>
          <w:iCs/>
          <w:szCs w:val="24"/>
          <w:lang w:val="bg-BG" w:bidi="en-US"/>
        </w:rPr>
        <w:t xml:space="preserve"> пленарна сесия на ИСС</w:t>
      </w:r>
      <w:r w:rsidR="00E01F24" w:rsidRPr="00233A0B">
        <w:rPr>
          <w:rFonts w:cs="Times New Roman"/>
          <w:i/>
          <w:iCs/>
          <w:szCs w:val="24"/>
          <w:lang w:val="bg-BG" w:bidi="en-US"/>
        </w:rPr>
        <w:t>; проведена широка обществена консултация – чрез публикуване на материали, включително въпросника, на сайта на МИР и изпращане на покани за участие в дискусията до широк кръг заинтересовани страни, включително бизнес организации, научни институции, регионални структури, индустриални клъстери и неправителствени организации; осъществена междуинституционална консултация и съвместна работа с всички компетентни институции – министерства, изпълнителни агенции и други публични органи – във връзка с отчитането на напредъка по Плана за действие на ИСИС за периода 2023 – 2024 г</w:t>
      </w:r>
      <w:r w:rsidR="00E01F24" w:rsidRPr="00233A0B">
        <w:rPr>
          <w:rFonts w:cs="Times New Roman"/>
          <w:szCs w:val="24"/>
          <w:lang w:val="bg-BG" w:bidi="en-US"/>
        </w:rPr>
        <w:t>.</w:t>
      </w:r>
      <w:r w:rsidRPr="00233A0B">
        <w:rPr>
          <w:rFonts w:cs="Times New Roman"/>
          <w:szCs w:val="24"/>
          <w:lang w:val="bg-BG" w:bidi="en-US"/>
        </w:rPr>
        <w:t>), се формулират следните препоръки за оптимизиране изпълнението на ИСИС и за нейното актуализиране. Целта е стратегията да адресира по-ефективно установените предизвикателства, да постигне по-добър териториален баланс и да увеличи приноса на МСП и академичния сектор към иновационната екосистема.</w:t>
      </w:r>
    </w:p>
    <w:p w14:paraId="1A89F36F" w14:textId="77777777" w:rsidR="008B7C19" w:rsidRPr="008B7C19" w:rsidRDefault="008B7C19" w:rsidP="005C5D13">
      <w:pPr>
        <w:pStyle w:val="Heading2"/>
        <w:spacing w:line="360" w:lineRule="auto"/>
        <w:rPr>
          <w:rFonts w:ascii="Times New Roman" w:hAnsi="Times New Roman" w:cs="Times New Roman"/>
          <w:b/>
          <w:bCs/>
          <w:lang w:bidi="en-US"/>
        </w:rPr>
      </w:pPr>
      <w:bookmarkStart w:id="28" w:name="_Toc216427824"/>
      <w:r w:rsidRPr="008B7C19">
        <w:rPr>
          <w:rFonts w:ascii="Times New Roman" w:hAnsi="Times New Roman" w:cs="Times New Roman"/>
          <w:b/>
          <w:bCs/>
          <w:lang w:val="bg-BG" w:bidi="en-US"/>
        </w:rPr>
        <w:t>Оперативни препоръки (краткосрочни).</w:t>
      </w:r>
      <w:bookmarkEnd w:id="28"/>
    </w:p>
    <w:p w14:paraId="394CAFFB" w14:textId="77777777" w:rsidR="003F773B" w:rsidRPr="003F773B" w:rsidRDefault="00A44AB1" w:rsidP="003F773B">
      <w:pPr>
        <w:pStyle w:val="Heading3"/>
        <w:rPr>
          <w:rFonts w:ascii="Times New Roman" w:hAnsi="Times New Roman" w:cs="Times New Roman"/>
          <w:b/>
          <w:bCs/>
          <w:lang w:val="bg-BG" w:bidi="en-US"/>
        </w:rPr>
      </w:pPr>
      <w:bookmarkStart w:id="29" w:name="_Toc216427825"/>
      <w:r>
        <w:rPr>
          <w:rFonts w:ascii="Times New Roman" w:hAnsi="Times New Roman" w:cs="Times New Roman"/>
          <w:b/>
          <w:bCs/>
          <w:lang w:val="bg-BG" w:bidi="en-US"/>
        </w:rPr>
        <w:t xml:space="preserve">ПРЕПОРЪКА 1: </w:t>
      </w:r>
      <w:r w:rsidR="008B7C19" w:rsidRPr="003F773B">
        <w:rPr>
          <w:rFonts w:ascii="Times New Roman" w:hAnsi="Times New Roman" w:cs="Times New Roman"/>
          <w:b/>
          <w:bCs/>
          <w:lang w:val="bg-BG" w:bidi="en-US"/>
        </w:rPr>
        <w:t>Териториално балансиране и подкрепа за регионалните иновации:</w:t>
      </w:r>
      <w:bookmarkEnd w:id="29"/>
      <w:r w:rsidR="008B7C19" w:rsidRPr="003F773B">
        <w:rPr>
          <w:rFonts w:ascii="Times New Roman" w:hAnsi="Times New Roman" w:cs="Times New Roman"/>
          <w:b/>
          <w:bCs/>
          <w:lang w:val="bg-BG" w:bidi="en-US"/>
        </w:rPr>
        <w:t xml:space="preserve"> </w:t>
      </w:r>
    </w:p>
    <w:p w14:paraId="4E081509" w14:textId="77777777" w:rsidR="008B7C19" w:rsidRPr="003F773B" w:rsidRDefault="00826576" w:rsidP="003F773B">
      <w:pPr>
        <w:spacing w:after="127" w:line="360" w:lineRule="auto"/>
        <w:ind w:right="2" w:firstLine="426"/>
        <w:jc w:val="both"/>
        <w:rPr>
          <w:rFonts w:cs="Times New Roman"/>
          <w:szCs w:val="24"/>
          <w:lang w:val="bg-BG" w:bidi="en-US"/>
        </w:rPr>
      </w:pPr>
      <w:r w:rsidRPr="003F773B">
        <w:rPr>
          <w:rFonts w:cs="Times New Roman"/>
          <w:szCs w:val="24"/>
          <w:lang w:val="bg-BG" w:bidi="en-US"/>
        </w:rPr>
        <w:t xml:space="preserve">В глобален мащаб иновационната активност се концентрира в няколко водещи хъба, докато периферните региони изостават – тенденция видима и в България, където НИРД разходите извън столицата са значително по-ниски. В отговор ЕС прилага инициативи като </w:t>
      </w:r>
      <w:proofErr w:type="spellStart"/>
      <w:r w:rsidRPr="003F773B">
        <w:rPr>
          <w:rFonts w:cs="Times New Roman"/>
          <w:szCs w:val="24"/>
          <w:lang w:val="bg-BG" w:bidi="en-US"/>
        </w:rPr>
        <w:t>Widening</w:t>
      </w:r>
      <w:proofErr w:type="spellEnd"/>
      <w:r w:rsidRPr="003F773B">
        <w:rPr>
          <w:rFonts w:cs="Times New Roman"/>
          <w:szCs w:val="24"/>
          <w:lang w:val="bg-BG" w:bidi="en-US"/>
        </w:rPr>
        <w:t xml:space="preserve"> </w:t>
      </w:r>
      <w:proofErr w:type="spellStart"/>
      <w:r w:rsidRPr="003F773B">
        <w:rPr>
          <w:rFonts w:cs="Times New Roman"/>
          <w:szCs w:val="24"/>
          <w:lang w:val="bg-BG" w:bidi="en-US"/>
        </w:rPr>
        <w:t>Participation</w:t>
      </w:r>
      <w:proofErr w:type="spellEnd"/>
      <w:r w:rsidRPr="003F773B">
        <w:rPr>
          <w:rFonts w:cs="Times New Roman"/>
          <w:szCs w:val="24"/>
          <w:lang w:val="bg-BG" w:bidi="en-US"/>
        </w:rPr>
        <w:t xml:space="preserve">, </w:t>
      </w:r>
      <w:proofErr w:type="spellStart"/>
      <w:r w:rsidRPr="003F773B">
        <w:rPr>
          <w:rFonts w:cs="Times New Roman"/>
          <w:szCs w:val="24"/>
          <w:lang w:val="bg-BG" w:bidi="en-US"/>
        </w:rPr>
        <w:t>Innovation</w:t>
      </w:r>
      <w:proofErr w:type="spellEnd"/>
      <w:r w:rsidRPr="003F773B">
        <w:rPr>
          <w:rFonts w:cs="Times New Roman"/>
          <w:szCs w:val="24"/>
          <w:lang w:val="bg-BG" w:bidi="en-US"/>
        </w:rPr>
        <w:t xml:space="preserve"> </w:t>
      </w:r>
      <w:proofErr w:type="spellStart"/>
      <w:r w:rsidRPr="003F773B">
        <w:rPr>
          <w:rFonts w:cs="Times New Roman"/>
          <w:szCs w:val="24"/>
          <w:lang w:val="bg-BG" w:bidi="en-US"/>
        </w:rPr>
        <w:t>Valleys</w:t>
      </w:r>
      <w:proofErr w:type="spellEnd"/>
      <w:r w:rsidRPr="003F773B">
        <w:rPr>
          <w:rFonts w:cs="Times New Roman"/>
          <w:szCs w:val="24"/>
          <w:lang w:val="bg-BG" w:bidi="en-US"/>
        </w:rPr>
        <w:t xml:space="preserve"> и мрежите от дигитални иновационни хъбове, насочени към преодоляване на регионалните дисбаланси и подкрепа на по-слабо развитите територии. </w:t>
      </w:r>
      <w:r w:rsidR="008B7C19" w:rsidRPr="003F773B">
        <w:rPr>
          <w:rFonts w:cs="Times New Roman"/>
          <w:szCs w:val="24"/>
          <w:lang w:val="bg-BG" w:bidi="en-US"/>
        </w:rPr>
        <w:t xml:space="preserve">За да се намалят регионалните различия, установени в анализа, препоръчва се продължаване и разширяване на териториално насочените политики. На първо място, </w:t>
      </w:r>
      <w:r w:rsidR="008B7C19" w:rsidRPr="003F773B">
        <w:rPr>
          <w:rFonts w:cs="Times New Roman"/>
          <w:b/>
          <w:bCs/>
          <w:szCs w:val="24"/>
          <w:lang w:val="bg-BG" w:bidi="en-US"/>
        </w:rPr>
        <w:t>подкрепата за Северна България</w:t>
      </w:r>
      <w:r w:rsidR="008B7C19" w:rsidRPr="003F773B">
        <w:rPr>
          <w:rFonts w:cs="Times New Roman"/>
          <w:szCs w:val="24"/>
          <w:lang w:val="bg-BG" w:bidi="en-US"/>
        </w:rPr>
        <w:t xml:space="preserve"> следва да остане стратегически приоритет. Необходими са допълнителни целеви схеми за Северозападния, Северния централен и Североизточния район – например увеличаване на бюджета по процедурите, даващи предимство на северни кандидати, или откриване на нови процедури, насочени към специфичните сектори и нужди на тези региони. Следва да се засили и ролята на </w:t>
      </w:r>
      <w:r w:rsidR="008B7C19" w:rsidRPr="003F773B">
        <w:rPr>
          <w:rFonts w:cs="Times New Roman"/>
          <w:b/>
          <w:bCs/>
          <w:szCs w:val="24"/>
          <w:lang w:val="bg-BG" w:bidi="en-US"/>
        </w:rPr>
        <w:t>Интегрираните териториални инвестиции (ИТИ)</w:t>
      </w:r>
      <w:r w:rsidR="008B7C19" w:rsidRPr="003F773B">
        <w:rPr>
          <w:rFonts w:cs="Times New Roman"/>
          <w:szCs w:val="24"/>
          <w:lang w:val="bg-BG" w:bidi="en-US"/>
        </w:rPr>
        <w:t xml:space="preserve"> – по линия на ИСИС може да се координира подкрепа за регионални иновационни проекти чрез ИТИ, обединяващи ресурси от различни източници (Програма „Конкурентоспособност и иновации“, ПНИИДИТ, програми за регионално развитие и др.). Конкретна препоръка е да се отдели </w:t>
      </w:r>
      <w:r w:rsidR="008B7C19" w:rsidRPr="003F773B">
        <w:rPr>
          <w:rFonts w:cs="Times New Roman"/>
          <w:szCs w:val="24"/>
          <w:lang w:val="bg-BG" w:bidi="en-US"/>
        </w:rPr>
        <w:lastRenderedPageBreak/>
        <w:t xml:space="preserve">специално внимание на </w:t>
      </w:r>
      <w:r w:rsidR="008B7C19" w:rsidRPr="003F773B">
        <w:rPr>
          <w:rFonts w:cs="Times New Roman"/>
          <w:b/>
          <w:bCs/>
          <w:szCs w:val="24"/>
          <w:lang w:val="bg-BG" w:bidi="en-US"/>
        </w:rPr>
        <w:t>регионалните иновационни центрове и хъбове</w:t>
      </w:r>
      <w:r w:rsidR="008B7C19" w:rsidRPr="003F773B">
        <w:rPr>
          <w:rFonts w:cs="Times New Roman"/>
          <w:szCs w:val="24"/>
          <w:lang w:val="bg-BG" w:bidi="en-US"/>
        </w:rPr>
        <w:t xml:space="preserve">. Проекти като изграждането на Цифрови иновационни хъбове в Северозападния и Северен централен регион трябва да се подкрепят активно и наблюдават, тъй като те могат да станат ядра на развитие в изоставащите области. Подобни центрове следва да се стимулират и в южните периферни райони, където има ниска концентрация на иновационна инфраструктура. Освен това се препоръчва </w:t>
      </w:r>
      <w:r w:rsidR="008B7C19" w:rsidRPr="003F773B">
        <w:rPr>
          <w:rFonts w:cs="Times New Roman"/>
          <w:b/>
          <w:bCs/>
          <w:szCs w:val="24"/>
          <w:lang w:val="bg-BG" w:bidi="en-US"/>
        </w:rPr>
        <w:t>насърчаване на регионалните мрежи</w:t>
      </w:r>
      <w:r w:rsidR="008B7C19" w:rsidRPr="003F773B">
        <w:rPr>
          <w:rFonts w:cs="Times New Roman"/>
          <w:szCs w:val="24"/>
          <w:lang w:val="bg-BG" w:bidi="en-US"/>
        </w:rPr>
        <w:t xml:space="preserve"> – създаване на платформи за взаимодействие между местния бизнес, университетите и лабораториите. Местните власти (областни и общински) могат да играят по-активна роля, като развиват регионални иновационни стратегии в синхрон с ИСИС и заделят ресурс (напр. чрез общински фондове) за малки иновационни проекти на територията си. Целта е знанието и технологиите да се „разпространят“ из цялата страна, а не да остават концентрирани само в столицата. </w:t>
      </w:r>
    </w:p>
    <w:p w14:paraId="271BE6D8" w14:textId="77777777" w:rsidR="003F773B" w:rsidRPr="003F773B" w:rsidRDefault="00A44AB1" w:rsidP="003F773B">
      <w:pPr>
        <w:pStyle w:val="Heading3"/>
        <w:rPr>
          <w:rFonts w:ascii="Times New Roman" w:hAnsi="Times New Roman" w:cs="Times New Roman"/>
          <w:b/>
          <w:bCs/>
          <w:lang w:val="bg-BG" w:bidi="en-US"/>
        </w:rPr>
      </w:pPr>
      <w:bookmarkStart w:id="30" w:name="_Toc216427826"/>
      <w:r>
        <w:rPr>
          <w:rFonts w:ascii="Times New Roman" w:hAnsi="Times New Roman" w:cs="Times New Roman"/>
          <w:b/>
          <w:bCs/>
          <w:lang w:val="bg-BG" w:bidi="en-US"/>
        </w:rPr>
        <w:t xml:space="preserve">ПРЕПОРЪКА 2: </w:t>
      </w:r>
      <w:r w:rsidR="00696C4F" w:rsidRPr="003F773B">
        <w:rPr>
          <w:rFonts w:ascii="Times New Roman" w:hAnsi="Times New Roman" w:cs="Times New Roman"/>
          <w:b/>
          <w:bCs/>
          <w:lang w:val="bg-BG" w:bidi="en-US"/>
        </w:rPr>
        <w:t>Повишаване участието на МСП и академичния сектор:</w:t>
      </w:r>
      <w:bookmarkEnd w:id="30"/>
      <w:r w:rsidR="00696C4F" w:rsidRPr="003F773B">
        <w:rPr>
          <w:rFonts w:ascii="Times New Roman" w:hAnsi="Times New Roman" w:cs="Times New Roman"/>
          <w:b/>
          <w:bCs/>
          <w:lang w:val="bg-BG" w:bidi="en-US"/>
        </w:rPr>
        <w:t xml:space="preserve"> </w:t>
      </w:r>
    </w:p>
    <w:p w14:paraId="7473A782" w14:textId="77777777" w:rsidR="00696C4F" w:rsidRPr="003F773B" w:rsidRDefault="00696C4F" w:rsidP="00281E6B">
      <w:pPr>
        <w:spacing w:after="127" w:line="360" w:lineRule="auto"/>
        <w:ind w:right="2" w:firstLine="426"/>
        <w:jc w:val="both"/>
        <w:rPr>
          <w:rFonts w:cs="Times New Roman"/>
          <w:szCs w:val="24"/>
          <w:lang w:val="bg-BG" w:bidi="en-US"/>
        </w:rPr>
      </w:pPr>
      <w:r w:rsidRPr="003F773B">
        <w:rPr>
          <w:rFonts w:cs="Times New Roman"/>
          <w:szCs w:val="24"/>
          <w:lang w:val="bg-BG" w:bidi="en-US"/>
        </w:rPr>
        <w:t xml:space="preserve">В глобален и европейски план МСП и научният сектор имат ключова роля за иновациите, но продължават да срещат значителни бариери като ограничен достъп до финансиране, експертиза и технологии, което налага по-силни инструменти за подкрепа и по-тясно взаимодействие бизнес–наука. Европейските политики – включително иновационните ваучери, мерките за комерсиализация на научни резултати и инициативите по Новата Европейска иновационна програма – подчертават нуждата от по-активно участие на индустрията, академичния сектор и процеса на предприемаческо откритие за актуализиране и ефективно прилагане на ИСИС. Въпреки, че ИСИС е насочена към всички звена на иновационната система, анализът показва, че малките и средни предприятия и научните организации все още не допринасят в пълна степен към реализирането на целите. Необходимо е стратегически фокус върху </w:t>
      </w:r>
      <w:r w:rsidRPr="003F773B">
        <w:rPr>
          <w:rFonts w:cs="Times New Roman"/>
          <w:b/>
          <w:bCs/>
          <w:szCs w:val="24"/>
          <w:lang w:val="bg-BG" w:bidi="en-US"/>
        </w:rPr>
        <w:t>стимулиране участието на бизнеса и науката</w:t>
      </w:r>
      <w:r w:rsidRPr="003F773B">
        <w:rPr>
          <w:rFonts w:cs="Times New Roman"/>
          <w:szCs w:val="24"/>
          <w:lang w:val="bg-BG" w:bidi="en-US"/>
        </w:rPr>
        <w:t xml:space="preserve"> във всички етапи – от формулиране на приоритети, през изпълнение на проекти, до оценка на въздействието. Препоръчва се въвеждане на допълнителни финансови инструменти, насочени към МСП – например добавяне на още ваучерни схеми за иновации (предоставящи малки грантове на МСП за покупка на научно-технически услуги от БАН и университети) или специални конкурси за стартиращи предприятия по тематичните области. Също така е целесъобразно да се улесни достъпът на университети и научни институти до финансиране по ИСИС, включително като се поощряват </w:t>
      </w:r>
      <w:r w:rsidRPr="003F773B">
        <w:rPr>
          <w:rFonts w:cs="Times New Roman"/>
          <w:b/>
          <w:bCs/>
          <w:szCs w:val="24"/>
          <w:lang w:val="bg-BG" w:bidi="en-US"/>
        </w:rPr>
        <w:t>партньорски проекти</w:t>
      </w:r>
      <w:r w:rsidRPr="003F773B">
        <w:rPr>
          <w:rFonts w:cs="Times New Roman"/>
          <w:szCs w:val="24"/>
          <w:lang w:val="bg-BG" w:bidi="en-US"/>
        </w:rPr>
        <w:t xml:space="preserve"> между научния и частния сектор. Новоприетият ЗННИИ създава основа за подобно партньорство – напр. чрез регламентиране на общи лаборатории, спин-</w:t>
      </w:r>
      <w:proofErr w:type="spellStart"/>
      <w:r w:rsidRPr="003F773B">
        <w:rPr>
          <w:rFonts w:cs="Times New Roman"/>
          <w:szCs w:val="24"/>
          <w:lang w:val="bg-BG" w:bidi="en-US"/>
        </w:rPr>
        <w:t>оф</w:t>
      </w:r>
      <w:proofErr w:type="spellEnd"/>
      <w:r w:rsidRPr="003F773B">
        <w:rPr>
          <w:rFonts w:cs="Times New Roman"/>
          <w:szCs w:val="24"/>
          <w:lang w:val="bg-BG" w:bidi="en-US"/>
        </w:rPr>
        <w:t xml:space="preserve"> компании от университетите, трансфер </w:t>
      </w:r>
      <w:r w:rsidRPr="003F773B">
        <w:rPr>
          <w:rFonts w:cs="Times New Roman"/>
          <w:szCs w:val="24"/>
          <w:lang w:val="bg-BG" w:bidi="en-US"/>
        </w:rPr>
        <w:lastRenderedPageBreak/>
        <w:t xml:space="preserve">на интелектуална собственост – и сега е важно тези положения да се претворят в работещи програми. Обратната връзка от членовете на Икономическия и социален съвет подсказва, че бизнесът желае по-активно да участва във формирането и изпълнението на политиките – критика беше отправена, че досегашната оценка пита бенефициентите „какво мислят“ без да дава перспектива как техният принос се вписва в по-широкия европейски контекст. Затова </w:t>
      </w:r>
      <w:r w:rsidR="002300BA" w:rsidRPr="003F773B">
        <w:rPr>
          <w:rFonts w:cs="Times New Roman"/>
          <w:szCs w:val="24"/>
          <w:lang w:val="bg-BG" w:bidi="en-US"/>
        </w:rPr>
        <w:t xml:space="preserve">се препоръчва </w:t>
      </w:r>
      <w:r w:rsidRPr="003F773B">
        <w:rPr>
          <w:rFonts w:cs="Times New Roman"/>
          <w:szCs w:val="24"/>
          <w:lang w:val="bg-BG" w:bidi="en-US"/>
        </w:rPr>
        <w:t xml:space="preserve">засилването по всички възможни канали на </w:t>
      </w:r>
      <w:r w:rsidRPr="003F773B">
        <w:rPr>
          <w:rFonts w:cs="Times New Roman"/>
          <w:b/>
          <w:bCs/>
          <w:szCs w:val="24"/>
          <w:lang w:val="bg-BG" w:bidi="en-US"/>
        </w:rPr>
        <w:t>регулярните консултации с бизнеса, академичната общност и заинтересованите страни</w:t>
      </w:r>
      <w:r w:rsidRPr="003F773B">
        <w:rPr>
          <w:rFonts w:cs="Times New Roman"/>
          <w:szCs w:val="24"/>
          <w:lang w:val="bg-BG" w:bidi="en-US"/>
        </w:rPr>
        <w:t xml:space="preserve"> в конкретните моменти на отчитане и актуализиране на ИСИС – например годишни форуми или анкети, преди финализиране на годишните доклади. Така стратегията ще се адаптира по-гъвкаво към нуждите на индустрията и научния сектор. Също така, от гледна точка на </w:t>
      </w:r>
      <w:r w:rsidRPr="003F773B">
        <w:rPr>
          <w:rFonts w:cs="Times New Roman"/>
          <w:i/>
          <w:iCs/>
          <w:szCs w:val="24"/>
          <w:lang w:val="bg-BG" w:bidi="en-US"/>
        </w:rPr>
        <w:t>регулаторна среда</w:t>
      </w:r>
      <w:r w:rsidRPr="003F773B">
        <w:rPr>
          <w:rFonts w:cs="Times New Roman"/>
          <w:szCs w:val="24"/>
          <w:lang w:val="bg-BG" w:bidi="en-US"/>
        </w:rPr>
        <w:t>, следва да се обмисли намаляване на рестрикциите пред бизнеса в специфични области – както бе повдигнато на дискусиите, „защо в България да сме по-строги към собствения си бизнес от другите държави“. Това може да се отнася до критерии за допустимост, локални изисквания за проекти и др. – важно е условията по ИСИС да не поставят нашите предприятия в по-неизгодна позиция от европейските им конкуренти, а напротив, да стимулират участието им в европейски инициативи (напр. „</w:t>
      </w:r>
      <w:proofErr w:type="spellStart"/>
      <w:r w:rsidRPr="003F773B">
        <w:rPr>
          <w:rFonts w:cs="Times New Roman"/>
          <w:szCs w:val="24"/>
          <w:lang w:val="bg-BG" w:bidi="en-US"/>
        </w:rPr>
        <w:t>Horizon</w:t>
      </w:r>
      <w:proofErr w:type="spellEnd"/>
      <w:r w:rsidRPr="003F773B">
        <w:rPr>
          <w:rFonts w:cs="Times New Roman"/>
          <w:szCs w:val="24"/>
          <w:lang w:val="bg-BG" w:bidi="en-US"/>
        </w:rPr>
        <w:t xml:space="preserve"> </w:t>
      </w:r>
      <w:proofErr w:type="spellStart"/>
      <w:r w:rsidRPr="003F773B">
        <w:rPr>
          <w:rFonts w:cs="Times New Roman"/>
          <w:szCs w:val="24"/>
          <w:lang w:val="bg-BG" w:bidi="en-US"/>
        </w:rPr>
        <w:t>Europe</w:t>
      </w:r>
      <w:proofErr w:type="spellEnd"/>
      <w:r w:rsidRPr="003F773B">
        <w:rPr>
          <w:rFonts w:cs="Times New Roman"/>
          <w:szCs w:val="24"/>
          <w:lang w:val="bg-BG" w:bidi="en-US"/>
        </w:rPr>
        <w:t xml:space="preserve">“, Европейски иновационен съвет и др.). </w:t>
      </w:r>
    </w:p>
    <w:p w14:paraId="13EE2B87" w14:textId="77777777" w:rsidR="00696C4F" w:rsidRPr="003E3388" w:rsidRDefault="003E3388" w:rsidP="005C5D13">
      <w:pPr>
        <w:pStyle w:val="Heading2"/>
        <w:spacing w:line="360" w:lineRule="auto"/>
        <w:rPr>
          <w:rFonts w:ascii="Times New Roman" w:hAnsi="Times New Roman" w:cs="Times New Roman"/>
          <w:b/>
          <w:bCs/>
          <w:lang w:val="bg-BG" w:bidi="en-US"/>
        </w:rPr>
      </w:pPr>
      <w:bookmarkStart w:id="31" w:name="_Toc216427827"/>
      <w:r w:rsidRPr="003E3388">
        <w:rPr>
          <w:rFonts w:ascii="Times New Roman" w:hAnsi="Times New Roman" w:cs="Times New Roman"/>
          <w:b/>
          <w:bCs/>
          <w:lang w:val="bg-BG" w:bidi="en-US"/>
        </w:rPr>
        <w:t>Стратегически препоръки (средносрочни).</w:t>
      </w:r>
      <w:bookmarkEnd w:id="31"/>
    </w:p>
    <w:p w14:paraId="330892EA" w14:textId="77777777" w:rsidR="009C746E" w:rsidRPr="009C746E" w:rsidRDefault="00C614CE" w:rsidP="009C746E">
      <w:pPr>
        <w:pStyle w:val="Heading3"/>
        <w:rPr>
          <w:rFonts w:ascii="Times New Roman" w:hAnsi="Times New Roman" w:cs="Times New Roman"/>
          <w:b/>
          <w:bCs/>
          <w:lang w:val="bg-BG" w:bidi="en-US"/>
        </w:rPr>
      </w:pPr>
      <w:bookmarkStart w:id="32" w:name="_Toc216427828"/>
      <w:r>
        <w:rPr>
          <w:rFonts w:ascii="Times New Roman" w:hAnsi="Times New Roman" w:cs="Times New Roman"/>
          <w:b/>
          <w:bCs/>
          <w:lang w:val="bg-BG" w:bidi="en-US"/>
        </w:rPr>
        <w:t xml:space="preserve">ПРЕПОРЪКА 1: </w:t>
      </w:r>
      <w:r w:rsidR="00AE19E9" w:rsidRPr="009C746E">
        <w:rPr>
          <w:rFonts w:ascii="Times New Roman" w:hAnsi="Times New Roman" w:cs="Times New Roman"/>
          <w:b/>
          <w:bCs/>
          <w:lang w:val="bg-BG" w:bidi="en-US"/>
        </w:rPr>
        <w:t>Засилване на инвестиции</w:t>
      </w:r>
      <w:r w:rsidR="00FB624D" w:rsidRPr="009C746E">
        <w:rPr>
          <w:rFonts w:ascii="Times New Roman" w:hAnsi="Times New Roman" w:cs="Times New Roman"/>
          <w:b/>
          <w:bCs/>
          <w:lang w:val="bg-BG" w:bidi="en-US"/>
        </w:rPr>
        <w:t>те</w:t>
      </w:r>
      <w:r w:rsidR="00AE19E9" w:rsidRPr="009C746E">
        <w:rPr>
          <w:rFonts w:ascii="Times New Roman" w:hAnsi="Times New Roman" w:cs="Times New Roman"/>
          <w:b/>
          <w:bCs/>
          <w:lang w:val="bg-BG" w:bidi="en-US"/>
        </w:rPr>
        <w:t xml:space="preserve"> в научно-развойна дейност:</w:t>
      </w:r>
      <w:bookmarkEnd w:id="32"/>
      <w:r w:rsidR="00AE19E9" w:rsidRPr="009C746E">
        <w:rPr>
          <w:rFonts w:ascii="Times New Roman" w:hAnsi="Times New Roman" w:cs="Times New Roman"/>
          <w:b/>
          <w:bCs/>
          <w:lang w:val="bg-BG" w:bidi="en-US"/>
        </w:rPr>
        <w:t xml:space="preserve"> </w:t>
      </w:r>
    </w:p>
    <w:p w14:paraId="6AF8EFAD" w14:textId="77777777" w:rsidR="00B7780D" w:rsidRPr="009C746E" w:rsidRDefault="00CC5DF0" w:rsidP="009C746E">
      <w:pPr>
        <w:spacing w:after="127" w:line="360" w:lineRule="auto"/>
        <w:ind w:right="2" w:firstLine="360"/>
        <w:jc w:val="both"/>
        <w:rPr>
          <w:rFonts w:cs="Times New Roman"/>
          <w:szCs w:val="24"/>
          <w:lang w:val="bg-BG" w:bidi="en-US"/>
        </w:rPr>
      </w:pPr>
      <w:r w:rsidRPr="009C746E">
        <w:rPr>
          <w:rFonts w:cs="Times New Roman"/>
          <w:szCs w:val="24"/>
          <w:lang w:val="bg-BG" w:bidi="en-US"/>
        </w:rPr>
        <w:t xml:space="preserve">Данните показват устойчиво нарастване на разходите за НИРД, но ЕС (2.22% от БВП) продължава да изостава от водещите международни икономики, докато България остава сред страните с най-ниска интензивност (~0.8%). Това задълбочава „иновационната пропаст“ и подчертава необходимостта от дългосрочни публични инвестиции, за да се доближи страната до целевото ниво от 2% от БВП и до международните тенденции за ускорено технологично развитие. </w:t>
      </w:r>
      <w:r w:rsidR="007C1029" w:rsidRPr="009C746E">
        <w:rPr>
          <w:rFonts w:cs="Times New Roman"/>
          <w:szCs w:val="24"/>
          <w:lang w:val="bg-BG" w:bidi="en-US"/>
        </w:rPr>
        <w:t>Необходимо е държавата да увеличи и стабилизира финансирането за НИРД, за да подкрепи изпълнението на ИСИС. Препоръчително е прогресивно нарастване на публичните разходи за наука и иновации с оглед доближаване до националната цел от 2% от БВП, което е в синхрон с препоръките на Европейската комисия – ЕК подчертава, че без значимо увеличение на публичното финансиране България трудно би затворила иновационната разлика. В допълнение, следва да се разработят стимули за мобилизиране на частни инвестиции и рисков капитал, особено извън столицата, тъй като ограниченото финансиране в регионите извън София е идентифицирано като пречка пред иновациите (данъчни облекчения за компании, инвестиращи в НИРД, създаване на регионални фондове за иновации чрез публично-</w:t>
      </w:r>
      <w:r w:rsidR="007C1029" w:rsidRPr="009C746E">
        <w:rPr>
          <w:rFonts w:cs="Times New Roman"/>
          <w:szCs w:val="24"/>
          <w:lang w:val="bg-BG" w:bidi="en-US"/>
        </w:rPr>
        <w:lastRenderedPageBreak/>
        <w:t xml:space="preserve">частни партньорства и др.). </w:t>
      </w:r>
      <w:r w:rsidR="00E60959" w:rsidRPr="009C746E">
        <w:rPr>
          <w:rFonts w:cs="Times New Roman"/>
          <w:szCs w:val="24"/>
          <w:lang w:val="bg-BG" w:bidi="en-US"/>
        </w:rPr>
        <w:t>Ч</w:t>
      </w:r>
      <w:r w:rsidR="00B7780D" w:rsidRPr="009C746E">
        <w:rPr>
          <w:rFonts w:cs="Times New Roman"/>
          <w:szCs w:val="24"/>
          <w:lang w:val="bg-BG" w:bidi="en-US"/>
        </w:rPr>
        <w:t>астният сектор в България инвестира значително по-малко в НИРД в сравнение със средноевропейските нива, което допълнително ограничава иновационния потенциал на икономиката. Без паралелно нарастване на частните инвестиции, самостоятелното увеличение на публичното финансиране няма да бъде достатъчно за преодоляване на иновационната разлика. Опитът на водещите иновационни икономики показва, че именно частният сектор е основният двигател на НИРД – в страни като Германия, Швеция и Южна Корея над две трети от разходите за изследвания идват от бизнеса. За стимулиране на частните инвестиции в България е необходим комплексен подход, включващ разширяване на данъчните преференции за НИРД разходи, улесняване на достъпа до рисков капитал, насърчаване на корпоративното участие в съвместни изследователски проекти с университети и научни организации, както и създаване на предвидима регулаторна среда, която да намали инвестиционния риск.</w:t>
      </w:r>
    </w:p>
    <w:p w14:paraId="6B0FA36D" w14:textId="77777777" w:rsidR="006D1CDE" w:rsidRPr="006D1CDE" w:rsidRDefault="00C614CE" w:rsidP="006D1CDE">
      <w:pPr>
        <w:pStyle w:val="Heading3"/>
        <w:rPr>
          <w:rFonts w:ascii="Times New Roman" w:hAnsi="Times New Roman" w:cs="Times New Roman"/>
          <w:b/>
          <w:bCs/>
          <w:lang w:val="bg-BG" w:bidi="en-US"/>
        </w:rPr>
      </w:pPr>
      <w:bookmarkStart w:id="33" w:name="_Toc216427829"/>
      <w:r>
        <w:rPr>
          <w:rFonts w:ascii="Times New Roman" w:hAnsi="Times New Roman" w:cs="Times New Roman"/>
          <w:b/>
          <w:bCs/>
          <w:lang w:val="bg-BG" w:bidi="en-US"/>
        </w:rPr>
        <w:t xml:space="preserve">ПРЕПОРЪКА 2: </w:t>
      </w:r>
      <w:r w:rsidR="00AE19E9" w:rsidRPr="006D1CDE">
        <w:rPr>
          <w:rFonts w:ascii="Times New Roman" w:hAnsi="Times New Roman" w:cs="Times New Roman"/>
          <w:b/>
          <w:bCs/>
          <w:lang w:val="bg-BG" w:bidi="en-US"/>
        </w:rPr>
        <w:t>Намаляване на административната тежест и ускоряване на процедурите:</w:t>
      </w:r>
      <w:bookmarkEnd w:id="33"/>
    </w:p>
    <w:p w14:paraId="51FD75DF" w14:textId="77777777" w:rsidR="00AE19E9" w:rsidRPr="006D1CDE" w:rsidRDefault="00BC13B3" w:rsidP="006D1CDE">
      <w:pPr>
        <w:spacing w:after="127" w:line="360" w:lineRule="auto"/>
        <w:ind w:right="2" w:firstLine="360"/>
        <w:jc w:val="both"/>
        <w:rPr>
          <w:rFonts w:cs="Times New Roman"/>
          <w:szCs w:val="24"/>
          <w:lang w:val="bg-BG" w:bidi="en-US"/>
        </w:rPr>
      </w:pPr>
      <w:r w:rsidRPr="006D1CDE">
        <w:rPr>
          <w:rFonts w:cs="Times New Roman"/>
          <w:szCs w:val="24"/>
          <w:lang w:val="bg-BG" w:bidi="en-US"/>
        </w:rPr>
        <w:t xml:space="preserve">Прекомерната бюрокрация е съществена пречка пред иновациите в световен мащаб, поради което държавите ускорено въвеждат дигитализация и модели „едно гише“. На равнище ЕС целта е до 2029 г. административната тежест да бъде намалена с 25% (и с 35% за МСП) чрез пакета „Омнибус“, за да се освободи ресурс за растеж и повишаване на конкурентоспособността. </w:t>
      </w:r>
      <w:r w:rsidR="00E45736" w:rsidRPr="006D1CDE">
        <w:rPr>
          <w:rFonts w:cs="Times New Roman"/>
          <w:szCs w:val="24"/>
          <w:lang w:val="bg-BG" w:bidi="en-US"/>
        </w:rPr>
        <w:t xml:space="preserve">Един от ключовите изводи от междинния преглед е необходимостта от по-гъвкаво и бързо изпълнение на мерките. Препоръчва се ускорено въвеждане на административни облекчения, в съответствие с инициативата на ЕС за намаляване на бюрокрацията, която поставя цел за 25% общо съкращаване на административните пречки и 35% намаление за МСП до 2029 г. Това на национално ниво означава опростяване на процедурите за кандидатстване и отчитане по иновационните програми (напр. чрез дигитализация и модел на „едно гише“), скъсяване на сроковете за оценка на проектните предложения, както и премахване или обединяване на дублиращи отчетни изисквания. Регулаторните реформи трябва да вървят ръка за ръка с административните – намаляване на излишните разрешителни, улесняване на обществените поръчки за иновативни проекти (напр. чрез предварителен пазарен диалог и по-гъвкави критерии за иновации) и др. Крайната цел е изпълнението на стратегията да стане по-леко за бенефициентите, а времето от идеята до реализация на иновативен проект да се скъси съществено. </w:t>
      </w:r>
    </w:p>
    <w:p w14:paraId="039FCDCC" w14:textId="77777777" w:rsidR="0071123C" w:rsidRPr="0071123C" w:rsidRDefault="00C614CE" w:rsidP="0071123C">
      <w:pPr>
        <w:pStyle w:val="Heading3"/>
        <w:rPr>
          <w:rFonts w:ascii="Times New Roman" w:hAnsi="Times New Roman" w:cs="Times New Roman"/>
          <w:b/>
          <w:bCs/>
          <w:lang w:val="bg-BG" w:bidi="en-US"/>
        </w:rPr>
      </w:pPr>
      <w:bookmarkStart w:id="34" w:name="_Toc216427830"/>
      <w:r>
        <w:rPr>
          <w:rFonts w:ascii="Times New Roman" w:hAnsi="Times New Roman" w:cs="Times New Roman"/>
          <w:b/>
          <w:bCs/>
          <w:lang w:val="bg-BG" w:bidi="en-US"/>
        </w:rPr>
        <w:lastRenderedPageBreak/>
        <w:t xml:space="preserve">ПРЕПОРЪКА 3: </w:t>
      </w:r>
      <w:r w:rsidR="00AE19E9" w:rsidRPr="0071123C">
        <w:rPr>
          <w:rFonts w:ascii="Times New Roman" w:hAnsi="Times New Roman" w:cs="Times New Roman"/>
          <w:b/>
          <w:bCs/>
          <w:lang w:val="bg-BG" w:bidi="en-US"/>
        </w:rPr>
        <w:t>Укрепване на институционалния капацитет и координация:</w:t>
      </w:r>
      <w:bookmarkEnd w:id="34"/>
    </w:p>
    <w:p w14:paraId="24A6C029" w14:textId="77777777" w:rsidR="00AE19E9" w:rsidRPr="0071123C" w:rsidRDefault="00B074BE" w:rsidP="0071123C">
      <w:pPr>
        <w:spacing w:after="127" w:line="360" w:lineRule="auto"/>
        <w:ind w:right="2" w:firstLine="426"/>
        <w:jc w:val="both"/>
        <w:rPr>
          <w:rFonts w:cs="Times New Roman"/>
          <w:szCs w:val="24"/>
          <w:lang w:val="bg-BG" w:bidi="en-US"/>
        </w:rPr>
      </w:pPr>
      <w:r w:rsidRPr="0071123C">
        <w:rPr>
          <w:rFonts w:cs="Times New Roman"/>
          <w:szCs w:val="24"/>
          <w:lang w:val="bg-BG" w:bidi="en-US"/>
        </w:rPr>
        <w:t xml:space="preserve">Ефективната иновационна политика изисква стабилни институции, междусекторна координация и силен административен капацитет, поради което много държави създават национални иновационни съвети и инвестират в обучение и задържане на експерти. ЕС също подкрепя тези процеси чрез инструменти за добро управление и изисквания за институционална готовност при изпълнението на стратегии като интелигентната специализация. </w:t>
      </w:r>
      <w:r w:rsidR="00AE19E9" w:rsidRPr="0071123C">
        <w:rPr>
          <w:rFonts w:cs="Times New Roman"/>
          <w:szCs w:val="24"/>
          <w:lang w:val="bg-BG" w:bidi="en-US"/>
        </w:rPr>
        <w:t>Препоръчва се да продължи и се задълбочи започналата реформа за повишаване на административния и експертен капацитет, ангажиран с ИСИС. Необходимо е да се отделят достатъчни ресурси (човешки и финансови) за звената, отговорни за управление и мониторинг. Липсата на достатъчно квалифициран персонал и текучеството на кадри бе посочено като проблем от редица институции, затова е нужно да се предвидят стимули за привличане на експерти (конкурентно заплащане, обучения, възможности за кариерно развитие).</w:t>
      </w:r>
      <w:r w:rsidR="007E5AEC" w:rsidRPr="0071123C">
        <w:rPr>
          <w:rFonts w:cs="Times New Roman"/>
          <w:szCs w:val="24"/>
          <w:lang w:val="bg-BG" w:bidi="en-US"/>
        </w:rPr>
        <w:t xml:space="preserve"> </w:t>
      </w:r>
    </w:p>
    <w:p w14:paraId="2C26AF73" w14:textId="77777777" w:rsidR="007149A8" w:rsidRPr="007149A8" w:rsidRDefault="007149A8" w:rsidP="005C5D13">
      <w:pPr>
        <w:pStyle w:val="Heading2"/>
        <w:spacing w:line="360" w:lineRule="auto"/>
        <w:rPr>
          <w:rFonts w:ascii="Times New Roman" w:hAnsi="Times New Roman" w:cs="Times New Roman"/>
          <w:b/>
          <w:bCs/>
          <w:lang w:val="bg-BG" w:bidi="en-US"/>
        </w:rPr>
      </w:pPr>
      <w:bookmarkStart w:id="35" w:name="_Toc216427831"/>
      <w:r w:rsidRPr="007149A8">
        <w:rPr>
          <w:rFonts w:ascii="Times New Roman" w:hAnsi="Times New Roman" w:cs="Times New Roman"/>
          <w:b/>
          <w:bCs/>
          <w:lang w:val="bg-BG" w:bidi="en-US"/>
        </w:rPr>
        <w:t>Препорък</w:t>
      </w:r>
      <w:r w:rsidR="00B06A9D">
        <w:rPr>
          <w:rFonts w:ascii="Times New Roman" w:hAnsi="Times New Roman" w:cs="Times New Roman"/>
          <w:b/>
          <w:bCs/>
          <w:lang w:val="bg-BG" w:bidi="en-US"/>
        </w:rPr>
        <w:t>и</w:t>
      </w:r>
      <w:r w:rsidRPr="007149A8">
        <w:rPr>
          <w:rFonts w:ascii="Times New Roman" w:hAnsi="Times New Roman" w:cs="Times New Roman"/>
          <w:b/>
          <w:bCs/>
          <w:lang w:val="bg-BG" w:bidi="en-US"/>
        </w:rPr>
        <w:t xml:space="preserve"> за актуализация на тематичните области.</w:t>
      </w:r>
      <w:bookmarkEnd w:id="35"/>
    </w:p>
    <w:p w14:paraId="63259E59" w14:textId="77777777" w:rsidR="00FE3E5C" w:rsidRDefault="007D16A0" w:rsidP="00C040E3">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Междинният преглед поставя под въпрос дали настоящите 5 тематични </w:t>
      </w:r>
      <w:r w:rsidR="00717945">
        <w:rPr>
          <w:rFonts w:cs="Times New Roman"/>
          <w:szCs w:val="24"/>
          <w:lang w:val="bg-BG" w:bidi="en-US"/>
        </w:rPr>
        <w:t>области</w:t>
      </w:r>
      <w:r w:rsidRPr="00B06A9D">
        <w:rPr>
          <w:rFonts w:cs="Times New Roman"/>
          <w:szCs w:val="24"/>
          <w:lang w:val="bg-BG" w:bidi="en-US"/>
        </w:rPr>
        <w:t xml:space="preserve"> на ИСИС оптимално покриват възможностите и нуждите на българската икономика към средата на програмния период. Настоящите пет тематични области на ИСИС в своята същност отразяват сравнително адекватно потенциала и нуждите на икономиката – формулирани са достатъчно широко, за да обхванат множество сектори и типове участници (малки и средни предприятия, академични и научни организации, индустриални клъстери и др.). Това гарантира гъвкавост и </w:t>
      </w:r>
      <w:proofErr w:type="spellStart"/>
      <w:r w:rsidRPr="00B06A9D">
        <w:rPr>
          <w:rFonts w:cs="Times New Roman"/>
          <w:szCs w:val="24"/>
          <w:lang w:val="bg-BG" w:bidi="en-US"/>
        </w:rPr>
        <w:t>приобщителност</w:t>
      </w:r>
      <w:proofErr w:type="spellEnd"/>
      <w:r w:rsidRPr="00B06A9D">
        <w:rPr>
          <w:rFonts w:cs="Times New Roman"/>
          <w:szCs w:val="24"/>
          <w:lang w:val="bg-BG" w:bidi="en-US"/>
        </w:rPr>
        <w:t xml:space="preserve">, които са важни предпоставки за ефективно реализиране на стратегията. </w:t>
      </w:r>
    </w:p>
    <w:p w14:paraId="3538B8CA" w14:textId="77777777" w:rsidR="00B06A9D" w:rsidRDefault="00B54C53" w:rsidP="0043080E">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Глобалните и европейските тенденции показват ускорено развитие на критични технологии – от изкуствен интелект и квантови решения до космически и киберсистеми – което налага стратегиите за интелигентна специализация да се актуализират регулярно. Много от тези технологии имат двойна употреба и едновременно обслужват цели в конкурентоспособността, устойчивостта, отбраната и сигурността, превръщайки ги в ключов фактор за бъдещия технологичен напредък. </w:t>
      </w:r>
      <w:r w:rsidR="007D16A0" w:rsidRPr="00B06A9D">
        <w:rPr>
          <w:rFonts w:cs="Times New Roman"/>
          <w:szCs w:val="24"/>
          <w:lang w:val="bg-BG" w:bidi="en-US"/>
        </w:rPr>
        <w:t xml:space="preserve">Всички тези фактори налагат внимателно осъвременяване на тематичните приоритети на Стратегията с оглед на нововъзникващите тенденции. </w:t>
      </w:r>
    </w:p>
    <w:p w14:paraId="5C15EBE8" w14:textId="77777777" w:rsidR="00FE3E5C" w:rsidRPr="00F86740" w:rsidRDefault="00FE3E5C" w:rsidP="0043080E">
      <w:pPr>
        <w:spacing w:after="127" w:line="360" w:lineRule="auto"/>
        <w:ind w:right="2" w:firstLine="426"/>
        <w:jc w:val="both"/>
        <w:rPr>
          <w:rFonts w:cs="Times New Roman"/>
          <w:b/>
          <w:bCs/>
          <w:szCs w:val="24"/>
          <w:lang w:val="bg-BG" w:bidi="en-US"/>
        </w:rPr>
      </w:pPr>
      <w:r w:rsidRPr="00F86740">
        <w:rPr>
          <w:rFonts w:cs="Times New Roman"/>
          <w:b/>
          <w:bCs/>
          <w:szCs w:val="24"/>
          <w:lang w:val="bg-BG" w:bidi="en-US"/>
        </w:rPr>
        <w:t xml:space="preserve">В този контекст и вследствие на проведените консултации с ключови заинтересовани страни, се открояват три основни препоръки за </w:t>
      </w:r>
      <w:r w:rsidRPr="00F86740">
        <w:rPr>
          <w:rFonts w:cs="Times New Roman"/>
          <w:b/>
          <w:bCs/>
          <w:szCs w:val="24"/>
          <w:lang w:val="bg-BG" w:bidi="en-US"/>
        </w:rPr>
        <w:lastRenderedPageBreak/>
        <w:t>преструктурирането на Иновационната стратегия за интелигентна специализация 2021-2027:</w:t>
      </w:r>
    </w:p>
    <w:tbl>
      <w:tblPr>
        <w:tblStyle w:val="GridTable4-Accent1"/>
        <w:tblW w:w="100" w:type="auto"/>
        <w:tblLook w:val="04A0" w:firstRow="1" w:lastRow="0" w:firstColumn="1" w:lastColumn="0" w:noHBand="0" w:noVBand="1"/>
      </w:tblPr>
      <w:tblGrid>
        <w:gridCol w:w="9068"/>
      </w:tblGrid>
      <w:tr w:rsidR="00B113C4" w:rsidRPr="001A4640" w14:paraId="5F974823" w14:textId="77777777" w:rsidTr="00CE2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080AE8" w14:textId="77777777" w:rsidR="00B113C4" w:rsidRPr="001A4640" w:rsidRDefault="00B113C4" w:rsidP="007C52F2">
            <w:pPr>
              <w:jc w:val="center"/>
              <w:rPr>
                <w:lang w:val="bg-BG"/>
              </w:rPr>
            </w:pPr>
            <w:r w:rsidRPr="001A4640">
              <w:rPr>
                <w:color w:val="FFFFFF"/>
                <w:sz w:val="26"/>
                <w:szCs w:val="26"/>
                <w:lang w:val="bg-BG"/>
              </w:rPr>
              <w:t>ПРЕПОРЪКА 1: ДОБАВЯНЕ НА НОВА ТЕМАТИЧНА ОБЛАСТ</w:t>
            </w:r>
          </w:p>
        </w:tc>
      </w:tr>
      <w:tr w:rsidR="00B113C4" w:rsidRPr="001A4640" w14:paraId="0CAC39E8" w14:textId="77777777" w:rsidTr="00CE2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B74918" w14:textId="77777777" w:rsidR="00B113C4" w:rsidRPr="001A4640" w:rsidRDefault="001A4640" w:rsidP="007C52F2">
            <w:pPr>
              <w:spacing w:before="100" w:after="100"/>
              <w:rPr>
                <w:lang w:val="bg-BG"/>
              </w:rPr>
            </w:pPr>
            <w:r>
              <w:rPr>
                <w:color w:val="1F4E79"/>
                <w:sz w:val="28"/>
                <w:szCs w:val="28"/>
                <w:lang w:val="bg-BG"/>
              </w:rPr>
              <w:t>„</w:t>
            </w:r>
            <w:r w:rsidR="00B113C4" w:rsidRPr="001A4640">
              <w:rPr>
                <w:color w:val="1F4E79"/>
                <w:sz w:val="28"/>
                <w:szCs w:val="28"/>
                <w:lang w:val="bg-BG"/>
              </w:rPr>
              <w:t>Космически технологии и технологии с двойна употреба</w:t>
            </w:r>
            <w:r>
              <w:rPr>
                <w:color w:val="1F4E79"/>
                <w:sz w:val="28"/>
                <w:szCs w:val="28"/>
                <w:lang w:val="bg-BG"/>
              </w:rPr>
              <w:t>“</w:t>
            </w:r>
          </w:p>
          <w:p w14:paraId="177C0A84" w14:textId="77777777" w:rsidR="00B113C4" w:rsidRPr="001A4640" w:rsidRDefault="00B113C4" w:rsidP="007C52F2">
            <w:pPr>
              <w:rPr>
                <w:lang w:val="bg-BG"/>
              </w:rPr>
            </w:pPr>
            <w:r w:rsidRPr="001A4640">
              <w:rPr>
                <w:lang w:val="bg-BG"/>
              </w:rPr>
              <w:t>Включва космическа индустрия, сателитни системи, наземна инфраструктура и технологии с приложение в отбраната и сигурността.</w:t>
            </w:r>
          </w:p>
        </w:tc>
      </w:tr>
    </w:tbl>
    <w:p w14:paraId="4636257D" w14:textId="77777777" w:rsidR="00B113C4" w:rsidRPr="001A4640" w:rsidRDefault="00B113C4" w:rsidP="00B113C4">
      <w:pPr>
        <w:rPr>
          <w:lang w:val="bg-BG"/>
        </w:rPr>
      </w:pPr>
    </w:p>
    <w:tbl>
      <w:tblPr>
        <w:tblStyle w:val="GridTable4-Accent1"/>
        <w:tblW w:w="100" w:type="auto"/>
        <w:tblLook w:val="04A0" w:firstRow="1" w:lastRow="0" w:firstColumn="1" w:lastColumn="0" w:noHBand="0" w:noVBand="1"/>
      </w:tblPr>
      <w:tblGrid>
        <w:gridCol w:w="9068"/>
      </w:tblGrid>
      <w:tr w:rsidR="00B113C4" w:rsidRPr="001A4640" w14:paraId="5B78CBCC" w14:textId="77777777" w:rsidTr="00CE2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490CB2" w14:textId="77777777" w:rsidR="00B113C4" w:rsidRPr="001A4640" w:rsidRDefault="00B113C4" w:rsidP="007C52F2">
            <w:pPr>
              <w:jc w:val="center"/>
              <w:rPr>
                <w:lang w:val="bg-BG"/>
              </w:rPr>
            </w:pPr>
            <w:r w:rsidRPr="001A4640">
              <w:rPr>
                <w:color w:val="FFFFFF"/>
                <w:sz w:val="26"/>
                <w:szCs w:val="26"/>
                <w:lang w:val="bg-BG"/>
              </w:rPr>
              <w:t>ПРЕПОРЪКА 2: ДОБАВЯНЕ НА НОВА ТЕМАТИЧНА ОБЛАСТ</w:t>
            </w:r>
          </w:p>
        </w:tc>
      </w:tr>
      <w:tr w:rsidR="00B113C4" w:rsidRPr="001A4640" w14:paraId="657E82AE" w14:textId="77777777" w:rsidTr="00CE2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2F47B9" w14:textId="77777777" w:rsidR="00B113C4" w:rsidRPr="001A4640" w:rsidRDefault="001A4640" w:rsidP="007C52F2">
            <w:pPr>
              <w:spacing w:before="100" w:after="100"/>
              <w:rPr>
                <w:lang w:val="bg-BG"/>
              </w:rPr>
            </w:pPr>
            <w:r>
              <w:rPr>
                <w:color w:val="1F4E79"/>
                <w:sz w:val="28"/>
                <w:szCs w:val="28"/>
                <w:lang w:val="bg-BG"/>
              </w:rPr>
              <w:t>„</w:t>
            </w:r>
            <w:r w:rsidR="00B113C4" w:rsidRPr="001A4640">
              <w:rPr>
                <w:color w:val="1F4E79"/>
                <w:sz w:val="28"/>
                <w:szCs w:val="28"/>
                <w:lang w:val="bg-BG"/>
              </w:rPr>
              <w:t>Добивна индустрия</w:t>
            </w:r>
            <w:r>
              <w:rPr>
                <w:color w:val="1F4E79"/>
                <w:sz w:val="28"/>
                <w:szCs w:val="28"/>
                <w:lang w:val="bg-BG"/>
              </w:rPr>
              <w:t>“</w:t>
            </w:r>
          </w:p>
          <w:p w14:paraId="64DF4C49" w14:textId="77777777" w:rsidR="00B113C4" w:rsidRPr="001A4640" w:rsidRDefault="00B113C4" w:rsidP="007C52F2">
            <w:pPr>
              <w:rPr>
                <w:lang w:val="bg-BG"/>
              </w:rPr>
            </w:pPr>
            <w:r w:rsidRPr="001A4640">
              <w:rPr>
                <w:lang w:val="bg-BG"/>
              </w:rPr>
              <w:t>Фокус върху критични суровини, стратегически метали и иновативни технологии за устойчив добив и преработка.</w:t>
            </w:r>
          </w:p>
        </w:tc>
      </w:tr>
    </w:tbl>
    <w:p w14:paraId="41683835" w14:textId="77777777" w:rsidR="00B113C4" w:rsidRPr="001A4640" w:rsidRDefault="00B113C4" w:rsidP="00B113C4">
      <w:pPr>
        <w:rPr>
          <w:lang w:val="bg-BG"/>
        </w:rPr>
      </w:pPr>
    </w:p>
    <w:tbl>
      <w:tblPr>
        <w:tblStyle w:val="GridTable4-Accent1"/>
        <w:tblW w:w="100" w:type="auto"/>
        <w:tblLook w:val="04A0" w:firstRow="1" w:lastRow="0" w:firstColumn="1" w:lastColumn="0" w:noHBand="0" w:noVBand="1"/>
      </w:tblPr>
      <w:tblGrid>
        <w:gridCol w:w="9068"/>
      </w:tblGrid>
      <w:tr w:rsidR="00B113C4" w:rsidRPr="001A4640" w14:paraId="1E1F880C" w14:textId="77777777" w:rsidTr="00CE2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4131C7" w14:textId="77777777" w:rsidR="00B113C4" w:rsidRPr="001A4640" w:rsidRDefault="00B113C4" w:rsidP="007C52F2">
            <w:pPr>
              <w:jc w:val="center"/>
              <w:rPr>
                <w:lang w:val="bg-BG"/>
              </w:rPr>
            </w:pPr>
            <w:r w:rsidRPr="001A4640">
              <w:rPr>
                <w:color w:val="FFFFFF"/>
                <w:sz w:val="26"/>
                <w:szCs w:val="26"/>
                <w:lang w:val="bg-BG"/>
              </w:rPr>
              <w:t xml:space="preserve">ПРЕПОРЪКА 3: АКТУАЛИЗИРАНЕ НА СЪЩЕСТВУВАЩИТЕ </w:t>
            </w:r>
            <w:r w:rsidR="00FF0986">
              <w:rPr>
                <w:color w:val="FFFFFF"/>
                <w:sz w:val="26"/>
                <w:szCs w:val="26"/>
                <w:lang w:val="bg-BG"/>
              </w:rPr>
              <w:t xml:space="preserve">ТЕМАТИЧНИ </w:t>
            </w:r>
            <w:r w:rsidRPr="001A4640">
              <w:rPr>
                <w:color w:val="FFFFFF"/>
                <w:sz w:val="26"/>
                <w:szCs w:val="26"/>
                <w:lang w:val="bg-BG"/>
              </w:rPr>
              <w:t>ОБЛАСТИ</w:t>
            </w:r>
          </w:p>
        </w:tc>
      </w:tr>
      <w:tr w:rsidR="00B113C4" w:rsidRPr="001A4640" w14:paraId="7C1312CF" w14:textId="77777777" w:rsidTr="00CE2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B2E54A" w14:textId="77777777" w:rsidR="00B113C4" w:rsidRPr="001A4640" w:rsidRDefault="00B113C4" w:rsidP="007C52F2">
            <w:pPr>
              <w:spacing w:before="100"/>
              <w:rPr>
                <w:lang w:val="bg-BG"/>
              </w:rPr>
            </w:pPr>
            <w:r w:rsidRPr="001A4640">
              <w:rPr>
                <w:lang w:val="bg-BG"/>
              </w:rPr>
              <w:t>Актуализиране на петте съществуващи тематични направления с конкретни подтеми и технологии, придобили особена важност през последните 2-3 години.</w:t>
            </w:r>
          </w:p>
        </w:tc>
      </w:tr>
    </w:tbl>
    <w:p w14:paraId="02C5819E" w14:textId="77777777" w:rsidR="00FE3E5C" w:rsidRDefault="00FE3E5C" w:rsidP="00B06A9D">
      <w:pPr>
        <w:spacing w:after="127" w:line="360" w:lineRule="auto"/>
        <w:ind w:right="2"/>
        <w:jc w:val="both"/>
        <w:rPr>
          <w:rFonts w:cs="Times New Roman"/>
          <w:szCs w:val="24"/>
          <w:lang w:val="bg-BG" w:bidi="en-US"/>
        </w:rPr>
      </w:pPr>
    </w:p>
    <w:p w14:paraId="6E0A4BF5" w14:textId="77777777" w:rsidR="00CE2A73" w:rsidRPr="00CE2A73" w:rsidRDefault="00CE2A73" w:rsidP="00CE2A73">
      <w:pPr>
        <w:pStyle w:val="Heading3"/>
        <w:rPr>
          <w:rFonts w:ascii="Times New Roman" w:hAnsi="Times New Roman" w:cs="Times New Roman"/>
          <w:b/>
          <w:bCs/>
          <w:lang w:val="bg-BG" w:bidi="en-US"/>
        </w:rPr>
      </w:pPr>
      <w:bookmarkStart w:id="36" w:name="_Toc216427832"/>
      <w:r w:rsidRPr="00CE2A73">
        <w:rPr>
          <w:rFonts w:ascii="Times New Roman" w:hAnsi="Times New Roman" w:cs="Times New Roman"/>
          <w:b/>
          <w:bCs/>
          <w:lang w:val="bg-BG" w:bidi="en-US"/>
        </w:rPr>
        <w:t>ПРЕПОРЪКА 1: Добавяне на нова тематична област „Космически технологии и технологии с двойна употреба“</w:t>
      </w:r>
      <w:bookmarkEnd w:id="36"/>
    </w:p>
    <w:p w14:paraId="1C10F3BD" w14:textId="77777777" w:rsidR="00536052" w:rsidRDefault="007D16A0" w:rsidP="00CE2A73">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В хода на междинната оценка и проведените консултации ясно се открои необходимостта от обогатяване на стратегическите приоритети чрез добавяне на изцяло ново направление – </w:t>
      </w:r>
      <w:r w:rsidRPr="00B06A9D">
        <w:rPr>
          <w:rFonts w:cs="Times New Roman"/>
          <w:b/>
          <w:bCs/>
          <w:szCs w:val="24"/>
          <w:lang w:val="bg-BG" w:bidi="en-US"/>
        </w:rPr>
        <w:t>„Космически технологии и технологии с двойна употреба“</w:t>
      </w:r>
      <w:r w:rsidRPr="00B06A9D">
        <w:rPr>
          <w:rFonts w:cs="Times New Roman"/>
          <w:szCs w:val="24"/>
          <w:lang w:val="bg-BG" w:bidi="en-US"/>
        </w:rPr>
        <w:t xml:space="preserve">. </w:t>
      </w:r>
    </w:p>
    <w:p w14:paraId="51635C45" w14:textId="77777777" w:rsidR="00536052" w:rsidRDefault="007D16A0" w:rsidP="00CE2A73">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Това предложение беше сред най-често подкрепяните от заинтересованите страни, като се подчерта значимостта му за бъдещата конкурентоспособност и технологична трансформация на икономиката. </w:t>
      </w:r>
      <w:r w:rsidR="00B54C53" w:rsidRPr="00B06A9D">
        <w:rPr>
          <w:rFonts w:cs="Times New Roman"/>
          <w:szCs w:val="24"/>
          <w:lang w:val="bg-BG" w:bidi="en-US"/>
        </w:rPr>
        <w:t xml:space="preserve">Глобалната космическа индустрия нараства бързо и се очаква да достигне 1.8 трилиона долара до 2035 г., движена от рязкото поевтиняване на изстрелванията и навлизането на частни играчи. Това разширява достъпа до космически технологии и позволява дори на по-малки държави и компании да участват в разработването на сателитни системи, наземна инфраструктура и иновативни космически приложения. </w:t>
      </w:r>
      <w:r w:rsidRPr="00B06A9D">
        <w:rPr>
          <w:rFonts w:cs="Times New Roman"/>
          <w:szCs w:val="24"/>
          <w:lang w:val="bg-BG" w:bidi="en-US"/>
        </w:rPr>
        <w:t xml:space="preserve">България притежава научен и институционален капацитет в тази сфера, които предоставят основа за потенциална специализация. Включването на тази тематична област би открило и нови възможности за привличане на европейско финансиране – както от програми на Европейската космическа агенция (ESA), така и от инструменти на ЕС (напр. инициативата на ЕК CASSINI за космически иновации, механизми през Европейския иновационен съвет и др.) – и би стимулирало разгръщането на високотехнологични инициативи у нас. </w:t>
      </w:r>
    </w:p>
    <w:p w14:paraId="6BD7AF43" w14:textId="77777777" w:rsidR="00536052" w:rsidRDefault="007D16A0" w:rsidP="00CE2A73">
      <w:pPr>
        <w:spacing w:after="127" w:line="360" w:lineRule="auto"/>
        <w:ind w:right="2" w:firstLine="426"/>
        <w:jc w:val="both"/>
        <w:rPr>
          <w:rFonts w:cs="Times New Roman"/>
          <w:szCs w:val="24"/>
          <w:lang w:val="bg-BG" w:bidi="en-US"/>
        </w:rPr>
      </w:pPr>
      <w:r w:rsidRPr="00B06A9D">
        <w:rPr>
          <w:rFonts w:cs="Times New Roman"/>
          <w:szCs w:val="24"/>
          <w:lang w:val="bg-BG" w:bidi="en-US"/>
        </w:rPr>
        <w:lastRenderedPageBreak/>
        <w:t>Освен това, акцентът върху технологиите с двойна употреба отразява нарастващата връзка между иновации и сигурност.</w:t>
      </w:r>
      <w:r w:rsidR="00B54C53" w:rsidRPr="00B06A9D">
        <w:rPr>
          <w:rFonts w:cs="Times New Roman"/>
          <w:szCs w:val="24"/>
          <w:lang w:val="bg-BG" w:bidi="en-US"/>
        </w:rPr>
        <w:t xml:space="preserve"> НАТО насочва стратегически ресурс към технологии с двойна употреба чрез Инвестиционния си фонд за иновации (1 млрд. евро), подкрепяйки стартиращи и високотехнологични компании с потенциал в отбраната и сигурността. В ЕС също се утвърждава приоритетът върху двойно употребяемите технологии, като Европейската комисия разработи Бяла книга (2024 г.) за засилване на НИРД в тези области с цел намаляване на стратегическите зависимости и укрепване на европейското технологично лидерство.</w:t>
      </w:r>
      <w:r w:rsidRPr="00B06A9D">
        <w:rPr>
          <w:rFonts w:cs="Times New Roman"/>
          <w:szCs w:val="24"/>
          <w:lang w:val="bg-BG" w:bidi="en-US"/>
        </w:rPr>
        <w:t xml:space="preserve"> </w:t>
      </w:r>
    </w:p>
    <w:p w14:paraId="4C6B8245" w14:textId="77777777" w:rsidR="00CD14F2" w:rsidRDefault="00CD14F2" w:rsidP="006E285F">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Същевременно, в рамките на новата тематична област „Космически технологии и технологии с двойна употреба“ следва да бъде формулирано специализирано </w:t>
      </w:r>
      <w:proofErr w:type="spellStart"/>
      <w:r w:rsidRPr="00B06A9D">
        <w:rPr>
          <w:rFonts w:cs="Times New Roman"/>
          <w:szCs w:val="24"/>
          <w:lang w:val="bg-BG" w:bidi="en-US"/>
        </w:rPr>
        <w:t>поднаправление</w:t>
      </w:r>
      <w:proofErr w:type="spellEnd"/>
      <w:r w:rsidRPr="00B06A9D">
        <w:rPr>
          <w:rFonts w:cs="Times New Roman"/>
          <w:szCs w:val="24"/>
          <w:lang w:val="bg-BG" w:bidi="en-US"/>
        </w:rPr>
        <w:t xml:space="preserve"> </w:t>
      </w:r>
      <w:r w:rsidRPr="00B06A9D">
        <w:rPr>
          <w:rFonts w:cs="Times New Roman"/>
          <w:i/>
          <w:iCs/>
          <w:szCs w:val="24"/>
          <w:lang w:val="bg-BG" w:bidi="en-US"/>
        </w:rPr>
        <w:t>„Енергийна инфраструктура и отбранителни приложения“</w:t>
      </w:r>
      <w:r w:rsidRPr="00B06A9D">
        <w:rPr>
          <w:rFonts w:cs="Times New Roman"/>
          <w:szCs w:val="24"/>
          <w:lang w:val="bg-BG" w:bidi="en-US"/>
        </w:rPr>
        <w:t xml:space="preserve">, което да отчете нарастващото стратегическо значение на енергийната система като критичен елемент от архитектурата на националната сигурност. Това </w:t>
      </w:r>
      <w:proofErr w:type="spellStart"/>
      <w:r w:rsidRPr="00B06A9D">
        <w:rPr>
          <w:rFonts w:cs="Times New Roman"/>
          <w:szCs w:val="24"/>
          <w:lang w:val="bg-BG" w:bidi="en-US"/>
        </w:rPr>
        <w:t>поднаправление</w:t>
      </w:r>
      <w:proofErr w:type="spellEnd"/>
      <w:r w:rsidRPr="00B06A9D">
        <w:rPr>
          <w:rFonts w:cs="Times New Roman"/>
          <w:szCs w:val="24"/>
          <w:lang w:val="bg-BG" w:bidi="en-US"/>
        </w:rPr>
        <w:t xml:space="preserve"> следва да разгърне цялостен подход към потенциала за двойна употреба на енергийните активи, включително необходимостта от укрепване на оперативната устойчивост и способността за функциониране и бързо възстановяване при военновременни, хибридни или киберсценарии. В този контекст особено значение придобиват интегрирането на анти-</w:t>
      </w:r>
      <w:proofErr w:type="spellStart"/>
      <w:r w:rsidRPr="00B06A9D">
        <w:rPr>
          <w:rFonts w:cs="Times New Roman"/>
          <w:szCs w:val="24"/>
          <w:lang w:val="bg-BG" w:bidi="en-US"/>
        </w:rPr>
        <w:t>дрон</w:t>
      </w:r>
      <w:proofErr w:type="spellEnd"/>
      <w:r w:rsidRPr="00B06A9D">
        <w:rPr>
          <w:rFonts w:cs="Times New Roman"/>
          <w:szCs w:val="24"/>
          <w:lang w:val="bg-BG" w:bidi="en-US"/>
        </w:rPr>
        <w:t xml:space="preserve"> и други защитни системи, формирането на мобилни екипи и капацитети за авариен ремонт, както и развитието на специализирани технологични решения за защита и поддръжка на критичната енергийна инфраструктура. Наред с това </w:t>
      </w:r>
      <w:proofErr w:type="spellStart"/>
      <w:r w:rsidRPr="00B06A9D">
        <w:rPr>
          <w:rFonts w:cs="Times New Roman"/>
          <w:szCs w:val="24"/>
          <w:lang w:val="bg-BG" w:bidi="en-US"/>
        </w:rPr>
        <w:t>поднаправлението</w:t>
      </w:r>
      <w:proofErr w:type="spellEnd"/>
      <w:r w:rsidRPr="00B06A9D">
        <w:rPr>
          <w:rFonts w:cs="Times New Roman"/>
          <w:szCs w:val="24"/>
          <w:lang w:val="bg-BG" w:bidi="en-US"/>
        </w:rPr>
        <w:t xml:space="preserve"> следва да включва аналитична рамка за оценка на готовността на енергийния сектор да обезпечава производствени мощности, необходими за нуждите на отбраната, както и да идентифицира потенциалните технологични и логистични синергии между съществуващи и бъдещи енергийни капацитети и потребностите на военната и отбранителната индустрия. Подобно стратегическо осмисляне и интегриране е от ключово значение, тъй като енергийната система е сред най-уязвимите компоненти на националната сигурност, а нейната устойчивост, защитеност и адаптивност представляват фундаментална предпоставка за отбранителните способности, икономическата стабилност и стратегическата автономност на държавата. </w:t>
      </w:r>
    </w:p>
    <w:p w14:paraId="53715E51" w14:textId="77777777" w:rsidR="00536052" w:rsidRPr="006E285F" w:rsidRDefault="007D16A0" w:rsidP="006E285F">
      <w:pPr>
        <w:shd w:val="clear" w:color="auto" w:fill="FFFFFF" w:themeFill="background1"/>
        <w:spacing w:after="127" w:line="360" w:lineRule="auto"/>
        <w:ind w:right="2" w:firstLine="426"/>
        <w:jc w:val="both"/>
        <w:rPr>
          <w:rFonts w:cs="Times New Roman"/>
          <w:b/>
          <w:bCs/>
          <w:szCs w:val="24"/>
          <w:lang w:val="bg-BG" w:bidi="en-US"/>
        </w:rPr>
      </w:pPr>
      <w:r w:rsidRPr="006E285F">
        <w:rPr>
          <w:rFonts w:cs="Times New Roman"/>
          <w:b/>
          <w:bCs/>
          <w:szCs w:val="24"/>
          <w:lang w:val="bg-BG" w:bidi="en-US"/>
        </w:rPr>
        <w:t xml:space="preserve">С оглед на тези глобални и регионални тенденции, добавянето на „Космически технологии и технологии с двойна употреба“ като приоритетна област в ИСИС е логична стъпка, която ще позиционира България по-близо до авангарда на технологичното развитие и ще позволи синергия между гражданския и отбранителния сектор за иновации. </w:t>
      </w:r>
    </w:p>
    <w:p w14:paraId="3F3C2DAE" w14:textId="77777777" w:rsidR="00CD14F2" w:rsidRDefault="00CD14F2" w:rsidP="00B06A9D">
      <w:pPr>
        <w:spacing w:after="127" w:line="360" w:lineRule="auto"/>
        <w:ind w:right="2"/>
        <w:jc w:val="both"/>
        <w:rPr>
          <w:rFonts w:cs="Times New Roman"/>
          <w:szCs w:val="24"/>
          <w:lang w:val="bg-BG" w:bidi="en-US"/>
        </w:rPr>
      </w:pPr>
    </w:p>
    <w:p w14:paraId="02B14767" w14:textId="77777777" w:rsidR="004E6541" w:rsidRPr="004E6541" w:rsidRDefault="004E6541" w:rsidP="004E6541">
      <w:pPr>
        <w:pStyle w:val="Heading3"/>
        <w:rPr>
          <w:rFonts w:ascii="Times New Roman" w:hAnsi="Times New Roman" w:cs="Times New Roman"/>
          <w:b/>
          <w:bCs/>
          <w:lang w:val="bg-BG" w:bidi="en-US"/>
        </w:rPr>
      </w:pPr>
      <w:bookmarkStart w:id="37" w:name="_Toc216427833"/>
      <w:r w:rsidRPr="004E6541">
        <w:rPr>
          <w:rFonts w:ascii="Times New Roman" w:hAnsi="Times New Roman" w:cs="Times New Roman"/>
          <w:b/>
          <w:bCs/>
          <w:lang w:val="bg-BG" w:bidi="en-US"/>
        </w:rPr>
        <w:t>ПРЕПОРЪКА 2: Добавяне на нова тематична област „Добивна индустрия“</w:t>
      </w:r>
      <w:bookmarkEnd w:id="37"/>
    </w:p>
    <w:p w14:paraId="660CF011" w14:textId="77777777" w:rsidR="008C381A" w:rsidRDefault="007D16A0" w:rsidP="004E6541">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Наред с космическия сектор, междинният преглед идентифицира и друга стратегическа сфера с нарастващо значение – </w:t>
      </w:r>
      <w:r w:rsidRPr="00B06A9D">
        <w:rPr>
          <w:rFonts w:cs="Times New Roman"/>
          <w:b/>
          <w:bCs/>
          <w:szCs w:val="24"/>
          <w:lang w:val="bg-BG" w:bidi="en-US"/>
        </w:rPr>
        <w:t>добивната индустрия</w:t>
      </w:r>
      <w:r w:rsidRPr="00B06A9D">
        <w:rPr>
          <w:rFonts w:cs="Times New Roman"/>
          <w:szCs w:val="24"/>
          <w:lang w:val="bg-BG" w:bidi="en-US"/>
        </w:rPr>
        <w:t xml:space="preserve">. </w:t>
      </w:r>
      <w:r w:rsidR="00B54C53" w:rsidRPr="00B06A9D">
        <w:rPr>
          <w:rFonts w:cs="Times New Roman"/>
          <w:szCs w:val="24"/>
          <w:lang w:val="bg-BG" w:bidi="en-US"/>
        </w:rPr>
        <w:t xml:space="preserve">Глобалната </w:t>
      </w:r>
      <w:proofErr w:type="spellStart"/>
      <w:r w:rsidR="00B54C53" w:rsidRPr="00B06A9D">
        <w:rPr>
          <w:rFonts w:cs="Times New Roman"/>
          <w:szCs w:val="24"/>
          <w:lang w:val="bg-BG" w:bidi="en-US"/>
        </w:rPr>
        <w:t>декарбонизация</w:t>
      </w:r>
      <w:proofErr w:type="spellEnd"/>
      <w:r w:rsidR="00B54C53" w:rsidRPr="00B06A9D">
        <w:rPr>
          <w:rFonts w:cs="Times New Roman"/>
          <w:szCs w:val="24"/>
          <w:lang w:val="bg-BG" w:bidi="en-US"/>
        </w:rPr>
        <w:t xml:space="preserve"> и цифровизация рязко увеличават търсенето на критични суровини, от които Европа е силно зависима, което разкри значителни уязвимости във веригите на доставки. В отговор ЕС прие Акта за критичните суровини (CRM </w:t>
      </w:r>
      <w:proofErr w:type="spellStart"/>
      <w:r w:rsidR="00B54C53" w:rsidRPr="00B06A9D">
        <w:rPr>
          <w:rFonts w:cs="Times New Roman"/>
          <w:szCs w:val="24"/>
          <w:lang w:val="bg-BG" w:bidi="en-US"/>
        </w:rPr>
        <w:t>Act</w:t>
      </w:r>
      <w:proofErr w:type="spellEnd"/>
      <w:r w:rsidR="00B54C53" w:rsidRPr="00B06A9D">
        <w:rPr>
          <w:rFonts w:cs="Times New Roman"/>
          <w:szCs w:val="24"/>
          <w:lang w:val="bg-BG" w:bidi="en-US"/>
        </w:rPr>
        <w:t xml:space="preserve">), насърчавайки добива и преработката в Европа, а за държави като България – с богати залежи на стратегически метали – това открива важни икономически и геополитически възможности. </w:t>
      </w:r>
      <w:r w:rsidRPr="00B06A9D">
        <w:rPr>
          <w:rFonts w:cs="Times New Roman"/>
          <w:szCs w:val="24"/>
          <w:lang w:val="bg-BG" w:bidi="en-US"/>
        </w:rPr>
        <w:t xml:space="preserve">За да се възползва от тази ситуация, България следва </w:t>
      </w:r>
      <w:r w:rsidRPr="00B06A9D">
        <w:rPr>
          <w:rFonts w:cs="Times New Roman"/>
          <w:i/>
          <w:iCs/>
          <w:szCs w:val="24"/>
          <w:lang w:val="bg-BG" w:bidi="en-US"/>
        </w:rPr>
        <w:t>активно да развие добивната си индустрия, като ускори геоложките проучвания, привлече инвестиции и оптимизира регулаторната рамка</w:t>
      </w:r>
      <w:r w:rsidRPr="00B06A9D">
        <w:rPr>
          <w:rFonts w:cs="Times New Roman"/>
          <w:szCs w:val="24"/>
          <w:lang w:val="bg-BG" w:bidi="en-US"/>
        </w:rPr>
        <w:t xml:space="preserve">. </w:t>
      </w:r>
    </w:p>
    <w:p w14:paraId="1962981E" w14:textId="77777777" w:rsidR="0055643F" w:rsidRDefault="007D16A0" w:rsidP="009A0C59">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Експерти от бранша подчертават нуждата от облекчаване и ускоряване на процедурите по издаване на разрешителни за търсене и добив – ключова стъпка, която би позволила на страната ни да разгърне потенциала си като доставчик на стратегически суровини. Подобни действия не само биха укрепили позициите на България на европейската карта на суровините, но и биха допринесли за стратегическата автономност на ЕС в снабдяването с критични материали. В геополитически план контролът върху важни природни ресурси все повече се превръща във фактор за национална сигурност и международно влияние. </w:t>
      </w:r>
    </w:p>
    <w:p w14:paraId="76727C81" w14:textId="77777777" w:rsidR="0055643F" w:rsidRDefault="007D16A0" w:rsidP="009A0C59">
      <w:pPr>
        <w:shd w:val="clear" w:color="auto" w:fill="FFFFFF" w:themeFill="background1"/>
        <w:spacing w:after="127" w:line="360" w:lineRule="auto"/>
        <w:ind w:right="2" w:firstLine="426"/>
        <w:jc w:val="both"/>
        <w:rPr>
          <w:rFonts w:cs="Times New Roman"/>
          <w:szCs w:val="24"/>
          <w:lang w:val="bg-BG" w:bidi="en-US"/>
        </w:rPr>
      </w:pPr>
      <w:r w:rsidRPr="00B06A9D">
        <w:rPr>
          <w:rFonts w:cs="Times New Roman"/>
          <w:szCs w:val="24"/>
          <w:lang w:val="bg-BG" w:bidi="en-US"/>
        </w:rPr>
        <w:t xml:space="preserve">Ето защо интегрирането на </w:t>
      </w:r>
      <w:r w:rsidRPr="0055643F">
        <w:rPr>
          <w:rFonts w:cs="Times New Roman"/>
          <w:b/>
          <w:bCs/>
          <w:i/>
          <w:iCs/>
          <w:szCs w:val="24"/>
          <w:lang w:val="bg-BG" w:bidi="en-US"/>
        </w:rPr>
        <w:t>„Добивна индустрия“</w:t>
      </w:r>
      <w:r w:rsidRPr="00B06A9D">
        <w:rPr>
          <w:rFonts w:cs="Times New Roman"/>
          <w:szCs w:val="24"/>
          <w:lang w:val="bg-BG" w:bidi="en-US"/>
        </w:rPr>
        <w:t xml:space="preserve"> като нов приоритет в ИСИС би дало ясен сигнал, че България разпознава значението на този сектор за икономиката и сигурността и възнамерява да го подкрепя – в синхрон с европейските политики за гарантиране на надеждни вериги на доставка на суровини. </w:t>
      </w:r>
    </w:p>
    <w:p w14:paraId="211F5741" w14:textId="77777777" w:rsidR="001A5392" w:rsidRDefault="001A5392" w:rsidP="009A0C59">
      <w:pPr>
        <w:shd w:val="clear" w:color="auto" w:fill="FFFFFF" w:themeFill="background1"/>
        <w:spacing w:after="127" w:line="360" w:lineRule="auto"/>
        <w:ind w:right="2" w:firstLine="426"/>
        <w:jc w:val="both"/>
        <w:rPr>
          <w:rFonts w:cs="Times New Roman"/>
          <w:szCs w:val="24"/>
          <w:lang w:val="bg-BG" w:bidi="en-US"/>
        </w:rPr>
      </w:pPr>
      <w:r w:rsidRPr="00B06A9D">
        <w:rPr>
          <w:rFonts w:cs="Times New Roman"/>
          <w:szCs w:val="24"/>
          <w:lang w:val="bg-BG" w:bidi="en-US"/>
        </w:rPr>
        <w:t xml:space="preserve">В </w:t>
      </w:r>
      <w:r>
        <w:rPr>
          <w:rFonts w:cs="Times New Roman"/>
          <w:szCs w:val="24"/>
          <w:lang w:val="bg-BG" w:bidi="en-US"/>
        </w:rPr>
        <w:t xml:space="preserve">допълнение, в </w:t>
      </w:r>
      <w:r w:rsidRPr="00B06A9D">
        <w:rPr>
          <w:rFonts w:cs="Times New Roman"/>
          <w:szCs w:val="24"/>
          <w:lang w:val="bg-BG" w:bidi="en-US"/>
        </w:rPr>
        <w:t xml:space="preserve">предложеното ново направление „Добивна индустрия“ следва да се обособи </w:t>
      </w:r>
      <w:proofErr w:type="spellStart"/>
      <w:r w:rsidRPr="00CA41AF">
        <w:rPr>
          <w:rFonts w:cs="Times New Roman"/>
          <w:b/>
          <w:bCs/>
          <w:szCs w:val="24"/>
          <w:lang w:val="bg-BG" w:bidi="en-US"/>
        </w:rPr>
        <w:t>поднаправление</w:t>
      </w:r>
      <w:proofErr w:type="spellEnd"/>
      <w:r w:rsidRPr="00CA41AF">
        <w:rPr>
          <w:rFonts w:cs="Times New Roman"/>
          <w:b/>
          <w:bCs/>
          <w:szCs w:val="24"/>
          <w:lang w:val="bg-BG" w:bidi="en-US"/>
        </w:rPr>
        <w:t xml:space="preserve"> „</w:t>
      </w:r>
      <w:r w:rsidRPr="00CA41AF">
        <w:rPr>
          <w:rFonts w:cs="Times New Roman"/>
          <w:b/>
          <w:bCs/>
          <w:i/>
          <w:iCs/>
          <w:szCs w:val="24"/>
          <w:lang w:val="bg-BG" w:bidi="en-US"/>
        </w:rPr>
        <w:t>Енергетика и критични суровини“</w:t>
      </w:r>
      <w:r w:rsidRPr="00B06A9D">
        <w:rPr>
          <w:rFonts w:cs="Times New Roman"/>
          <w:szCs w:val="24"/>
          <w:lang w:val="bg-BG" w:bidi="en-US"/>
        </w:rPr>
        <w:t xml:space="preserve">, което да отрази стратегическата значимост на </w:t>
      </w:r>
      <w:proofErr w:type="spellStart"/>
      <w:r w:rsidRPr="00B06A9D">
        <w:rPr>
          <w:rFonts w:cs="Times New Roman"/>
          <w:szCs w:val="24"/>
          <w:lang w:val="bg-BG" w:bidi="en-US"/>
        </w:rPr>
        <w:t>редкоземните</w:t>
      </w:r>
      <w:proofErr w:type="spellEnd"/>
      <w:r w:rsidRPr="00B06A9D">
        <w:rPr>
          <w:rFonts w:cs="Times New Roman"/>
          <w:szCs w:val="24"/>
          <w:lang w:val="bg-BG" w:bidi="en-US"/>
        </w:rPr>
        <w:t xml:space="preserve"> елементи и критичните суровини за развитието и трансформацията на националния енергиен сектор. Предвид ускореното навлизане на технологии, изискващи високоспецифични материали – включително батерийни системи, високоефективни магнити, електронни компоненти и зелени енергийни решения – е необходимо да се предвидят мерки за систематично картографиране и прогнозиране на потребностите на енергийната индустрия от подобни ресурси. Наред с това следва да се стимулира разработването и внедряването на </w:t>
      </w:r>
      <w:r w:rsidRPr="00B06A9D">
        <w:rPr>
          <w:rFonts w:cs="Times New Roman"/>
          <w:szCs w:val="24"/>
          <w:lang w:val="bg-BG" w:bidi="en-US"/>
        </w:rPr>
        <w:lastRenderedPageBreak/>
        <w:t xml:space="preserve">иновативни технологични решения, насочени към устойчив добив, модерна преработка и рециклиране на </w:t>
      </w:r>
      <w:proofErr w:type="spellStart"/>
      <w:r w:rsidRPr="00B06A9D">
        <w:rPr>
          <w:rFonts w:cs="Times New Roman"/>
          <w:szCs w:val="24"/>
          <w:lang w:val="bg-BG" w:bidi="en-US"/>
        </w:rPr>
        <w:t>редкоземни</w:t>
      </w:r>
      <w:proofErr w:type="spellEnd"/>
      <w:r w:rsidRPr="00B06A9D">
        <w:rPr>
          <w:rFonts w:cs="Times New Roman"/>
          <w:szCs w:val="24"/>
          <w:lang w:val="bg-BG" w:bidi="en-US"/>
        </w:rPr>
        <w:t xml:space="preserve"> елементи и критични суровини, с оглед тяхното ефективно и конкурентоспособно приложение в енергийното производство и свързаните индустриални вериги. Подобен подход ще укрепи стратегическата автономност на страната, ще засили нейната ресурсна устойчивост и ще подпомогне интегрирането на България в паневропейските вериги за стойност в областта на чистите технологии.</w:t>
      </w:r>
    </w:p>
    <w:p w14:paraId="4A630BCA" w14:textId="77777777" w:rsidR="00B229C8" w:rsidRDefault="009A0C59" w:rsidP="009A0C59">
      <w:pPr>
        <w:spacing w:after="127" w:line="360" w:lineRule="auto"/>
        <w:ind w:right="2" w:firstLine="426"/>
        <w:jc w:val="both"/>
        <w:rPr>
          <w:rFonts w:cs="Times New Roman"/>
          <w:szCs w:val="24"/>
          <w:lang w:val="bg-BG" w:bidi="en-US"/>
        </w:rPr>
      </w:pPr>
      <w:r>
        <w:rPr>
          <w:rFonts w:cs="Times New Roman"/>
          <w:szCs w:val="24"/>
          <w:lang w:val="bg-BG" w:bidi="en-US"/>
        </w:rPr>
        <w:t>Също така</w:t>
      </w:r>
      <w:r w:rsidR="007D16A0" w:rsidRPr="00B06A9D">
        <w:rPr>
          <w:rFonts w:cs="Times New Roman"/>
          <w:szCs w:val="24"/>
          <w:lang w:val="bg-BG" w:bidi="en-US"/>
        </w:rPr>
        <w:t>, акцентът върху иновациите в добивния сектор (напр. екологично чисти технологии за добив и преработка, кръгова икономика при материалите и др.) би създал връзка с останалите тематични области (например „Чисти технологии и кръгова икономика“), допринасяйки за цялостната устойчивост на икономическата трансформация.</w:t>
      </w:r>
      <w:r w:rsidR="000C1D58" w:rsidRPr="00B06A9D">
        <w:rPr>
          <w:rFonts w:cs="Times New Roman"/>
          <w:szCs w:val="24"/>
          <w:lang w:val="bg-BG" w:bidi="en-US"/>
        </w:rPr>
        <w:t xml:space="preserve"> </w:t>
      </w:r>
    </w:p>
    <w:p w14:paraId="54C8208B" w14:textId="77777777" w:rsidR="009543AF" w:rsidRPr="009543AF" w:rsidRDefault="009543AF" w:rsidP="009543AF">
      <w:pPr>
        <w:pStyle w:val="Heading3"/>
        <w:rPr>
          <w:rFonts w:ascii="Times New Roman" w:hAnsi="Times New Roman" w:cs="Times New Roman"/>
          <w:b/>
          <w:bCs/>
          <w:lang w:val="bg-BG" w:bidi="en-US"/>
        </w:rPr>
      </w:pPr>
      <w:bookmarkStart w:id="38" w:name="_Toc216427834"/>
      <w:r w:rsidRPr="009543AF">
        <w:rPr>
          <w:rFonts w:ascii="Times New Roman" w:hAnsi="Times New Roman" w:cs="Times New Roman"/>
          <w:b/>
          <w:bCs/>
          <w:lang w:val="bg-BG" w:bidi="en-US"/>
        </w:rPr>
        <w:t>ПРЕПОРЪКА 3: Актуализиране на съществуващите тематични области</w:t>
      </w:r>
      <w:bookmarkEnd w:id="38"/>
    </w:p>
    <w:p w14:paraId="1C955E5F" w14:textId="77777777" w:rsidR="00B229C8" w:rsidRPr="00275BA9" w:rsidRDefault="007D16A0" w:rsidP="009543AF">
      <w:pPr>
        <w:spacing w:after="127" w:line="360" w:lineRule="auto"/>
        <w:ind w:right="2" w:firstLine="426"/>
        <w:jc w:val="both"/>
        <w:rPr>
          <w:rFonts w:cs="Times New Roman"/>
          <w:szCs w:val="24"/>
          <w:lang w:val="bg-BG" w:bidi="en-US"/>
        </w:rPr>
      </w:pPr>
      <w:r w:rsidRPr="00275BA9">
        <w:rPr>
          <w:rFonts w:cs="Times New Roman"/>
          <w:szCs w:val="24"/>
          <w:lang w:val="bg-BG" w:bidi="en-US"/>
        </w:rPr>
        <w:t xml:space="preserve">Успоредно с евентуалното добавяне на нови области, съществуващите пет тематични направления следва да се актуализират вътрешно спрямо настъпилите през последните 2–3 години технологични промени. </w:t>
      </w:r>
    </w:p>
    <w:p w14:paraId="29522F3D" w14:textId="77777777" w:rsidR="00E94798" w:rsidRDefault="007D16A0" w:rsidP="00C97BDF">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Необходимо е във всяка област да се откроят конкретни подтеми или технологии, които са придобили особена важност и обещаващ потенциал. Например в обхвата на </w:t>
      </w:r>
      <w:r w:rsidRPr="00553368">
        <w:rPr>
          <w:rFonts w:cs="Times New Roman"/>
          <w:b/>
          <w:bCs/>
          <w:color w:val="2E74B5" w:themeColor="accent1" w:themeShade="BF"/>
          <w:szCs w:val="24"/>
          <w:lang w:val="bg-BG" w:bidi="en-US"/>
        </w:rPr>
        <w:t>„Информатика и ИКТ”</w:t>
      </w:r>
      <w:r w:rsidRPr="00B06A9D">
        <w:rPr>
          <w:rFonts w:cs="Times New Roman"/>
          <w:szCs w:val="24"/>
          <w:lang w:val="bg-BG" w:bidi="en-US"/>
        </w:rPr>
        <w:t xml:space="preserve"> е целесъобразно изрично да се приоритизират направления като изкуствен интелект, киберсигурност и квантови технологии, тъй като именно те се утвърдиха като глобални тенденции в цифровите технологии и привличат мащабни инвестиции и внимание от всички водещи икономики. </w:t>
      </w:r>
    </w:p>
    <w:p w14:paraId="50EB1100" w14:textId="77777777" w:rsidR="00E94798" w:rsidRDefault="007D16A0" w:rsidP="00AE34E2">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В областта на </w:t>
      </w:r>
      <w:r w:rsidRPr="00553368">
        <w:rPr>
          <w:rFonts w:cs="Times New Roman"/>
          <w:b/>
          <w:bCs/>
          <w:color w:val="2E74B5" w:themeColor="accent1" w:themeShade="BF"/>
          <w:szCs w:val="24"/>
          <w:lang w:val="bg-BG" w:bidi="en-US"/>
        </w:rPr>
        <w:t>„</w:t>
      </w:r>
      <w:proofErr w:type="spellStart"/>
      <w:r w:rsidRPr="00553368">
        <w:rPr>
          <w:rFonts w:cs="Times New Roman"/>
          <w:b/>
          <w:bCs/>
          <w:color w:val="2E74B5" w:themeColor="accent1" w:themeShade="BF"/>
          <w:szCs w:val="24"/>
          <w:lang w:val="bg-BG" w:bidi="en-US"/>
        </w:rPr>
        <w:t>Мехатроника</w:t>
      </w:r>
      <w:proofErr w:type="spellEnd"/>
      <w:r w:rsidRPr="00553368">
        <w:rPr>
          <w:rFonts w:cs="Times New Roman"/>
          <w:b/>
          <w:bCs/>
          <w:color w:val="2E74B5" w:themeColor="accent1" w:themeShade="BF"/>
          <w:szCs w:val="24"/>
          <w:lang w:val="bg-BG" w:bidi="en-US"/>
        </w:rPr>
        <w:t xml:space="preserve"> и микроелектроника”</w:t>
      </w:r>
      <w:r w:rsidRPr="00B06A9D">
        <w:rPr>
          <w:rFonts w:cs="Times New Roman"/>
          <w:szCs w:val="24"/>
          <w:lang w:val="bg-BG" w:bidi="en-US"/>
        </w:rPr>
        <w:t xml:space="preserve"> следва да се обърне засилен фокус на индустриалната автоматизация, роботика, </w:t>
      </w:r>
      <w:proofErr w:type="spellStart"/>
      <w:r w:rsidRPr="00B06A9D">
        <w:rPr>
          <w:rFonts w:cs="Times New Roman"/>
          <w:szCs w:val="24"/>
          <w:lang w:val="bg-BG" w:bidi="en-US"/>
        </w:rPr>
        <w:t>сензорика</w:t>
      </w:r>
      <w:proofErr w:type="spellEnd"/>
      <w:r w:rsidRPr="00B06A9D">
        <w:rPr>
          <w:rFonts w:cs="Times New Roman"/>
          <w:szCs w:val="24"/>
          <w:lang w:val="bg-BG" w:bidi="en-US"/>
        </w:rPr>
        <w:t xml:space="preserve"> и Интернет на нещата (</w:t>
      </w:r>
      <w:proofErr w:type="spellStart"/>
      <w:r w:rsidRPr="00B06A9D">
        <w:rPr>
          <w:rFonts w:cs="Times New Roman"/>
          <w:szCs w:val="24"/>
          <w:lang w:val="bg-BG" w:bidi="en-US"/>
        </w:rPr>
        <w:t>IoT</w:t>
      </w:r>
      <w:proofErr w:type="spellEnd"/>
      <w:r w:rsidRPr="00B06A9D">
        <w:rPr>
          <w:rFonts w:cs="Times New Roman"/>
          <w:szCs w:val="24"/>
          <w:lang w:val="bg-BG" w:bidi="en-US"/>
        </w:rPr>
        <w:t xml:space="preserve">), които движат новата Индустрия 4.0 революция. </w:t>
      </w:r>
    </w:p>
    <w:p w14:paraId="64F7FEAB" w14:textId="77777777" w:rsidR="00E94798" w:rsidRDefault="007D16A0" w:rsidP="00AE34E2">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В рамките на </w:t>
      </w:r>
      <w:r w:rsidRPr="00553368">
        <w:rPr>
          <w:rFonts w:cs="Times New Roman"/>
          <w:b/>
          <w:bCs/>
          <w:color w:val="2E74B5" w:themeColor="accent1" w:themeShade="BF"/>
          <w:szCs w:val="24"/>
          <w:lang w:val="bg-BG" w:bidi="en-US"/>
        </w:rPr>
        <w:t>„Индустрия за здравословен живот, биоикономика и биотехнологии”</w:t>
      </w:r>
      <w:r w:rsidRPr="00B06A9D">
        <w:rPr>
          <w:rFonts w:cs="Times New Roman"/>
          <w:szCs w:val="24"/>
          <w:lang w:val="bg-BG" w:bidi="en-US"/>
        </w:rPr>
        <w:t xml:space="preserve"> все по-ключови стават биотехнологиите, насочени към чиста околна среда (напр. биоразградими материали), както и персонализираната медицина, </w:t>
      </w:r>
      <w:proofErr w:type="spellStart"/>
      <w:r w:rsidRPr="00B06A9D">
        <w:rPr>
          <w:rFonts w:cs="Times New Roman"/>
          <w:szCs w:val="24"/>
          <w:lang w:val="bg-BG" w:bidi="en-US"/>
        </w:rPr>
        <w:t>нутригеномиката</w:t>
      </w:r>
      <w:proofErr w:type="spellEnd"/>
      <w:r w:rsidRPr="00B06A9D">
        <w:rPr>
          <w:rFonts w:cs="Times New Roman"/>
          <w:szCs w:val="24"/>
          <w:lang w:val="bg-BG" w:bidi="en-US"/>
        </w:rPr>
        <w:t xml:space="preserve"> и други високотехнологични подходи в здравеопазването. </w:t>
      </w:r>
    </w:p>
    <w:p w14:paraId="18F1E5E0" w14:textId="77777777" w:rsidR="00E94798" w:rsidRDefault="00925F99" w:rsidP="00AE34E2">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Необходимо е в тематичната област </w:t>
      </w:r>
      <w:r w:rsidRPr="00553368">
        <w:rPr>
          <w:rFonts w:cs="Times New Roman"/>
          <w:b/>
          <w:bCs/>
          <w:color w:val="2E74B5" w:themeColor="accent1" w:themeShade="BF"/>
          <w:szCs w:val="24"/>
          <w:lang w:val="bg-BG" w:bidi="en-US"/>
        </w:rPr>
        <w:t>„Чисти технологии, кръгова и нисковъглеродна икономика“</w:t>
      </w:r>
      <w:r w:rsidRPr="00B06A9D">
        <w:rPr>
          <w:rFonts w:cs="Times New Roman"/>
          <w:szCs w:val="24"/>
          <w:lang w:val="bg-BG" w:bidi="en-US"/>
        </w:rPr>
        <w:t xml:space="preserve"> да бъде формулирано специализирано </w:t>
      </w:r>
      <w:proofErr w:type="spellStart"/>
      <w:r w:rsidRPr="00553368">
        <w:rPr>
          <w:rFonts w:cs="Times New Roman"/>
          <w:color w:val="2E74B5" w:themeColor="accent1" w:themeShade="BF"/>
          <w:szCs w:val="24"/>
          <w:lang w:val="bg-BG" w:bidi="en-US"/>
        </w:rPr>
        <w:t>поднаправление</w:t>
      </w:r>
      <w:proofErr w:type="spellEnd"/>
      <w:r w:rsidRPr="00553368">
        <w:rPr>
          <w:rFonts w:cs="Times New Roman"/>
          <w:color w:val="2E74B5" w:themeColor="accent1" w:themeShade="BF"/>
          <w:szCs w:val="24"/>
          <w:lang w:val="bg-BG" w:bidi="en-US"/>
        </w:rPr>
        <w:t xml:space="preserve"> </w:t>
      </w:r>
      <w:r w:rsidRPr="00553368">
        <w:rPr>
          <w:rFonts w:cs="Times New Roman"/>
          <w:i/>
          <w:iCs/>
          <w:color w:val="2E74B5" w:themeColor="accent1" w:themeShade="BF"/>
          <w:szCs w:val="24"/>
          <w:lang w:val="bg-BG" w:bidi="en-US"/>
        </w:rPr>
        <w:t>„Енергетика и изкуствен интелект“</w:t>
      </w:r>
      <w:r w:rsidRPr="00B06A9D">
        <w:rPr>
          <w:rFonts w:cs="Times New Roman"/>
          <w:i/>
          <w:iCs/>
          <w:szCs w:val="24"/>
          <w:lang w:val="bg-BG" w:bidi="en-US"/>
        </w:rPr>
        <w:t>,</w:t>
      </w:r>
      <w:r w:rsidRPr="00B06A9D">
        <w:rPr>
          <w:rFonts w:cs="Times New Roman"/>
          <w:szCs w:val="24"/>
          <w:lang w:val="bg-BG" w:bidi="en-US"/>
        </w:rPr>
        <w:t xml:space="preserve"> което да отрази задълбочаващата се взаимозависимост между енергийния сектор и високотехнологичните цифрови екосистеми. </w:t>
      </w:r>
      <w:proofErr w:type="spellStart"/>
      <w:r w:rsidRPr="00B06A9D">
        <w:rPr>
          <w:rFonts w:cs="Times New Roman"/>
          <w:szCs w:val="24"/>
          <w:lang w:val="bg-BG" w:bidi="en-US"/>
        </w:rPr>
        <w:t>Поднаправлението</w:t>
      </w:r>
      <w:proofErr w:type="spellEnd"/>
      <w:r w:rsidRPr="00B06A9D">
        <w:rPr>
          <w:rFonts w:cs="Times New Roman"/>
          <w:szCs w:val="24"/>
          <w:lang w:val="bg-BG" w:bidi="en-US"/>
        </w:rPr>
        <w:t xml:space="preserve"> следва да адресира два фундаментални стратегически </w:t>
      </w:r>
      <w:r w:rsidRPr="00B06A9D">
        <w:rPr>
          <w:rFonts w:cs="Times New Roman"/>
          <w:szCs w:val="24"/>
          <w:lang w:val="bg-BG" w:bidi="en-US"/>
        </w:rPr>
        <w:lastRenderedPageBreak/>
        <w:t xml:space="preserve">приоритета: (1) гарантиране на адекватен, предсказуем и устойчив енергиен капацитет за задоволяване на експоненциално растящите нужди на центровете за данни и фабриките за изкуствен интелект, включително чрез интегрирано планиране на нови производствени и мрежови мощности, развитието на хибридни инфраструктури и внедряване на решения за съвместно местоположение с възобновяеми енергийни източници и системи за съхранение; и (2) цялостно интегриране на ИИ технологии по веригата на стойност в енергетиката — от оптимизация на производствените режими и натоварванията, през </w:t>
      </w:r>
      <w:r w:rsidR="004E3064" w:rsidRPr="00B06A9D">
        <w:rPr>
          <w:rFonts w:cs="Times New Roman"/>
          <w:szCs w:val="24"/>
          <w:lang w:val="bg-BG" w:bidi="en-US"/>
        </w:rPr>
        <w:t xml:space="preserve">автоматично </w:t>
      </w:r>
      <w:r w:rsidR="00C91093" w:rsidRPr="00B06A9D">
        <w:rPr>
          <w:rFonts w:cs="Times New Roman"/>
          <w:szCs w:val="24"/>
          <w:lang w:val="bg-BG" w:bidi="en-US"/>
        </w:rPr>
        <w:t>предсказуема</w:t>
      </w:r>
      <w:r w:rsidRPr="00B06A9D">
        <w:rPr>
          <w:rFonts w:cs="Times New Roman"/>
          <w:szCs w:val="24"/>
          <w:lang w:val="bg-BG" w:bidi="en-US"/>
        </w:rPr>
        <w:t xml:space="preserve"> поддръжка и управление на гъвкавост, до усъвършенствани механизми за киберсигурност, киберустойчивост и климатична адаптивност на критичната инфраструктура, включително интелигентни SCADA/OT системи и динамични планове за възстановяване. </w:t>
      </w:r>
    </w:p>
    <w:p w14:paraId="130C909A" w14:textId="77777777" w:rsidR="00E94798" w:rsidRDefault="00925F99" w:rsidP="00AE34E2">
      <w:pPr>
        <w:spacing w:after="127" w:line="360" w:lineRule="auto"/>
        <w:ind w:right="2" w:firstLine="426"/>
        <w:jc w:val="both"/>
        <w:rPr>
          <w:rFonts w:cs="Times New Roman"/>
          <w:i/>
          <w:iCs/>
          <w:szCs w:val="24"/>
          <w:lang w:val="bg-BG" w:bidi="en-US"/>
        </w:rPr>
      </w:pPr>
      <w:r w:rsidRPr="00B06A9D">
        <w:rPr>
          <w:rFonts w:cs="Times New Roman"/>
          <w:szCs w:val="24"/>
          <w:lang w:val="bg-BG" w:bidi="en-US"/>
        </w:rPr>
        <w:t xml:space="preserve">Стратегическото институционализиране на това </w:t>
      </w:r>
      <w:proofErr w:type="spellStart"/>
      <w:r w:rsidRPr="00B06A9D">
        <w:rPr>
          <w:rFonts w:cs="Times New Roman"/>
          <w:szCs w:val="24"/>
          <w:lang w:val="bg-BG" w:bidi="en-US"/>
        </w:rPr>
        <w:t>поднаправление</w:t>
      </w:r>
      <w:proofErr w:type="spellEnd"/>
      <w:r w:rsidRPr="00B06A9D">
        <w:rPr>
          <w:rFonts w:cs="Times New Roman"/>
          <w:szCs w:val="24"/>
          <w:lang w:val="bg-BG" w:bidi="en-US"/>
        </w:rPr>
        <w:t xml:space="preserve"> ще ускори технологичната модернизация на сектора, ще повиши неговата оперативна и системна устойчивост и </w:t>
      </w:r>
      <w:r w:rsidR="004E3064" w:rsidRPr="00B06A9D">
        <w:rPr>
          <w:rFonts w:cs="Times New Roman"/>
          <w:szCs w:val="24"/>
          <w:lang w:val="bg-BG" w:bidi="en-US"/>
        </w:rPr>
        <w:t>може да</w:t>
      </w:r>
      <w:r w:rsidRPr="00B06A9D">
        <w:rPr>
          <w:rFonts w:cs="Times New Roman"/>
          <w:szCs w:val="24"/>
          <w:lang w:val="bg-BG" w:bidi="en-US"/>
        </w:rPr>
        <w:t xml:space="preserve"> утвърди България като привлекателна дестинация за високотехнологични индустрии, зависещи от надеждно, ефективно и „интелигентно“ енергийно снабдяване.</w:t>
      </w:r>
      <w:r w:rsidR="00CE3CE8" w:rsidRPr="00B06A9D">
        <w:rPr>
          <w:rFonts w:cs="Times New Roman"/>
          <w:i/>
          <w:iCs/>
          <w:szCs w:val="24"/>
          <w:lang w:val="bg-BG" w:bidi="en-US"/>
        </w:rPr>
        <w:t xml:space="preserve"> </w:t>
      </w:r>
    </w:p>
    <w:p w14:paraId="64142FB2" w14:textId="77777777" w:rsidR="00E94798" w:rsidRDefault="007D16A0" w:rsidP="00AE34E2">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Подобни примери могат да се изведат и за останалите области – </w:t>
      </w:r>
      <w:r w:rsidRPr="00553368">
        <w:rPr>
          <w:rFonts w:cs="Times New Roman"/>
          <w:b/>
          <w:bCs/>
          <w:color w:val="2E74B5" w:themeColor="accent1" w:themeShade="BF"/>
          <w:szCs w:val="24"/>
          <w:lang w:val="bg-BG" w:bidi="en-US"/>
        </w:rPr>
        <w:t xml:space="preserve">„Нови технологии в креативните и </w:t>
      </w:r>
      <w:proofErr w:type="spellStart"/>
      <w:r w:rsidRPr="00553368">
        <w:rPr>
          <w:rFonts w:cs="Times New Roman"/>
          <w:b/>
          <w:bCs/>
          <w:color w:val="2E74B5" w:themeColor="accent1" w:themeShade="BF"/>
          <w:szCs w:val="24"/>
          <w:lang w:val="bg-BG" w:bidi="en-US"/>
        </w:rPr>
        <w:t>рекреативните</w:t>
      </w:r>
      <w:proofErr w:type="spellEnd"/>
      <w:r w:rsidRPr="00553368">
        <w:rPr>
          <w:rFonts w:cs="Times New Roman"/>
          <w:b/>
          <w:bCs/>
          <w:color w:val="2E74B5" w:themeColor="accent1" w:themeShade="BF"/>
          <w:szCs w:val="24"/>
          <w:lang w:val="bg-BG" w:bidi="en-US"/>
        </w:rPr>
        <w:t xml:space="preserve"> индустрии“</w:t>
      </w:r>
      <w:r w:rsidR="00D52B4C" w:rsidRPr="00B06A9D">
        <w:rPr>
          <w:rFonts w:cs="Times New Roman"/>
          <w:szCs w:val="24"/>
          <w:lang w:val="bg-BG" w:bidi="en-US"/>
        </w:rPr>
        <w:t xml:space="preserve"> </w:t>
      </w:r>
      <w:r w:rsidRPr="00B06A9D">
        <w:rPr>
          <w:rFonts w:cs="Times New Roman"/>
          <w:szCs w:val="24"/>
          <w:lang w:val="bg-BG" w:bidi="en-US"/>
        </w:rPr>
        <w:t xml:space="preserve">– където също се появиха нови приоритетни теми (например дигитализация на културното наследство, VR/AR в креативния сектор). </w:t>
      </w:r>
    </w:p>
    <w:p w14:paraId="7576B200" w14:textId="77777777" w:rsidR="00FE3E5C" w:rsidRDefault="007D16A0" w:rsidP="00AE34E2">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Целта на това вътрешно актуализиране е </w:t>
      </w:r>
      <w:r w:rsidR="00CA153A" w:rsidRPr="00B06A9D">
        <w:rPr>
          <w:rFonts w:cs="Times New Roman"/>
          <w:szCs w:val="24"/>
          <w:lang w:val="bg-BG" w:bidi="en-US"/>
        </w:rPr>
        <w:t>с</w:t>
      </w:r>
      <w:r w:rsidRPr="00B06A9D">
        <w:rPr>
          <w:rFonts w:cs="Times New Roman"/>
          <w:szCs w:val="24"/>
          <w:lang w:val="bg-BG" w:bidi="en-US"/>
        </w:rPr>
        <w:t xml:space="preserve">тратегията да даде по-ясен сигнал към бизнеса и научните организации кои нови технологични направления са особено желани и ще бъдат подкрепяни. Така ИСИС ще бъде приведена в съответствие както с националния иновационен потенциал, така и с водещите външни тенденции, включително приоритетите на ЕС в областта на цифровия преход, зелената сделка и повишаването на отбранителния капацитет чрез високите технологии. </w:t>
      </w:r>
    </w:p>
    <w:p w14:paraId="6597B13E" w14:textId="77777777" w:rsidR="00AE19E9" w:rsidRPr="00B06A9D" w:rsidRDefault="007D16A0" w:rsidP="00F90426">
      <w:pPr>
        <w:spacing w:after="127" w:line="360" w:lineRule="auto"/>
        <w:ind w:right="2" w:firstLine="426"/>
        <w:jc w:val="both"/>
        <w:rPr>
          <w:rFonts w:cs="Times New Roman"/>
          <w:szCs w:val="24"/>
          <w:lang w:val="bg-BG" w:bidi="en-US"/>
        </w:rPr>
      </w:pPr>
      <w:r w:rsidRPr="00B06A9D">
        <w:rPr>
          <w:rFonts w:cs="Times New Roman"/>
          <w:szCs w:val="24"/>
          <w:lang w:val="bg-BG" w:bidi="en-US"/>
        </w:rPr>
        <w:t xml:space="preserve">При всички случаи промяната на тематичните приоритети трябва да се направи внимателно и с приемственост – новите акценти следва да надграждат постигнатото досега, без да разстройват вече създадените екосистеми и връзки. Това е важно за запазване доверието на заинтересованите страни и за гарантиране на устойчивост при изпълнението на </w:t>
      </w:r>
      <w:r w:rsidR="00CA153A" w:rsidRPr="00B06A9D">
        <w:rPr>
          <w:rFonts w:cs="Times New Roman"/>
          <w:szCs w:val="24"/>
          <w:lang w:val="bg-BG" w:bidi="en-US"/>
        </w:rPr>
        <w:t>с</w:t>
      </w:r>
      <w:r w:rsidRPr="00B06A9D">
        <w:rPr>
          <w:rFonts w:cs="Times New Roman"/>
          <w:szCs w:val="24"/>
          <w:lang w:val="bg-BG" w:bidi="en-US"/>
        </w:rPr>
        <w:t>тратегията.</w:t>
      </w:r>
    </w:p>
    <w:p w14:paraId="0777927C" w14:textId="77777777" w:rsidR="00C91093" w:rsidRDefault="00C91093">
      <w:pPr>
        <w:rPr>
          <w:rFonts w:cs="Times New Roman"/>
          <w:b/>
          <w:bCs/>
          <w:szCs w:val="24"/>
          <w:u w:val="single"/>
          <w:lang w:val="bg-BG" w:bidi="en-US"/>
        </w:rPr>
      </w:pPr>
      <w:r>
        <w:rPr>
          <w:rFonts w:cs="Times New Roman"/>
          <w:b/>
          <w:bCs/>
          <w:szCs w:val="24"/>
          <w:u w:val="single"/>
          <w:lang w:val="bg-BG" w:bidi="en-US"/>
        </w:rPr>
        <w:br w:type="page"/>
      </w:r>
    </w:p>
    <w:p w14:paraId="113B554C" w14:textId="77777777" w:rsidR="00A2416B" w:rsidRPr="00A2416B" w:rsidRDefault="00AE19E9" w:rsidP="005C5D13">
      <w:pPr>
        <w:pStyle w:val="Heading1"/>
        <w:spacing w:line="360" w:lineRule="auto"/>
        <w:rPr>
          <w:rFonts w:ascii="Times New Roman" w:hAnsi="Times New Roman" w:cs="Times New Roman"/>
          <w:b/>
          <w:bCs/>
          <w:lang w:val="bg-BG" w:bidi="en-US"/>
        </w:rPr>
      </w:pPr>
      <w:bookmarkStart w:id="39" w:name="_Toc216427835"/>
      <w:r w:rsidRPr="00A2416B">
        <w:rPr>
          <w:rFonts w:ascii="Times New Roman" w:hAnsi="Times New Roman" w:cs="Times New Roman"/>
          <w:b/>
          <w:bCs/>
          <w:lang w:val="bg-BG" w:bidi="en-US"/>
        </w:rPr>
        <w:lastRenderedPageBreak/>
        <w:t>Заключение</w:t>
      </w:r>
      <w:r w:rsidR="00A2416B" w:rsidRPr="00A2416B">
        <w:rPr>
          <w:rFonts w:ascii="Times New Roman" w:hAnsi="Times New Roman" w:cs="Times New Roman"/>
          <w:b/>
          <w:bCs/>
          <w:lang w:val="bg-BG" w:bidi="en-US"/>
        </w:rPr>
        <w:t xml:space="preserve"> и следващи стъпки.</w:t>
      </w:r>
      <w:bookmarkEnd w:id="39"/>
    </w:p>
    <w:p w14:paraId="2C440B91" w14:textId="77777777" w:rsidR="009538EE" w:rsidRPr="009538EE" w:rsidRDefault="009538EE" w:rsidP="005C5D13">
      <w:pPr>
        <w:pStyle w:val="Heading2"/>
        <w:spacing w:line="360" w:lineRule="auto"/>
        <w:rPr>
          <w:rFonts w:ascii="Times New Roman" w:hAnsi="Times New Roman" w:cs="Times New Roman"/>
          <w:b/>
          <w:bCs/>
          <w:lang w:val="bg-BG" w:bidi="en-US"/>
        </w:rPr>
      </w:pPr>
      <w:bookmarkStart w:id="40" w:name="_Toc216427836"/>
      <w:r w:rsidRPr="009538EE">
        <w:rPr>
          <w:rFonts w:ascii="Times New Roman" w:hAnsi="Times New Roman" w:cs="Times New Roman"/>
          <w:b/>
          <w:bCs/>
          <w:lang w:val="bg-BG" w:bidi="en-US"/>
        </w:rPr>
        <w:t>Обобщение.</w:t>
      </w:r>
      <w:bookmarkEnd w:id="40"/>
    </w:p>
    <w:p w14:paraId="497C940A" w14:textId="77777777" w:rsidR="00D147A1" w:rsidRPr="00233A0B" w:rsidRDefault="00AE19E9" w:rsidP="005C5D13">
      <w:pPr>
        <w:spacing w:after="127" w:line="360" w:lineRule="auto"/>
        <w:ind w:right="2" w:firstLine="349"/>
        <w:jc w:val="both"/>
        <w:rPr>
          <w:rFonts w:cs="Times New Roman"/>
          <w:lang w:val="bg-BG"/>
        </w:rPr>
      </w:pPr>
      <w:r w:rsidRPr="00233A0B">
        <w:rPr>
          <w:rFonts w:cs="Times New Roman"/>
          <w:szCs w:val="24"/>
          <w:lang w:val="bg-BG" w:bidi="en-US"/>
        </w:rPr>
        <w:t xml:space="preserve">Настоящият междинен преглед обобщава постигнатия напредък по ИСИС до момента, анализира влиянието на социално-икономическите фактори и формулира препоръки за бъдещи действия. Като цяло, напредъкът по изпълнението на Стратегията може да се оцени като задоволителен по стратегическите цели, но са налице съществени предизвикателства, които изискват внимание. Препоръките, изложени по-горе – за допълнително ресурсно обезпечаване, за оптимизиране на административните процедури, за институционално укрепване, териториално балансиране, по-активно ангажиране на бизнеса и науката, както и за актуализация на самата Стратегия – имат за цел да гарантират, че през втората половина на програмния период ИСИС ще разгърне пълния си потенциал. При ефективно реализиране на тези препоръки се очаква повишаване на </w:t>
      </w:r>
      <w:r w:rsidRPr="00233A0B">
        <w:rPr>
          <w:rFonts w:cs="Times New Roman"/>
          <w:b/>
          <w:bCs/>
          <w:szCs w:val="24"/>
          <w:lang w:val="bg-BG" w:bidi="en-US"/>
        </w:rPr>
        <w:t>ефективността</w:t>
      </w:r>
      <w:r w:rsidRPr="00233A0B">
        <w:rPr>
          <w:rFonts w:cs="Times New Roman"/>
          <w:szCs w:val="24"/>
          <w:lang w:val="bg-BG" w:bidi="en-US"/>
        </w:rPr>
        <w:t xml:space="preserve"> и </w:t>
      </w:r>
      <w:r w:rsidRPr="00233A0B">
        <w:rPr>
          <w:rFonts w:cs="Times New Roman"/>
          <w:b/>
          <w:bCs/>
          <w:szCs w:val="24"/>
          <w:lang w:val="bg-BG" w:bidi="en-US"/>
        </w:rPr>
        <w:t>въздействието</w:t>
      </w:r>
      <w:r w:rsidRPr="00233A0B">
        <w:rPr>
          <w:rFonts w:cs="Times New Roman"/>
          <w:szCs w:val="24"/>
          <w:lang w:val="bg-BG" w:bidi="en-US"/>
        </w:rPr>
        <w:t xml:space="preserve"> на иновационната политика – измеримо чрез по-високи нива на иновационните индикатори, по-равномерно развитие на регионите и по-осезаем принос на иновациите към конкурентоспособността и растежа на българската икономика. Стратегията за интелигентна специализация ще продължи да бъде ключов инструмент за постигане на визията България да се утвърди като динамичен и иновативен хъб в Европа, и успешното ѝ изпълнение е от изключително значение за реализиране на националните приоритети в областта на науката, технологиите и индустриалния преход.</w:t>
      </w:r>
    </w:p>
    <w:p w14:paraId="4B481FB8" w14:textId="77777777" w:rsidR="009538EE" w:rsidRPr="009538EE" w:rsidRDefault="009538EE" w:rsidP="005C5D13">
      <w:pPr>
        <w:pStyle w:val="Heading2"/>
        <w:spacing w:line="360" w:lineRule="auto"/>
        <w:rPr>
          <w:rFonts w:ascii="Times New Roman" w:hAnsi="Times New Roman" w:cs="Times New Roman"/>
          <w:b/>
          <w:bCs/>
          <w:lang w:val="bg-BG" w:bidi="en-US"/>
        </w:rPr>
      </w:pPr>
      <w:bookmarkStart w:id="41" w:name="_Toc216427837"/>
      <w:r w:rsidRPr="009538EE">
        <w:rPr>
          <w:rFonts w:ascii="Times New Roman" w:hAnsi="Times New Roman" w:cs="Times New Roman"/>
          <w:b/>
          <w:bCs/>
          <w:lang w:val="bg-BG" w:bidi="en-US"/>
        </w:rPr>
        <w:t>Пътна карта за периода 2025-2027 г.</w:t>
      </w:r>
      <w:bookmarkEnd w:id="41"/>
    </w:p>
    <w:p w14:paraId="28F5B8C0" w14:textId="77777777" w:rsidR="00832891" w:rsidRDefault="00D147A1" w:rsidP="005C5D13">
      <w:pPr>
        <w:spacing w:after="127" w:line="360" w:lineRule="auto"/>
        <w:ind w:right="2" w:firstLine="349"/>
        <w:jc w:val="both"/>
        <w:rPr>
          <w:rFonts w:cs="Times New Roman"/>
          <w:b/>
          <w:bCs/>
          <w:szCs w:val="24"/>
          <w:lang w:val="bg-BG" w:bidi="en-US"/>
        </w:rPr>
      </w:pPr>
      <w:r w:rsidRPr="00233A0B">
        <w:rPr>
          <w:rFonts w:cs="Times New Roman"/>
          <w:szCs w:val="24"/>
          <w:lang w:val="bg-BG" w:bidi="en-US"/>
        </w:rPr>
        <w:t xml:space="preserve">След финализиране на междинната оценка на ИСИС следва преход към следващата фаза на стратегията – периодът до 2027 г., в който основната задача е затвърждаването на направения напредък, коригиране на идентифицираните слабости и надграждане над работещите модели. Това означава, на първо място, </w:t>
      </w:r>
      <w:r w:rsidRPr="00333170">
        <w:rPr>
          <w:rFonts w:cs="Times New Roman"/>
          <w:b/>
          <w:bCs/>
          <w:szCs w:val="24"/>
          <w:lang w:val="bg-BG" w:bidi="en-US"/>
        </w:rPr>
        <w:t xml:space="preserve">официалното приемане на резултатите от оценката и интегрирането им в ежедневната работа на институциите. </w:t>
      </w:r>
    </w:p>
    <w:p w14:paraId="75BD6E98" w14:textId="77777777" w:rsidR="005172B1" w:rsidRDefault="00D147A1" w:rsidP="005C5D13">
      <w:pPr>
        <w:spacing w:line="360" w:lineRule="auto"/>
        <w:ind w:firstLine="349"/>
        <w:jc w:val="both"/>
        <w:rPr>
          <w:rFonts w:cs="Times New Roman"/>
          <w:szCs w:val="24"/>
          <w:lang w:val="bg-BG" w:bidi="en-US"/>
        </w:rPr>
      </w:pPr>
      <w:r w:rsidRPr="00233A0B">
        <w:rPr>
          <w:rFonts w:cs="Times New Roman"/>
          <w:szCs w:val="24"/>
          <w:lang w:val="bg-BG" w:bidi="en-US"/>
        </w:rPr>
        <w:t xml:space="preserve">Ключов елемент в следващия етап ще бъде подготовката на </w:t>
      </w:r>
      <w:r w:rsidRPr="00233A0B">
        <w:rPr>
          <w:rFonts w:cs="Times New Roman"/>
          <w:b/>
          <w:bCs/>
          <w:szCs w:val="24"/>
          <w:lang w:val="bg-BG" w:bidi="en-US"/>
        </w:rPr>
        <w:t>нов план за действие за периода 2026–2027 г.</w:t>
      </w:r>
      <w:r w:rsidRPr="00233A0B">
        <w:rPr>
          <w:rFonts w:cs="Times New Roman"/>
          <w:szCs w:val="24"/>
          <w:lang w:val="bg-BG" w:bidi="en-US"/>
        </w:rPr>
        <w:t xml:space="preserve"> Този документ ще стъпи на логиката и структурата на вече изпълнявания план 2023–2024, но следва да включва </w:t>
      </w:r>
      <w:r w:rsidRPr="00C55515">
        <w:rPr>
          <w:rFonts w:cs="Times New Roman"/>
          <w:b/>
          <w:bCs/>
          <w:szCs w:val="24"/>
          <w:u w:val="single"/>
          <w:lang w:val="bg-BG" w:bidi="en-US"/>
        </w:rPr>
        <w:t xml:space="preserve">актуализирани </w:t>
      </w:r>
      <w:r w:rsidR="00B836FA" w:rsidRPr="00C55515">
        <w:rPr>
          <w:rFonts w:cs="Times New Roman"/>
          <w:b/>
          <w:bCs/>
          <w:szCs w:val="24"/>
          <w:u w:val="single"/>
          <w:lang w:val="bg-BG" w:bidi="en-US"/>
        </w:rPr>
        <w:t xml:space="preserve">и изцяло преразгледани </w:t>
      </w:r>
      <w:r w:rsidRPr="00C55515">
        <w:rPr>
          <w:rFonts w:cs="Times New Roman"/>
          <w:b/>
          <w:bCs/>
          <w:szCs w:val="24"/>
          <w:u w:val="single"/>
          <w:lang w:val="bg-BG" w:bidi="en-US"/>
        </w:rPr>
        <w:t>индикатори на показателите</w:t>
      </w:r>
      <w:r w:rsidRPr="00233A0B">
        <w:rPr>
          <w:rFonts w:cs="Times New Roman"/>
          <w:szCs w:val="24"/>
          <w:lang w:val="bg-BG" w:bidi="en-US"/>
        </w:rPr>
        <w:t xml:space="preserve">, които да отговорят на новите предизвикателства. Акцент следва да бъде поставен върху ускорената реализация на инвестиционни програми, засилването на връзката между академичния сектор и бизнеса, </w:t>
      </w:r>
      <w:r w:rsidRPr="00233A0B">
        <w:rPr>
          <w:rFonts w:cs="Times New Roman"/>
          <w:szCs w:val="24"/>
          <w:lang w:val="bg-BG" w:bidi="en-US"/>
        </w:rPr>
        <w:lastRenderedPageBreak/>
        <w:t xml:space="preserve">развитието на мрежа за технологичен трансфер и активното участие на регионите в предприемаческите процеси. </w:t>
      </w:r>
    </w:p>
    <w:p w14:paraId="7F48BD0B" w14:textId="77777777" w:rsidR="005172B1" w:rsidRPr="005172B1" w:rsidRDefault="005172B1" w:rsidP="005C5D13">
      <w:pPr>
        <w:pStyle w:val="Heading2"/>
        <w:spacing w:line="360" w:lineRule="auto"/>
        <w:rPr>
          <w:rFonts w:ascii="Times New Roman" w:hAnsi="Times New Roman" w:cs="Times New Roman"/>
          <w:b/>
          <w:bCs/>
          <w:lang w:val="bg-BG" w:bidi="en-US"/>
        </w:rPr>
      </w:pPr>
      <w:bookmarkStart w:id="42" w:name="_Toc216427838"/>
      <w:r w:rsidRPr="005172B1">
        <w:rPr>
          <w:rFonts w:ascii="Times New Roman" w:hAnsi="Times New Roman" w:cs="Times New Roman"/>
          <w:b/>
          <w:bCs/>
          <w:lang w:val="bg-BG" w:bidi="en-US"/>
        </w:rPr>
        <w:t>Подготовка на заключителния доклад.</w:t>
      </w:r>
      <w:bookmarkEnd w:id="42"/>
    </w:p>
    <w:p w14:paraId="24894AB4" w14:textId="77777777" w:rsidR="00D147A1" w:rsidRPr="00233A0B" w:rsidRDefault="00D147A1" w:rsidP="005C5D13">
      <w:pPr>
        <w:spacing w:line="360" w:lineRule="auto"/>
        <w:ind w:firstLine="349"/>
        <w:jc w:val="both"/>
        <w:rPr>
          <w:rFonts w:cs="Times New Roman"/>
          <w:szCs w:val="24"/>
          <w:lang w:val="bg-BG"/>
        </w:rPr>
      </w:pPr>
      <w:r w:rsidRPr="00233A0B">
        <w:rPr>
          <w:rFonts w:cs="Times New Roman"/>
          <w:szCs w:val="24"/>
          <w:lang w:val="bg-BG" w:bidi="en-US"/>
        </w:rPr>
        <w:t xml:space="preserve">Всички тези дейности са насочени към финалния етап — подготовката на </w:t>
      </w:r>
      <w:r w:rsidRPr="00742779">
        <w:rPr>
          <w:rFonts w:cs="Times New Roman"/>
          <w:b/>
          <w:bCs/>
          <w:szCs w:val="24"/>
          <w:lang w:val="bg-BG" w:bidi="en-US"/>
        </w:rPr>
        <w:t>заключителния доклад за изпълнението на ИСИС през 2029 г.</w:t>
      </w:r>
      <w:r w:rsidRPr="00233A0B">
        <w:rPr>
          <w:rFonts w:cs="Times New Roman"/>
          <w:szCs w:val="24"/>
          <w:lang w:val="bg-BG" w:bidi="en-US"/>
        </w:rPr>
        <w:t xml:space="preserve"> Този документ ще оцени цялостното въздействие на стратегията и ще послужи като основа за следващия стратегически цикъл. </w:t>
      </w:r>
    </w:p>
    <w:p w14:paraId="4203B109" w14:textId="77777777" w:rsidR="008D2638" w:rsidRPr="00233A0B" w:rsidRDefault="008D2638" w:rsidP="005C5D13">
      <w:pPr>
        <w:spacing w:after="127" w:line="360" w:lineRule="auto"/>
        <w:ind w:right="2"/>
        <w:jc w:val="both"/>
        <w:rPr>
          <w:rFonts w:cs="Times New Roman"/>
          <w:lang w:val="bg-BG"/>
        </w:rPr>
      </w:pPr>
    </w:p>
    <w:sectPr w:rsidR="008D2638" w:rsidRPr="00233A0B" w:rsidSect="00434F36">
      <w:footerReference w:type="even" r:id="rId10"/>
      <w:footerReference w:type="default" r:id="rId11"/>
      <w:footerReference w:type="first" r:id="rId12"/>
      <w:pgSz w:w="11906" w:h="16838"/>
      <w:pgMar w:top="993" w:right="1412" w:bottom="1560" w:left="1416" w:header="708" w:footer="66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C9110" w14:textId="77777777" w:rsidR="000231A2" w:rsidRDefault="000231A2">
      <w:pPr>
        <w:spacing w:after="0" w:line="240" w:lineRule="auto"/>
      </w:pPr>
      <w:r>
        <w:separator/>
      </w:r>
    </w:p>
  </w:endnote>
  <w:endnote w:type="continuationSeparator" w:id="0">
    <w:p w14:paraId="2772986C" w14:textId="77777777" w:rsidR="000231A2" w:rsidRDefault="0002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EA4A" w14:textId="77777777" w:rsidR="007C52F2" w:rsidRDefault="007C52F2">
    <w:pPr>
      <w:spacing w:after="0"/>
      <w:ind w:right="3"/>
      <w:jc w:val="right"/>
    </w:pPr>
    <w:r>
      <w:rPr>
        <w:rFonts w:eastAsia="Times New Roman" w:cs="Times New Roman"/>
      </w:rPr>
      <w:fldChar w:fldCharType="begin"/>
    </w:r>
    <w:r>
      <w:instrText xml:space="preserve"> PAGE   \* MERGEFORMAT </w:instrText>
    </w:r>
    <w:r>
      <w:rPr>
        <w:rFonts w:eastAsia="Times New Roman" w:cs="Times New Roman"/>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BB6FC2A" w14:textId="77777777" w:rsidR="007C52F2" w:rsidRDefault="007C52F2">
    <w:pPr>
      <w:spacing w:after="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D35A" w14:textId="77777777" w:rsidR="007C52F2" w:rsidRDefault="007C52F2">
    <w:pPr>
      <w:spacing w:after="0"/>
      <w:ind w:right="3"/>
      <w:jc w:val="right"/>
    </w:pPr>
    <w:r>
      <w:rPr>
        <w:rFonts w:eastAsia="Times New Roman" w:cs="Times New Roman"/>
      </w:rPr>
      <w:fldChar w:fldCharType="begin"/>
    </w:r>
    <w:r>
      <w:instrText xml:space="preserve"> PAGE   \* MERGEFORMAT </w:instrText>
    </w:r>
    <w:r>
      <w:rPr>
        <w:rFonts w:eastAsia="Times New Roman" w:cs="Times New Roman"/>
      </w:rPr>
      <w:fldChar w:fldCharType="separate"/>
    </w:r>
    <w:r w:rsidR="00F234BF" w:rsidRPr="00F234BF">
      <w:rPr>
        <w:rFonts w:ascii="Calibri" w:eastAsia="Calibri" w:hAnsi="Calibri" w:cs="Calibri"/>
        <w:noProof/>
        <w:sz w:val="22"/>
      </w:rPr>
      <w:t>27</w:t>
    </w:r>
    <w:r>
      <w:rPr>
        <w:rFonts w:ascii="Calibri" w:eastAsia="Calibri" w:hAnsi="Calibri" w:cs="Calibri"/>
        <w:sz w:val="22"/>
      </w:rPr>
      <w:fldChar w:fldCharType="end"/>
    </w:r>
    <w:r>
      <w:rPr>
        <w:rFonts w:ascii="Calibri" w:eastAsia="Calibri" w:hAnsi="Calibri" w:cs="Calibri"/>
        <w:sz w:val="22"/>
      </w:rPr>
      <w:t xml:space="preserve"> </w:t>
    </w:r>
  </w:p>
  <w:p w14:paraId="486AFAD6" w14:textId="77777777" w:rsidR="007C52F2" w:rsidRDefault="007C52F2">
    <w:pPr>
      <w:spacing w:after="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DE61" w14:textId="77777777" w:rsidR="007C52F2" w:rsidRDefault="007C52F2">
    <w:pPr>
      <w:spacing w:after="0"/>
      <w:ind w:right="3"/>
      <w:jc w:val="right"/>
    </w:pPr>
    <w:r>
      <w:rPr>
        <w:rFonts w:eastAsia="Times New Roman" w:cs="Times New Roman"/>
      </w:rPr>
      <w:fldChar w:fldCharType="begin"/>
    </w:r>
    <w:r>
      <w:instrText xml:space="preserve"> PAGE   \* MERGEFORMAT </w:instrText>
    </w:r>
    <w:r>
      <w:rPr>
        <w:rFonts w:eastAsia="Times New Roman" w:cs="Times New Roman"/>
      </w:rPr>
      <w:fldChar w:fldCharType="separate"/>
    </w:r>
    <w:r w:rsidR="00F234BF" w:rsidRPr="00F234BF">
      <w:rPr>
        <w:rFonts w:ascii="Calibri" w:eastAsia="Calibri" w:hAnsi="Calibri" w:cs="Calibri"/>
        <w:noProof/>
        <w:sz w:val="22"/>
      </w:rPr>
      <w:t>0</w:t>
    </w:r>
    <w:r>
      <w:rPr>
        <w:rFonts w:ascii="Calibri" w:eastAsia="Calibri" w:hAnsi="Calibri" w:cs="Calibri"/>
        <w:sz w:val="22"/>
      </w:rPr>
      <w:fldChar w:fldCharType="end"/>
    </w:r>
    <w:r>
      <w:rPr>
        <w:rFonts w:ascii="Calibri" w:eastAsia="Calibri" w:hAnsi="Calibri" w:cs="Calibri"/>
        <w:sz w:val="22"/>
      </w:rPr>
      <w:t xml:space="preserve"> </w:t>
    </w:r>
  </w:p>
  <w:p w14:paraId="4386EFFA" w14:textId="77777777" w:rsidR="007C52F2" w:rsidRDefault="007C52F2">
    <w:pPr>
      <w:spacing w:after="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84E6" w14:textId="77777777" w:rsidR="000231A2" w:rsidRDefault="000231A2">
      <w:pPr>
        <w:spacing w:after="0" w:line="240" w:lineRule="auto"/>
      </w:pPr>
      <w:r>
        <w:separator/>
      </w:r>
    </w:p>
  </w:footnote>
  <w:footnote w:type="continuationSeparator" w:id="0">
    <w:p w14:paraId="0A9DB56B" w14:textId="77777777" w:rsidR="000231A2" w:rsidRDefault="00023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F28"/>
    <w:multiLevelType w:val="hybridMultilevel"/>
    <w:tmpl w:val="70120672"/>
    <w:lvl w:ilvl="0" w:tplc="0409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8820B1E"/>
    <w:multiLevelType w:val="hybridMultilevel"/>
    <w:tmpl w:val="4F90D1B6"/>
    <w:lvl w:ilvl="0" w:tplc="0409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CF75BF5"/>
    <w:multiLevelType w:val="hybridMultilevel"/>
    <w:tmpl w:val="BF329C1E"/>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0E65A3E"/>
    <w:multiLevelType w:val="multilevel"/>
    <w:tmpl w:val="999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96381"/>
    <w:multiLevelType w:val="multilevel"/>
    <w:tmpl w:val="4862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B06ED"/>
    <w:multiLevelType w:val="multilevel"/>
    <w:tmpl w:val="04090025"/>
    <w:lvl w:ilvl="0">
      <w:start w:val="1"/>
      <w:numFmt w:val="decimal"/>
      <w:pStyle w:val="Heading1"/>
      <w:lvlText w:val="%1"/>
      <w:lvlJc w:val="left"/>
      <w:pPr>
        <w:ind w:left="432" w:hanging="432"/>
      </w:pPr>
      <w:rPr>
        <w:rFonts w:hint="default"/>
        <w:b/>
        <w:bC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FCC4409"/>
    <w:multiLevelType w:val="hybridMultilevel"/>
    <w:tmpl w:val="851E4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09B497A"/>
    <w:multiLevelType w:val="hybridMultilevel"/>
    <w:tmpl w:val="5A028BA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0A66396"/>
    <w:multiLevelType w:val="multilevel"/>
    <w:tmpl w:val="901E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E5FD2"/>
    <w:multiLevelType w:val="hybridMultilevel"/>
    <w:tmpl w:val="A14432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FCC17FB"/>
    <w:multiLevelType w:val="hybridMultilevel"/>
    <w:tmpl w:val="7666C414"/>
    <w:lvl w:ilvl="0" w:tplc="0409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51770896"/>
    <w:multiLevelType w:val="hybridMultilevel"/>
    <w:tmpl w:val="E1B45DB6"/>
    <w:lvl w:ilvl="0" w:tplc="D5ACD61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1CC38B7"/>
    <w:multiLevelType w:val="hybridMultilevel"/>
    <w:tmpl w:val="23D06D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26407FB"/>
    <w:multiLevelType w:val="hybridMultilevel"/>
    <w:tmpl w:val="113C8FA6"/>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4" w15:restartNumberingAfterBreak="0">
    <w:nsid w:val="66DF33B4"/>
    <w:multiLevelType w:val="hybridMultilevel"/>
    <w:tmpl w:val="FB360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4235B"/>
    <w:multiLevelType w:val="hybridMultilevel"/>
    <w:tmpl w:val="39F495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6FF55D8B"/>
    <w:multiLevelType w:val="hybridMultilevel"/>
    <w:tmpl w:val="ABA2E3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71CB43F0"/>
    <w:multiLevelType w:val="hybridMultilevel"/>
    <w:tmpl w:val="5EC40BE4"/>
    <w:lvl w:ilvl="0" w:tplc="6862F6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120089">
    <w:abstractNumId w:val="14"/>
  </w:num>
  <w:num w:numId="2" w16cid:durableId="1802379239">
    <w:abstractNumId w:val="13"/>
  </w:num>
  <w:num w:numId="3" w16cid:durableId="999695449">
    <w:abstractNumId w:val="17"/>
  </w:num>
  <w:num w:numId="4" w16cid:durableId="1576160363">
    <w:abstractNumId w:val="3"/>
  </w:num>
  <w:num w:numId="5" w16cid:durableId="1256404376">
    <w:abstractNumId w:val="8"/>
  </w:num>
  <w:num w:numId="6" w16cid:durableId="1016662951">
    <w:abstractNumId w:val="4"/>
  </w:num>
  <w:num w:numId="7" w16cid:durableId="626399460">
    <w:abstractNumId w:val="15"/>
  </w:num>
  <w:num w:numId="8" w16cid:durableId="675695558">
    <w:abstractNumId w:val="16"/>
  </w:num>
  <w:num w:numId="9" w16cid:durableId="13072716">
    <w:abstractNumId w:val="10"/>
  </w:num>
  <w:num w:numId="10" w16cid:durableId="1463965623">
    <w:abstractNumId w:val="11"/>
  </w:num>
  <w:num w:numId="11" w16cid:durableId="606885143">
    <w:abstractNumId w:val="0"/>
  </w:num>
  <w:num w:numId="12" w16cid:durableId="345908850">
    <w:abstractNumId w:val="2"/>
  </w:num>
  <w:num w:numId="13" w16cid:durableId="168521589">
    <w:abstractNumId w:val="7"/>
  </w:num>
  <w:num w:numId="14" w16cid:durableId="847525071">
    <w:abstractNumId w:val="9"/>
  </w:num>
  <w:num w:numId="15" w16cid:durableId="850072051">
    <w:abstractNumId w:val="5"/>
  </w:num>
  <w:num w:numId="16" w16cid:durableId="1910337382">
    <w:abstractNumId w:val="6"/>
  </w:num>
  <w:num w:numId="17" w16cid:durableId="2103909218">
    <w:abstractNumId w:val="12"/>
  </w:num>
  <w:num w:numId="18" w16cid:durableId="47398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84"/>
    <w:rsid w:val="000001CD"/>
    <w:rsid w:val="000030F6"/>
    <w:rsid w:val="0000561D"/>
    <w:rsid w:val="00007C03"/>
    <w:rsid w:val="000127DD"/>
    <w:rsid w:val="00013F47"/>
    <w:rsid w:val="000165A2"/>
    <w:rsid w:val="000231A2"/>
    <w:rsid w:val="00025229"/>
    <w:rsid w:val="000263F1"/>
    <w:rsid w:val="000301DE"/>
    <w:rsid w:val="000402DB"/>
    <w:rsid w:val="00046E49"/>
    <w:rsid w:val="00053CDA"/>
    <w:rsid w:val="000705B6"/>
    <w:rsid w:val="00073332"/>
    <w:rsid w:val="00074843"/>
    <w:rsid w:val="000801BD"/>
    <w:rsid w:val="00081745"/>
    <w:rsid w:val="00081E4F"/>
    <w:rsid w:val="00085BF7"/>
    <w:rsid w:val="0009057B"/>
    <w:rsid w:val="00093512"/>
    <w:rsid w:val="000A4200"/>
    <w:rsid w:val="000A484C"/>
    <w:rsid w:val="000A564D"/>
    <w:rsid w:val="000A5B0A"/>
    <w:rsid w:val="000B41A3"/>
    <w:rsid w:val="000B6F9F"/>
    <w:rsid w:val="000C0E8F"/>
    <w:rsid w:val="000C176E"/>
    <w:rsid w:val="000C1D58"/>
    <w:rsid w:val="000C28A5"/>
    <w:rsid w:val="000D08E9"/>
    <w:rsid w:val="000D0CB9"/>
    <w:rsid w:val="000D39D5"/>
    <w:rsid w:val="000D418B"/>
    <w:rsid w:val="000D65E2"/>
    <w:rsid w:val="000D7029"/>
    <w:rsid w:val="000E11A7"/>
    <w:rsid w:val="000E711D"/>
    <w:rsid w:val="000F1ECC"/>
    <w:rsid w:val="000F4F35"/>
    <w:rsid w:val="000F5A7F"/>
    <w:rsid w:val="00106107"/>
    <w:rsid w:val="00116A0D"/>
    <w:rsid w:val="00116F26"/>
    <w:rsid w:val="00120E8C"/>
    <w:rsid w:val="00124BF1"/>
    <w:rsid w:val="00126620"/>
    <w:rsid w:val="00132B1F"/>
    <w:rsid w:val="00140110"/>
    <w:rsid w:val="00142C06"/>
    <w:rsid w:val="00143E28"/>
    <w:rsid w:val="00146761"/>
    <w:rsid w:val="00146D8A"/>
    <w:rsid w:val="00151925"/>
    <w:rsid w:val="001525CE"/>
    <w:rsid w:val="00157B0F"/>
    <w:rsid w:val="00160B07"/>
    <w:rsid w:val="00180705"/>
    <w:rsid w:val="00180CB6"/>
    <w:rsid w:val="0018275C"/>
    <w:rsid w:val="001A4640"/>
    <w:rsid w:val="001A5392"/>
    <w:rsid w:val="001A7656"/>
    <w:rsid w:val="001B0F47"/>
    <w:rsid w:val="001B1AA1"/>
    <w:rsid w:val="001B5C95"/>
    <w:rsid w:val="001B614B"/>
    <w:rsid w:val="001C0D6C"/>
    <w:rsid w:val="001C4173"/>
    <w:rsid w:val="001C4ACA"/>
    <w:rsid w:val="001C5445"/>
    <w:rsid w:val="001D58F4"/>
    <w:rsid w:val="001D7D87"/>
    <w:rsid w:val="001E05C4"/>
    <w:rsid w:val="001E05E7"/>
    <w:rsid w:val="001E4564"/>
    <w:rsid w:val="001E6B12"/>
    <w:rsid w:val="001E745D"/>
    <w:rsid w:val="001E791E"/>
    <w:rsid w:val="001E7F4C"/>
    <w:rsid w:val="001F06B5"/>
    <w:rsid w:val="001F0C23"/>
    <w:rsid w:val="001F2FB0"/>
    <w:rsid w:val="001F5C22"/>
    <w:rsid w:val="00200C67"/>
    <w:rsid w:val="0021616C"/>
    <w:rsid w:val="00216995"/>
    <w:rsid w:val="00216A83"/>
    <w:rsid w:val="00216CA0"/>
    <w:rsid w:val="00221E33"/>
    <w:rsid w:val="00222BC0"/>
    <w:rsid w:val="002300BA"/>
    <w:rsid w:val="00232B7E"/>
    <w:rsid w:val="00233A0B"/>
    <w:rsid w:val="00237A25"/>
    <w:rsid w:val="002421CA"/>
    <w:rsid w:val="00243E74"/>
    <w:rsid w:val="002456FA"/>
    <w:rsid w:val="00245763"/>
    <w:rsid w:val="0024710E"/>
    <w:rsid w:val="0025693A"/>
    <w:rsid w:val="002634D2"/>
    <w:rsid w:val="00265DE2"/>
    <w:rsid w:val="00270DDD"/>
    <w:rsid w:val="002735F4"/>
    <w:rsid w:val="00273664"/>
    <w:rsid w:val="00275300"/>
    <w:rsid w:val="00275BA9"/>
    <w:rsid w:val="00276291"/>
    <w:rsid w:val="00276F30"/>
    <w:rsid w:val="00277B24"/>
    <w:rsid w:val="00280D28"/>
    <w:rsid w:val="00281AB4"/>
    <w:rsid w:val="00281E6B"/>
    <w:rsid w:val="002829E4"/>
    <w:rsid w:val="00284A34"/>
    <w:rsid w:val="00294D99"/>
    <w:rsid w:val="002B0E30"/>
    <w:rsid w:val="002B3D42"/>
    <w:rsid w:val="002B4807"/>
    <w:rsid w:val="002C2755"/>
    <w:rsid w:val="002C4E8F"/>
    <w:rsid w:val="002C5561"/>
    <w:rsid w:val="002C618A"/>
    <w:rsid w:val="002D022D"/>
    <w:rsid w:val="002D2948"/>
    <w:rsid w:val="002D51FE"/>
    <w:rsid w:val="002D6398"/>
    <w:rsid w:val="002E30F2"/>
    <w:rsid w:val="002E555B"/>
    <w:rsid w:val="002F2BDE"/>
    <w:rsid w:val="002F4BBC"/>
    <w:rsid w:val="002F5566"/>
    <w:rsid w:val="00311B3C"/>
    <w:rsid w:val="003159D9"/>
    <w:rsid w:val="0031683F"/>
    <w:rsid w:val="003174F6"/>
    <w:rsid w:val="003302E9"/>
    <w:rsid w:val="00333170"/>
    <w:rsid w:val="00344B02"/>
    <w:rsid w:val="003537F7"/>
    <w:rsid w:val="0035737A"/>
    <w:rsid w:val="00361D16"/>
    <w:rsid w:val="0036408E"/>
    <w:rsid w:val="00372295"/>
    <w:rsid w:val="00376594"/>
    <w:rsid w:val="00381B41"/>
    <w:rsid w:val="003840F2"/>
    <w:rsid w:val="00392AE3"/>
    <w:rsid w:val="00396C05"/>
    <w:rsid w:val="003A1F9B"/>
    <w:rsid w:val="003A2B0E"/>
    <w:rsid w:val="003A5C04"/>
    <w:rsid w:val="003A610A"/>
    <w:rsid w:val="003A7427"/>
    <w:rsid w:val="003B70B4"/>
    <w:rsid w:val="003B7539"/>
    <w:rsid w:val="003B7936"/>
    <w:rsid w:val="003C092F"/>
    <w:rsid w:val="003C09E8"/>
    <w:rsid w:val="003D0F5A"/>
    <w:rsid w:val="003D7043"/>
    <w:rsid w:val="003E3388"/>
    <w:rsid w:val="003E4246"/>
    <w:rsid w:val="003E5F59"/>
    <w:rsid w:val="003F0B10"/>
    <w:rsid w:val="003F0C4C"/>
    <w:rsid w:val="003F773B"/>
    <w:rsid w:val="003F7DB0"/>
    <w:rsid w:val="00400630"/>
    <w:rsid w:val="00401AE7"/>
    <w:rsid w:val="0040263A"/>
    <w:rsid w:val="0040584D"/>
    <w:rsid w:val="004152EA"/>
    <w:rsid w:val="0042402B"/>
    <w:rsid w:val="00425D02"/>
    <w:rsid w:val="00426FA5"/>
    <w:rsid w:val="0043080E"/>
    <w:rsid w:val="00432F44"/>
    <w:rsid w:val="00434F36"/>
    <w:rsid w:val="0043772D"/>
    <w:rsid w:val="00437925"/>
    <w:rsid w:val="0044368B"/>
    <w:rsid w:val="0044376D"/>
    <w:rsid w:val="00446EB8"/>
    <w:rsid w:val="00451CE9"/>
    <w:rsid w:val="0046769B"/>
    <w:rsid w:val="00474654"/>
    <w:rsid w:val="00477734"/>
    <w:rsid w:val="004921D0"/>
    <w:rsid w:val="004A06D5"/>
    <w:rsid w:val="004A69AB"/>
    <w:rsid w:val="004B4581"/>
    <w:rsid w:val="004B6F26"/>
    <w:rsid w:val="004C1F5B"/>
    <w:rsid w:val="004C41FA"/>
    <w:rsid w:val="004C57CD"/>
    <w:rsid w:val="004D1D9A"/>
    <w:rsid w:val="004D5A83"/>
    <w:rsid w:val="004E3064"/>
    <w:rsid w:val="004E5E02"/>
    <w:rsid w:val="004E5F23"/>
    <w:rsid w:val="004E6541"/>
    <w:rsid w:val="004E6E22"/>
    <w:rsid w:val="004F45AE"/>
    <w:rsid w:val="005016A5"/>
    <w:rsid w:val="00503C11"/>
    <w:rsid w:val="005061DE"/>
    <w:rsid w:val="005167A4"/>
    <w:rsid w:val="005172B1"/>
    <w:rsid w:val="00517434"/>
    <w:rsid w:val="0052120F"/>
    <w:rsid w:val="005300EB"/>
    <w:rsid w:val="0053330D"/>
    <w:rsid w:val="00535D96"/>
    <w:rsid w:val="00536052"/>
    <w:rsid w:val="005367F8"/>
    <w:rsid w:val="0054323D"/>
    <w:rsid w:val="00544FA7"/>
    <w:rsid w:val="00546F52"/>
    <w:rsid w:val="0054799E"/>
    <w:rsid w:val="005502C6"/>
    <w:rsid w:val="00551366"/>
    <w:rsid w:val="005523CF"/>
    <w:rsid w:val="00553368"/>
    <w:rsid w:val="00553942"/>
    <w:rsid w:val="00555262"/>
    <w:rsid w:val="0055643F"/>
    <w:rsid w:val="00557BC5"/>
    <w:rsid w:val="00564D98"/>
    <w:rsid w:val="005704F4"/>
    <w:rsid w:val="00584066"/>
    <w:rsid w:val="00590C39"/>
    <w:rsid w:val="00596CB2"/>
    <w:rsid w:val="005A328E"/>
    <w:rsid w:val="005A334B"/>
    <w:rsid w:val="005A5750"/>
    <w:rsid w:val="005A74DA"/>
    <w:rsid w:val="005B0B10"/>
    <w:rsid w:val="005B5943"/>
    <w:rsid w:val="005B67D7"/>
    <w:rsid w:val="005C5D13"/>
    <w:rsid w:val="005D0204"/>
    <w:rsid w:val="005D196E"/>
    <w:rsid w:val="005D2237"/>
    <w:rsid w:val="005D2EBB"/>
    <w:rsid w:val="005D41C6"/>
    <w:rsid w:val="005E764F"/>
    <w:rsid w:val="005F4824"/>
    <w:rsid w:val="005F4C9B"/>
    <w:rsid w:val="005F6B8C"/>
    <w:rsid w:val="0060346F"/>
    <w:rsid w:val="00605846"/>
    <w:rsid w:val="0060725D"/>
    <w:rsid w:val="00613ACE"/>
    <w:rsid w:val="0061584B"/>
    <w:rsid w:val="00622BA8"/>
    <w:rsid w:val="00625467"/>
    <w:rsid w:val="00625A58"/>
    <w:rsid w:val="00626923"/>
    <w:rsid w:val="00626D12"/>
    <w:rsid w:val="00631B98"/>
    <w:rsid w:val="006326AB"/>
    <w:rsid w:val="00633054"/>
    <w:rsid w:val="00644DEB"/>
    <w:rsid w:val="006462F0"/>
    <w:rsid w:val="00662949"/>
    <w:rsid w:val="00663D53"/>
    <w:rsid w:val="00665441"/>
    <w:rsid w:val="0068320C"/>
    <w:rsid w:val="006940A6"/>
    <w:rsid w:val="00694C52"/>
    <w:rsid w:val="00696C4F"/>
    <w:rsid w:val="006B0A40"/>
    <w:rsid w:val="006B0EFB"/>
    <w:rsid w:val="006B3E2E"/>
    <w:rsid w:val="006B5182"/>
    <w:rsid w:val="006B6B27"/>
    <w:rsid w:val="006C14AC"/>
    <w:rsid w:val="006C4620"/>
    <w:rsid w:val="006C4BB3"/>
    <w:rsid w:val="006C79BA"/>
    <w:rsid w:val="006D1CDE"/>
    <w:rsid w:val="006D49AE"/>
    <w:rsid w:val="006D506F"/>
    <w:rsid w:val="006E285F"/>
    <w:rsid w:val="006F4D7D"/>
    <w:rsid w:val="00703B07"/>
    <w:rsid w:val="007059BA"/>
    <w:rsid w:val="00706DCE"/>
    <w:rsid w:val="00710F3A"/>
    <w:rsid w:val="0071123C"/>
    <w:rsid w:val="0071150B"/>
    <w:rsid w:val="007127CA"/>
    <w:rsid w:val="0071440F"/>
    <w:rsid w:val="0071442B"/>
    <w:rsid w:val="007149A8"/>
    <w:rsid w:val="00715F30"/>
    <w:rsid w:val="00717368"/>
    <w:rsid w:val="00717945"/>
    <w:rsid w:val="007236A3"/>
    <w:rsid w:val="00723C4E"/>
    <w:rsid w:val="00732B2F"/>
    <w:rsid w:val="007361D2"/>
    <w:rsid w:val="00740B59"/>
    <w:rsid w:val="00742779"/>
    <w:rsid w:val="00745855"/>
    <w:rsid w:val="0075079F"/>
    <w:rsid w:val="0076007A"/>
    <w:rsid w:val="00765306"/>
    <w:rsid w:val="00766564"/>
    <w:rsid w:val="00772B0F"/>
    <w:rsid w:val="00774D93"/>
    <w:rsid w:val="00783FB2"/>
    <w:rsid w:val="00784A17"/>
    <w:rsid w:val="007864AD"/>
    <w:rsid w:val="00792BEB"/>
    <w:rsid w:val="00793765"/>
    <w:rsid w:val="0079760E"/>
    <w:rsid w:val="007B06F6"/>
    <w:rsid w:val="007B13BA"/>
    <w:rsid w:val="007B40CD"/>
    <w:rsid w:val="007C1029"/>
    <w:rsid w:val="007C1AA1"/>
    <w:rsid w:val="007C52F2"/>
    <w:rsid w:val="007C78AC"/>
    <w:rsid w:val="007D1666"/>
    <w:rsid w:val="007D16A0"/>
    <w:rsid w:val="007D6C54"/>
    <w:rsid w:val="007E13C7"/>
    <w:rsid w:val="007E5AEC"/>
    <w:rsid w:val="007E5EF2"/>
    <w:rsid w:val="007F4F39"/>
    <w:rsid w:val="008027C2"/>
    <w:rsid w:val="0081016C"/>
    <w:rsid w:val="00811399"/>
    <w:rsid w:val="00812A24"/>
    <w:rsid w:val="00823CA8"/>
    <w:rsid w:val="00824F11"/>
    <w:rsid w:val="00826576"/>
    <w:rsid w:val="00832891"/>
    <w:rsid w:val="00837223"/>
    <w:rsid w:val="0084101A"/>
    <w:rsid w:val="0084127E"/>
    <w:rsid w:val="00842063"/>
    <w:rsid w:val="00842A9E"/>
    <w:rsid w:val="00843045"/>
    <w:rsid w:val="008431C4"/>
    <w:rsid w:val="00845EC6"/>
    <w:rsid w:val="00851278"/>
    <w:rsid w:val="00851A42"/>
    <w:rsid w:val="00856573"/>
    <w:rsid w:val="00860713"/>
    <w:rsid w:val="0086197D"/>
    <w:rsid w:val="00864FF2"/>
    <w:rsid w:val="00872229"/>
    <w:rsid w:val="008733DE"/>
    <w:rsid w:val="008736E4"/>
    <w:rsid w:val="0087736B"/>
    <w:rsid w:val="00877ED8"/>
    <w:rsid w:val="008865B5"/>
    <w:rsid w:val="00890D28"/>
    <w:rsid w:val="00893D55"/>
    <w:rsid w:val="00894B69"/>
    <w:rsid w:val="00897190"/>
    <w:rsid w:val="008A2E23"/>
    <w:rsid w:val="008A6604"/>
    <w:rsid w:val="008B4DBE"/>
    <w:rsid w:val="008B5FB2"/>
    <w:rsid w:val="008B7C19"/>
    <w:rsid w:val="008C381A"/>
    <w:rsid w:val="008C606F"/>
    <w:rsid w:val="008D19BC"/>
    <w:rsid w:val="008D2638"/>
    <w:rsid w:val="008D60DA"/>
    <w:rsid w:val="008E4719"/>
    <w:rsid w:val="008E646D"/>
    <w:rsid w:val="008F006D"/>
    <w:rsid w:val="008F03AC"/>
    <w:rsid w:val="008F24C9"/>
    <w:rsid w:val="008F4848"/>
    <w:rsid w:val="008F5017"/>
    <w:rsid w:val="008F5E32"/>
    <w:rsid w:val="0090047F"/>
    <w:rsid w:val="00913972"/>
    <w:rsid w:val="00920867"/>
    <w:rsid w:val="009227C0"/>
    <w:rsid w:val="00925F99"/>
    <w:rsid w:val="00926C5E"/>
    <w:rsid w:val="00927AD3"/>
    <w:rsid w:val="0093494E"/>
    <w:rsid w:val="00934955"/>
    <w:rsid w:val="00936ADF"/>
    <w:rsid w:val="009424A3"/>
    <w:rsid w:val="00942606"/>
    <w:rsid w:val="009435C8"/>
    <w:rsid w:val="00943B60"/>
    <w:rsid w:val="00946E32"/>
    <w:rsid w:val="009476A7"/>
    <w:rsid w:val="009478B6"/>
    <w:rsid w:val="00947B33"/>
    <w:rsid w:val="00952438"/>
    <w:rsid w:val="00952D51"/>
    <w:rsid w:val="009538EE"/>
    <w:rsid w:val="00954043"/>
    <w:rsid w:val="009543AF"/>
    <w:rsid w:val="0095669A"/>
    <w:rsid w:val="0096004E"/>
    <w:rsid w:val="00964C72"/>
    <w:rsid w:val="00973F74"/>
    <w:rsid w:val="00977B0E"/>
    <w:rsid w:val="00980094"/>
    <w:rsid w:val="009821FE"/>
    <w:rsid w:val="00982372"/>
    <w:rsid w:val="00982D07"/>
    <w:rsid w:val="009841E4"/>
    <w:rsid w:val="00987EB9"/>
    <w:rsid w:val="00990ECF"/>
    <w:rsid w:val="00992DE0"/>
    <w:rsid w:val="009A09A2"/>
    <w:rsid w:val="009A0C59"/>
    <w:rsid w:val="009A22C5"/>
    <w:rsid w:val="009A6F3D"/>
    <w:rsid w:val="009B13C5"/>
    <w:rsid w:val="009C431D"/>
    <w:rsid w:val="009C4F01"/>
    <w:rsid w:val="009C746E"/>
    <w:rsid w:val="009D7696"/>
    <w:rsid w:val="009E42F5"/>
    <w:rsid w:val="009E44CE"/>
    <w:rsid w:val="009E49CD"/>
    <w:rsid w:val="009E728D"/>
    <w:rsid w:val="009F1DBF"/>
    <w:rsid w:val="00A0081B"/>
    <w:rsid w:val="00A056D1"/>
    <w:rsid w:val="00A07F3A"/>
    <w:rsid w:val="00A1081A"/>
    <w:rsid w:val="00A125D9"/>
    <w:rsid w:val="00A126AA"/>
    <w:rsid w:val="00A2416B"/>
    <w:rsid w:val="00A24BEB"/>
    <w:rsid w:val="00A24DDF"/>
    <w:rsid w:val="00A30770"/>
    <w:rsid w:val="00A4192D"/>
    <w:rsid w:val="00A42E1A"/>
    <w:rsid w:val="00A44AB1"/>
    <w:rsid w:val="00A47E28"/>
    <w:rsid w:val="00A50BE5"/>
    <w:rsid w:val="00A512F0"/>
    <w:rsid w:val="00A53D80"/>
    <w:rsid w:val="00A5621C"/>
    <w:rsid w:val="00A564F7"/>
    <w:rsid w:val="00A623F6"/>
    <w:rsid w:val="00A75DDD"/>
    <w:rsid w:val="00A76333"/>
    <w:rsid w:val="00A8188D"/>
    <w:rsid w:val="00A86BB3"/>
    <w:rsid w:val="00A90C4E"/>
    <w:rsid w:val="00A962FF"/>
    <w:rsid w:val="00AA17ED"/>
    <w:rsid w:val="00AA56AD"/>
    <w:rsid w:val="00AA58C3"/>
    <w:rsid w:val="00AA6B3F"/>
    <w:rsid w:val="00AB0029"/>
    <w:rsid w:val="00AB2F6A"/>
    <w:rsid w:val="00AB32C8"/>
    <w:rsid w:val="00AB36C7"/>
    <w:rsid w:val="00AB4E9F"/>
    <w:rsid w:val="00AD212A"/>
    <w:rsid w:val="00AD5417"/>
    <w:rsid w:val="00AE19E9"/>
    <w:rsid w:val="00AE34E2"/>
    <w:rsid w:val="00AE3F98"/>
    <w:rsid w:val="00AE4F4A"/>
    <w:rsid w:val="00AE7840"/>
    <w:rsid w:val="00AF0099"/>
    <w:rsid w:val="00AF3D0A"/>
    <w:rsid w:val="00AF54C4"/>
    <w:rsid w:val="00AF55D0"/>
    <w:rsid w:val="00AF5B3E"/>
    <w:rsid w:val="00AF6522"/>
    <w:rsid w:val="00B008F4"/>
    <w:rsid w:val="00B018DA"/>
    <w:rsid w:val="00B025F1"/>
    <w:rsid w:val="00B06A9D"/>
    <w:rsid w:val="00B074BE"/>
    <w:rsid w:val="00B113C4"/>
    <w:rsid w:val="00B135BB"/>
    <w:rsid w:val="00B153E6"/>
    <w:rsid w:val="00B162FB"/>
    <w:rsid w:val="00B166E0"/>
    <w:rsid w:val="00B229C8"/>
    <w:rsid w:val="00B2490E"/>
    <w:rsid w:val="00B24F36"/>
    <w:rsid w:val="00B251E8"/>
    <w:rsid w:val="00B37850"/>
    <w:rsid w:val="00B425DA"/>
    <w:rsid w:val="00B4271C"/>
    <w:rsid w:val="00B43C67"/>
    <w:rsid w:val="00B4683C"/>
    <w:rsid w:val="00B52E81"/>
    <w:rsid w:val="00B52FAD"/>
    <w:rsid w:val="00B54C53"/>
    <w:rsid w:val="00B60E2C"/>
    <w:rsid w:val="00B610AB"/>
    <w:rsid w:val="00B63F5D"/>
    <w:rsid w:val="00B678CC"/>
    <w:rsid w:val="00B71D99"/>
    <w:rsid w:val="00B73849"/>
    <w:rsid w:val="00B74C22"/>
    <w:rsid w:val="00B773CB"/>
    <w:rsid w:val="00B77484"/>
    <w:rsid w:val="00B7780D"/>
    <w:rsid w:val="00B80A47"/>
    <w:rsid w:val="00B80CB5"/>
    <w:rsid w:val="00B836FA"/>
    <w:rsid w:val="00B97E3C"/>
    <w:rsid w:val="00BB1EA3"/>
    <w:rsid w:val="00BB670F"/>
    <w:rsid w:val="00BC0E31"/>
    <w:rsid w:val="00BC13B3"/>
    <w:rsid w:val="00BC628C"/>
    <w:rsid w:val="00BC7749"/>
    <w:rsid w:val="00BE0ED6"/>
    <w:rsid w:val="00BE17E6"/>
    <w:rsid w:val="00BE1BA2"/>
    <w:rsid w:val="00BF5122"/>
    <w:rsid w:val="00BF778B"/>
    <w:rsid w:val="00C03295"/>
    <w:rsid w:val="00C034B2"/>
    <w:rsid w:val="00C040E3"/>
    <w:rsid w:val="00C04725"/>
    <w:rsid w:val="00C157E0"/>
    <w:rsid w:val="00C27B62"/>
    <w:rsid w:val="00C34D04"/>
    <w:rsid w:val="00C358AF"/>
    <w:rsid w:val="00C41C48"/>
    <w:rsid w:val="00C45E85"/>
    <w:rsid w:val="00C504E4"/>
    <w:rsid w:val="00C51E3C"/>
    <w:rsid w:val="00C54647"/>
    <w:rsid w:val="00C55515"/>
    <w:rsid w:val="00C614CE"/>
    <w:rsid w:val="00C70A9E"/>
    <w:rsid w:val="00C73CDC"/>
    <w:rsid w:val="00C75FAB"/>
    <w:rsid w:val="00C827EA"/>
    <w:rsid w:val="00C84E46"/>
    <w:rsid w:val="00C90295"/>
    <w:rsid w:val="00C91093"/>
    <w:rsid w:val="00C95A1F"/>
    <w:rsid w:val="00C96E00"/>
    <w:rsid w:val="00C97AF5"/>
    <w:rsid w:val="00C97BDF"/>
    <w:rsid w:val="00CA0FDA"/>
    <w:rsid w:val="00CA153A"/>
    <w:rsid w:val="00CA1D1C"/>
    <w:rsid w:val="00CA41AF"/>
    <w:rsid w:val="00CA6953"/>
    <w:rsid w:val="00CB2EA0"/>
    <w:rsid w:val="00CC03AF"/>
    <w:rsid w:val="00CC0E0C"/>
    <w:rsid w:val="00CC3002"/>
    <w:rsid w:val="00CC5DF0"/>
    <w:rsid w:val="00CC7064"/>
    <w:rsid w:val="00CD14F2"/>
    <w:rsid w:val="00CD7F0A"/>
    <w:rsid w:val="00CE0323"/>
    <w:rsid w:val="00CE2809"/>
    <w:rsid w:val="00CE2A73"/>
    <w:rsid w:val="00CE3CE8"/>
    <w:rsid w:val="00CE3D71"/>
    <w:rsid w:val="00CF4669"/>
    <w:rsid w:val="00CF70EB"/>
    <w:rsid w:val="00CF72EA"/>
    <w:rsid w:val="00CF7D41"/>
    <w:rsid w:val="00D0608C"/>
    <w:rsid w:val="00D1425E"/>
    <w:rsid w:val="00D147A1"/>
    <w:rsid w:val="00D1756F"/>
    <w:rsid w:val="00D248A8"/>
    <w:rsid w:val="00D27F6D"/>
    <w:rsid w:val="00D33D57"/>
    <w:rsid w:val="00D51381"/>
    <w:rsid w:val="00D52B4C"/>
    <w:rsid w:val="00D9111A"/>
    <w:rsid w:val="00D95BFE"/>
    <w:rsid w:val="00D96867"/>
    <w:rsid w:val="00DA16F9"/>
    <w:rsid w:val="00DA179A"/>
    <w:rsid w:val="00DA4198"/>
    <w:rsid w:val="00DA7893"/>
    <w:rsid w:val="00DB07CB"/>
    <w:rsid w:val="00DB51DB"/>
    <w:rsid w:val="00DC2C57"/>
    <w:rsid w:val="00DC2DA2"/>
    <w:rsid w:val="00DC3031"/>
    <w:rsid w:val="00DC4BCE"/>
    <w:rsid w:val="00DC6B7C"/>
    <w:rsid w:val="00DD1D42"/>
    <w:rsid w:val="00DD45C6"/>
    <w:rsid w:val="00DD5128"/>
    <w:rsid w:val="00DD6B68"/>
    <w:rsid w:val="00DE27F7"/>
    <w:rsid w:val="00DF1128"/>
    <w:rsid w:val="00DF1291"/>
    <w:rsid w:val="00DF5AC7"/>
    <w:rsid w:val="00DF6C84"/>
    <w:rsid w:val="00E01F24"/>
    <w:rsid w:val="00E03D97"/>
    <w:rsid w:val="00E12D4E"/>
    <w:rsid w:val="00E14B37"/>
    <w:rsid w:val="00E14B82"/>
    <w:rsid w:val="00E17A27"/>
    <w:rsid w:val="00E21966"/>
    <w:rsid w:val="00E21CBB"/>
    <w:rsid w:val="00E2360D"/>
    <w:rsid w:val="00E27672"/>
    <w:rsid w:val="00E321DC"/>
    <w:rsid w:val="00E34169"/>
    <w:rsid w:val="00E353E1"/>
    <w:rsid w:val="00E3689A"/>
    <w:rsid w:val="00E41DCC"/>
    <w:rsid w:val="00E422C8"/>
    <w:rsid w:val="00E43F21"/>
    <w:rsid w:val="00E45736"/>
    <w:rsid w:val="00E4677C"/>
    <w:rsid w:val="00E46F3C"/>
    <w:rsid w:val="00E50971"/>
    <w:rsid w:val="00E52CE0"/>
    <w:rsid w:val="00E55021"/>
    <w:rsid w:val="00E55DB1"/>
    <w:rsid w:val="00E60959"/>
    <w:rsid w:val="00E630AB"/>
    <w:rsid w:val="00E66F2E"/>
    <w:rsid w:val="00E716D1"/>
    <w:rsid w:val="00E72772"/>
    <w:rsid w:val="00E743DA"/>
    <w:rsid w:val="00E8138B"/>
    <w:rsid w:val="00E82C7A"/>
    <w:rsid w:val="00E86A9C"/>
    <w:rsid w:val="00E879AD"/>
    <w:rsid w:val="00E917BD"/>
    <w:rsid w:val="00E92DC2"/>
    <w:rsid w:val="00E93AF3"/>
    <w:rsid w:val="00E94509"/>
    <w:rsid w:val="00E94798"/>
    <w:rsid w:val="00EA4D30"/>
    <w:rsid w:val="00EA6AEE"/>
    <w:rsid w:val="00EA6BCB"/>
    <w:rsid w:val="00EA711E"/>
    <w:rsid w:val="00EA7F2D"/>
    <w:rsid w:val="00EB4F7C"/>
    <w:rsid w:val="00EB7B1E"/>
    <w:rsid w:val="00ED01B1"/>
    <w:rsid w:val="00ED0C85"/>
    <w:rsid w:val="00ED259F"/>
    <w:rsid w:val="00ED73B4"/>
    <w:rsid w:val="00ED7A26"/>
    <w:rsid w:val="00F040B3"/>
    <w:rsid w:val="00F06A05"/>
    <w:rsid w:val="00F14FDD"/>
    <w:rsid w:val="00F234BF"/>
    <w:rsid w:val="00F24383"/>
    <w:rsid w:val="00F324A6"/>
    <w:rsid w:val="00F33FFE"/>
    <w:rsid w:val="00F55486"/>
    <w:rsid w:val="00F60D7E"/>
    <w:rsid w:val="00F67FA7"/>
    <w:rsid w:val="00F72EB4"/>
    <w:rsid w:val="00F75BF6"/>
    <w:rsid w:val="00F76850"/>
    <w:rsid w:val="00F77293"/>
    <w:rsid w:val="00F82BE0"/>
    <w:rsid w:val="00F86740"/>
    <w:rsid w:val="00F87170"/>
    <w:rsid w:val="00F90426"/>
    <w:rsid w:val="00F90978"/>
    <w:rsid w:val="00F92AC1"/>
    <w:rsid w:val="00F93B00"/>
    <w:rsid w:val="00FA3FA6"/>
    <w:rsid w:val="00FA7E0B"/>
    <w:rsid w:val="00FB2489"/>
    <w:rsid w:val="00FB624D"/>
    <w:rsid w:val="00FC2896"/>
    <w:rsid w:val="00FC3C3C"/>
    <w:rsid w:val="00FC4E2A"/>
    <w:rsid w:val="00FD2FBE"/>
    <w:rsid w:val="00FD53F6"/>
    <w:rsid w:val="00FE37CF"/>
    <w:rsid w:val="00FE3E5C"/>
    <w:rsid w:val="00FE664D"/>
    <w:rsid w:val="00FE6692"/>
    <w:rsid w:val="00FF0986"/>
    <w:rsid w:val="00FF4943"/>
    <w:rsid w:val="00FF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EF6E"/>
  <w15:chartTrackingRefBased/>
  <w15:docId w15:val="{D65F9D77-693A-46A3-9549-90423FD9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6E0"/>
    <w:pPr>
      <w:keepNext/>
      <w:keepLines/>
      <w:numPr>
        <w:numId w:val="1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66E0"/>
    <w:pPr>
      <w:keepNext/>
      <w:keepLines/>
      <w:numPr>
        <w:ilvl w:val="1"/>
        <w:numId w:val="1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66E0"/>
    <w:pPr>
      <w:keepNext/>
      <w:keepLines/>
      <w:numPr>
        <w:ilvl w:val="2"/>
        <w:numId w:val="15"/>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B166E0"/>
    <w:pPr>
      <w:keepNext/>
      <w:keepLines/>
      <w:numPr>
        <w:ilvl w:val="3"/>
        <w:numId w:val="1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166E0"/>
    <w:pPr>
      <w:keepNext/>
      <w:keepLines/>
      <w:numPr>
        <w:ilvl w:val="4"/>
        <w:numId w:val="1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166E0"/>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166E0"/>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166E0"/>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66E0"/>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A26"/>
    <w:pPr>
      <w:ind w:left="720"/>
      <w:contextualSpacing/>
    </w:pPr>
  </w:style>
  <w:style w:type="character" w:styleId="Hyperlink">
    <w:name w:val="Hyperlink"/>
    <w:basedOn w:val="DefaultParagraphFont"/>
    <w:uiPriority w:val="99"/>
    <w:unhideWhenUsed/>
    <w:rsid w:val="004C1F5B"/>
    <w:rPr>
      <w:color w:val="0563C1" w:themeColor="hyperlink"/>
      <w:u w:val="single"/>
    </w:rPr>
  </w:style>
  <w:style w:type="character" w:styleId="CommentReference">
    <w:name w:val="annotation reference"/>
    <w:basedOn w:val="DefaultParagraphFont"/>
    <w:uiPriority w:val="99"/>
    <w:semiHidden/>
    <w:unhideWhenUsed/>
    <w:rsid w:val="00E55021"/>
    <w:rPr>
      <w:sz w:val="16"/>
      <w:szCs w:val="16"/>
    </w:rPr>
  </w:style>
  <w:style w:type="paragraph" w:styleId="CommentText">
    <w:name w:val="annotation text"/>
    <w:basedOn w:val="Normal"/>
    <w:link w:val="CommentTextChar"/>
    <w:uiPriority w:val="99"/>
    <w:unhideWhenUsed/>
    <w:rsid w:val="00E55021"/>
    <w:pPr>
      <w:spacing w:line="240" w:lineRule="auto"/>
    </w:pPr>
    <w:rPr>
      <w:sz w:val="20"/>
      <w:szCs w:val="20"/>
    </w:rPr>
  </w:style>
  <w:style w:type="character" w:customStyle="1" w:styleId="CommentTextChar">
    <w:name w:val="Comment Text Char"/>
    <w:basedOn w:val="DefaultParagraphFont"/>
    <w:link w:val="CommentText"/>
    <w:uiPriority w:val="99"/>
    <w:rsid w:val="00E55021"/>
    <w:rPr>
      <w:sz w:val="20"/>
      <w:szCs w:val="20"/>
    </w:rPr>
  </w:style>
  <w:style w:type="paragraph" w:styleId="CommentSubject">
    <w:name w:val="annotation subject"/>
    <w:basedOn w:val="CommentText"/>
    <w:next w:val="CommentText"/>
    <w:link w:val="CommentSubjectChar"/>
    <w:uiPriority w:val="99"/>
    <w:semiHidden/>
    <w:unhideWhenUsed/>
    <w:rsid w:val="00E55021"/>
    <w:rPr>
      <w:b/>
      <w:bCs/>
    </w:rPr>
  </w:style>
  <w:style w:type="character" w:customStyle="1" w:styleId="CommentSubjectChar">
    <w:name w:val="Comment Subject Char"/>
    <w:basedOn w:val="CommentTextChar"/>
    <w:link w:val="CommentSubject"/>
    <w:uiPriority w:val="99"/>
    <w:semiHidden/>
    <w:rsid w:val="00E55021"/>
    <w:rPr>
      <w:b/>
      <w:bCs/>
      <w:sz w:val="20"/>
      <w:szCs w:val="20"/>
    </w:rPr>
  </w:style>
  <w:style w:type="paragraph" w:styleId="Revision">
    <w:name w:val="Revision"/>
    <w:hidden/>
    <w:uiPriority w:val="99"/>
    <w:semiHidden/>
    <w:rsid w:val="00BC7749"/>
    <w:pPr>
      <w:spacing w:after="0" w:line="240" w:lineRule="auto"/>
    </w:pPr>
  </w:style>
  <w:style w:type="character" w:customStyle="1" w:styleId="UnresolvedMention1">
    <w:name w:val="Unresolved Mention1"/>
    <w:basedOn w:val="DefaultParagraphFont"/>
    <w:uiPriority w:val="99"/>
    <w:semiHidden/>
    <w:unhideWhenUsed/>
    <w:rsid w:val="0054323D"/>
    <w:rPr>
      <w:color w:val="605E5C"/>
      <w:shd w:val="clear" w:color="auto" w:fill="E1DFDD"/>
    </w:rPr>
  </w:style>
  <w:style w:type="table" w:styleId="TableGrid">
    <w:name w:val="Table Grid"/>
    <w:basedOn w:val="TableNormal"/>
    <w:uiPriority w:val="39"/>
    <w:rsid w:val="00841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4127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B166E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166E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66E0"/>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B166E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166E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166E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166E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166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66E0"/>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34F36"/>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34F36"/>
    <w:rPr>
      <w:rFonts w:asciiTheme="minorHAnsi" w:eastAsiaTheme="minorEastAsia" w:hAnsiTheme="minorHAnsi"/>
      <w:sz w:val="22"/>
    </w:rPr>
  </w:style>
  <w:style w:type="paragraph" w:styleId="TOCHeading">
    <w:name w:val="TOC Heading"/>
    <w:basedOn w:val="Heading1"/>
    <w:next w:val="Normal"/>
    <w:uiPriority w:val="39"/>
    <w:unhideWhenUsed/>
    <w:qFormat/>
    <w:rsid w:val="009A22C5"/>
    <w:pPr>
      <w:numPr>
        <w:numId w:val="0"/>
      </w:numPr>
      <w:outlineLvl w:val="9"/>
    </w:pPr>
  </w:style>
  <w:style w:type="paragraph" w:styleId="TOC1">
    <w:name w:val="toc 1"/>
    <w:basedOn w:val="Normal"/>
    <w:next w:val="Normal"/>
    <w:autoRedefine/>
    <w:uiPriority w:val="39"/>
    <w:unhideWhenUsed/>
    <w:rsid w:val="009A22C5"/>
    <w:pPr>
      <w:spacing w:after="100"/>
    </w:pPr>
  </w:style>
  <w:style w:type="paragraph" w:styleId="TOC2">
    <w:name w:val="toc 2"/>
    <w:basedOn w:val="Normal"/>
    <w:next w:val="Normal"/>
    <w:autoRedefine/>
    <w:uiPriority w:val="39"/>
    <w:unhideWhenUsed/>
    <w:rsid w:val="009A22C5"/>
    <w:pPr>
      <w:spacing w:after="100"/>
      <w:ind w:left="240"/>
    </w:pPr>
  </w:style>
  <w:style w:type="paragraph" w:styleId="Title">
    <w:name w:val="Title"/>
    <w:basedOn w:val="Normal"/>
    <w:next w:val="Normal"/>
    <w:link w:val="TitleChar"/>
    <w:uiPriority w:val="10"/>
    <w:qFormat/>
    <w:rsid w:val="00C358AF"/>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C358AF"/>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C358AF"/>
    <w:pPr>
      <w:numPr>
        <w:ilvl w:val="1"/>
      </w:numPr>
    </w:pPr>
    <w:rPr>
      <w:rFonts w:asciiTheme="minorHAnsi" w:eastAsiaTheme="minorEastAsia" w:hAnsiTheme="minorHAnsi" w:cs="Times New Roman"/>
      <w:color w:val="5A5A5A" w:themeColor="text1" w:themeTint="A5"/>
      <w:spacing w:val="15"/>
      <w:sz w:val="22"/>
    </w:rPr>
  </w:style>
  <w:style w:type="character" w:customStyle="1" w:styleId="SubtitleChar">
    <w:name w:val="Subtitle Char"/>
    <w:basedOn w:val="DefaultParagraphFont"/>
    <w:link w:val="Subtitle"/>
    <w:uiPriority w:val="11"/>
    <w:rsid w:val="00C358AF"/>
    <w:rPr>
      <w:rFonts w:asciiTheme="minorHAnsi" w:eastAsiaTheme="minorEastAsia" w:hAnsiTheme="minorHAnsi" w:cs="Times New Roman"/>
      <w:color w:val="5A5A5A" w:themeColor="text1" w:themeTint="A5"/>
      <w:spacing w:val="15"/>
      <w:sz w:val="22"/>
    </w:rPr>
  </w:style>
  <w:style w:type="paragraph" w:styleId="TOC3">
    <w:name w:val="toc 3"/>
    <w:basedOn w:val="Normal"/>
    <w:next w:val="Normal"/>
    <w:autoRedefine/>
    <w:uiPriority w:val="39"/>
    <w:unhideWhenUsed/>
    <w:rsid w:val="00A44AB1"/>
    <w:pPr>
      <w:spacing w:after="100"/>
      <w:ind w:left="480"/>
    </w:pPr>
  </w:style>
  <w:style w:type="paragraph" w:styleId="BalloonText">
    <w:name w:val="Balloon Text"/>
    <w:basedOn w:val="Normal"/>
    <w:link w:val="BalloonTextChar"/>
    <w:uiPriority w:val="99"/>
    <w:semiHidden/>
    <w:unhideWhenUsed/>
    <w:rsid w:val="00402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D84B46-C307-42A7-AA25-ECD46D7C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16625</Words>
  <Characters>94766</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МЕЖДИНЕН МОНИТОРИНГОВ ДОКЛАД ЗА ИЗПЪЛНЕНИЕТО НА Иновационната Стратегия за интелигентна специализация       2021–2027 г.</vt:lpstr>
    </vt:vector>
  </TitlesOfParts>
  <Company>Министерство на иновациите и растежа</Company>
  <LinksUpToDate>false</LinksUpToDate>
  <CharactersWithSpaces>111169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МЕЖДИНЕН МОНИТОРИНГОВ ДОКЛАД ЗА ИЗПЪЛНЕНИЕТО НА Иновационната Стратегия за интелигентна специализация       2021–2027 г.</dc:title>
  <dc:subject/>
  <dc:creator>МИНИСТЕРСТВО НА ИНОВАЦИИТЕ И РАСТЕЖ</dc:creator>
  <cp:keywords/>
  <dc:description/>
  <cp:lastModifiedBy>Галина Смелова</cp:lastModifiedBy>
  <cp:revision>2</cp:revision>
  <cp:lastPrinted>2025-12-22T13:47:00Z</cp:lastPrinted>
  <dcterms:created xsi:type="dcterms:W3CDTF">2026-01-12T11:24:00Z</dcterms:created>
  <dcterms:modified xsi:type="dcterms:W3CDTF">2026-01-12T11:24:00Z</dcterms:modified>
</cp:coreProperties>
</file>