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9D1373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03D3A5F" w14:textId="77777777" w:rsidR="00D6574F" w:rsidRPr="00D6574F" w:rsidRDefault="00D6574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99E7FD7" w:rsidR="006A23A3" w:rsidRPr="00DF7B5E" w:rsidRDefault="00A81E3A" w:rsidP="006A23A3">
      <w:pPr>
        <w:jc w:val="right"/>
        <w:rPr>
          <w:rFonts w:ascii="Arial" w:hAnsi="Arial"/>
          <w:b/>
          <w:szCs w:val="24"/>
          <w:lang w:val="bg-BG"/>
        </w:rPr>
      </w:pPr>
      <w:r w:rsidRPr="00A81E3A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7E04F388" w14:textId="77777777" w:rsidR="009E3933" w:rsidRPr="00E72592" w:rsidRDefault="009E393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E9E4154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81E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</w:t>
      </w:r>
    </w:p>
    <w:p w14:paraId="40552BDF" w14:textId="77777777" w:rsidR="006A23A3" w:rsidRPr="002648E3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1E80E92C" w14:textId="7DE4C0C3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A81E3A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F83CB0" w:rsidRDefault="006A23A3" w:rsidP="006A23A3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486CC346" w14:textId="77777777" w:rsidR="006A23A3" w:rsidRPr="00F83CB0" w:rsidRDefault="006A23A3" w:rsidP="006A23A3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0F8C3D42" w14:textId="4CB259F7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9E3933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проект на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еморандум за разбирателство между правителството на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>ългария и „</w:t>
      </w:r>
      <w:proofErr w:type="spellStart"/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>ндуро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>ат</w:t>
      </w:r>
      <w:proofErr w:type="spellEnd"/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“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изпълнение на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>риоритет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ен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 инвестиционен проект „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азвоен космически център“, който ще се реализира в гр.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офия,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толична община, и </w:t>
      </w:r>
      <w:r w:rsidR="009E3933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9E3933" w:rsidRPr="009E3933">
        <w:rPr>
          <w:rFonts w:ascii="Arial" w:hAnsi="Arial" w:cs="Arial"/>
          <w:b/>
          <w:smallCaps/>
          <w:sz w:val="28"/>
          <w:szCs w:val="28"/>
          <w:lang w:val="bg-BG"/>
        </w:rPr>
        <w:t>създаване на междуведомствена работна група за осигуряване на институционална подкрепа при изпълнението на проекта</w:t>
      </w:r>
    </w:p>
    <w:p w14:paraId="1216C4E0" w14:textId="77777777" w:rsidR="006A23A3" w:rsidRPr="00F83CB0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5AEE1500" w:rsidR="006A23A3" w:rsidRPr="00082B5C" w:rsidRDefault="009E3933" w:rsidP="002648E3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9E3933">
        <w:rPr>
          <w:b w:val="0"/>
          <w:sz w:val="28"/>
          <w:szCs w:val="28"/>
        </w:rPr>
        <w:t>На основание чл. 10, ал. 2, т. 8, чл. 22е, ал. 3</w:t>
      </w:r>
      <w:r w:rsidR="00F83CB0">
        <w:rPr>
          <w:b w:val="0"/>
          <w:sz w:val="28"/>
          <w:szCs w:val="28"/>
        </w:rPr>
        <w:t xml:space="preserve"> и</w:t>
      </w:r>
      <w:r w:rsidRPr="009E3933">
        <w:rPr>
          <w:b w:val="0"/>
          <w:sz w:val="28"/>
          <w:szCs w:val="28"/>
        </w:rPr>
        <w:t xml:space="preserve"> чл. 28 във връзка с чл. 29 от Закона за насърчаване на инвестициите във връзка с чл. 69 и 70 </w:t>
      </w:r>
      <w:r w:rsidR="00F83CB0" w:rsidRPr="009E3933">
        <w:rPr>
          <w:b w:val="0"/>
          <w:sz w:val="28"/>
          <w:szCs w:val="28"/>
        </w:rPr>
        <w:t>Правилника за прилагане на Закона за насърчаване на инвестициите</w:t>
      </w:r>
      <w:r w:rsidRPr="009E3933">
        <w:rPr>
          <w:b w:val="0"/>
          <w:sz w:val="28"/>
          <w:szCs w:val="28"/>
        </w:rPr>
        <w:t xml:space="preserve"> и чл. 66, ал. 3 и чл. 67 от Правилника за прилагане на Закона за насърчаване на инвестициите, приет с Постановление </w:t>
      </w:r>
      <w:r w:rsidR="00F83CB0">
        <w:rPr>
          <w:b w:val="0"/>
          <w:sz w:val="28"/>
          <w:szCs w:val="28"/>
        </w:rPr>
        <w:br/>
      </w:r>
      <w:r w:rsidRPr="009E3933">
        <w:rPr>
          <w:b w:val="0"/>
          <w:sz w:val="28"/>
          <w:szCs w:val="28"/>
        </w:rPr>
        <w:t>№ 221 на Министерския съвет от 2007 г. (обн., ДВ, бр. 76 от 2007 г.</w:t>
      </w:r>
      <w:r w:rsidR="00F83CB0">
        <w:rPr>
          <w:b w:val="0"/>
          <w:sz w:val="28"/>
          <w:szCs w:val="28"/>
        </w:rPr>
        <w:t>;</w:t>
      </w:r>
      <w:r w:rsidRPr="009E3933">
        <w:rPr>
          <w:b w:val="0"/>
          <w:sz w:val="28"/>
          <w:szCs w:val="28"/>
        </w:rPr>
        <w:t xml:space="preserve"> изм. и доп., бр. 20 и 93 от 2009 г., бр. 62 от 2010 г.,  бр. 24 и 62 от </w:t>
      </w:r>
      <w:r w:rsidR="00F83CB0">
        <w:rPr>
          <w:b w:val="0"/>
          <w:sz w:val="28"/>
          <w:szCs w:val="28"/>
        </w:rPr>
        <w:br/>
      </w:r>
      <w:r w:rsidRPr="009E3933">
        <w:rPr>
          <w:b w:val="0"/>
          <w:sz w:val="28"/>
          <w:szCs w:val="28"/>
        </w:rPr>
        <w:t xml:space="preserve">2013 г., бр. 2, 36 и 94 от 2014 г., бр. 40 и 88 от 2015 г., бр. 86 от </w:t>
      </w:r>
      <w:r w:rsidR="00F83CB0">
        <w:rPr>
          <w:b w:val="0"/>
          <w:sz w:val="28"/>
          <w:szCs w:val="28"/>
        </w:rPr>
        <w:br/>
      </w:r>
      <w:r w:rsidRPr="009E3933">
        <w:rPr>
          <w:b w:val="0"/>
          <w:sz w:val="28"/>
          <w:szCs w:val="28"/>
        </w:rPr>
        <w:t xml:space="preserve">2017 г., бр. 41 и 70 от 2018 г., бр. 83 от 2019 г., бр. 95 от 2020 г., </w:t>
      </w:r>
      <w:r w:rsidR="00F83CB0">
        <w:rPr>
          <w:b w:val="0"/>
          <w:sz w:val="28"/>
          <w:szCs w:val="28"/>
        </w:rPr>
        <w:br/>
      </w:r>
      <w:r w:rsidRPr="009E3933">
        <w:rPr>
          <w:b w:val="0"/>
          <w:sz w:val="28"/>
          <w:szCs w:val="28"/>
        </w:rPr>
        <w:t>бр. 24 от 2021 г., бр. 43 и бр. 82 от 2022 г.</w:t>
      </w:r>
      <w:r w:rsidR="00F83CB0">
        <w:rPr>
          <w:b w:val="0"/>
          <w:sz w:val="28"/>
          <w:szCs w:val="28"/>
        </w:rPr>
        <w:t xml:space="preserve"> и</w:t>
      </w:r>
      <w:r w:rsidRPr="009E3933">
        <w:rPr>
          <w:b w:val="0"/>
          <w:sz w:val="28"/>
          <w:szCs w:val="28"/>
        </w:rPr>
        <w:t xml:space="preserve"> бр. 59 </w:t>
      </w:r>
      <w:r w:rsidR="00F83CB0">
        <w:rPr>
          <w:b w:val="0"/>
          <w:sz w:val="28"/>
          <w:szCs w:val="28"/>
        </w:rPr>
        <w:t>и</w:t>
      </w:r>
      <w:r w:rsidRPr="009E3933">
        <w:rPr>
          <w:b w:val="0"/>
          <w:sz w:val="28"/>
          <w:szCs w:val="28"/>
        </w:rPr>
        <w:t xml:space="preserve"> 80 от 2025 г.)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FEC8D62" w14:textId="77777777" w:rsidR="00F83CB0" w:rsidRDefault="00F83CB0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1D1C4A8" w14:textId="77777777" w:rsidR="002648E3" w:rsidRPr="00002A98" w:rsidRDefault="002648E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B6F42CD" w14:textId="65BF4403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/>
          <w:sz w:val="28"/>
          <w:szCs w:val="28"/>
          <w:lang w:val="bg-BG"/>
        </w:rPr>
        <w:t>1.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Одобрява проекта на Меморандум за разбирателство между правителството на Република България и „</w:t>
      </w:r>
      <w:proofErr w:type="spellStart"/>
      <w:r w:rsidRPr="009E3933">
        <w:rPr>
          <w:rFonts w:ascii="Arial" w:hAnsi="Arial"/>
          <w:bCs/>
          <w:sz w:val="28"/>
          <w:szCs w:val="28"/>
          <w:lang w:val="bg-BG"/>
        </w:rPr>
        <w:t>ЕндуроСат</w:t>
      </w:r>
      <w:proofErr w:type="spellEnd"/>
      <w:r w:rsidRPr="009E3933">
        <w:rPr>
          <w:rFonts w:ascii="Arial" w:hAnsi="Arial"/>
          <w:bCs/>
          <w:sz w:val="28"/>
          <w:szCs w:val="28"/>
          <w:lang w:val="bg-BG"/>
        </w:rPr>
        <w:t>“ ЕАД за изпълнение на Приоритет</w:t>
      </w:r>
      <w:r w:rsidR="002648E3">
        <w:rPr>
          <w:rFonts w:ascii="Arial" w:hAnsi="Arial"/>
          <w:bCs/>
          <w:sz w:val="28"/>
          <w:szCs w:val="28"/>
          <w:lang w:val="bg-BG"/>
        </w:rPr>
        <w:t>ен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инвестиционен проект „Развоен </w:t>
      </w:r>
      <w:r w:rsidR="005055CB">
        <w:rPr>
          <w:rFonts w:ascii="Arial" w:hAnsi="Arial"/>
          <w:bCs/>
          <w:sz w:val="28"/>
          <w:szCs w:val="28"/>
          <w:lang w:val="bg-BG"/>
        </w:rPr>
        <w:t>к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осмически </w:t>
      </w:r>
      <w:r w:rsidR="005055CB">
        <w:rPr>
          <w:rFonts w:ascii="Arial" w:hAnsi="Arial"/>
          <w:bCs/>
          <w:sz w:val="28"/>
          <w:szCs w:val="28"/>
          <w:lang w:val="bg-BG"/>
        </w:rPr>
        <w:t>ц</w:t>
      </w:r>
      <w:r w:rsidRPr="009E3933">
        <w:rPr>
          <w:rFonts w:ascii="Arial" w:hAnsi="Arial"/>
          <w:bCs/>
          <w:sz w:val="28"/>
          <w:szCs w:val="28"/>
          <w:lang w:val="bg-BG"/>
        </w:rPr>
        <w:t>ентър“ като основа за сключване на договор между страните.</w:t>
      </w:r>
    </w:p>
    <w:p w14:paraId="10768AAA" w14:textId="65A3D69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/>
          <w:sz w:val="28"/>
          <w:szCs w:val="28"/>
          <w:lang w:val="bg-BG"/>
        </w:rPr>
        <w:t>2.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Одобрява проекта на договор за предоставяне на безвъзмездна финансова помощ по чл. 66, ал. 1, т. 7, б</w:t>
      </w:r>
      <w:r w:rsidR="002648E3">
        <w:rPr>
          <w:rFonts w:ascii="Arial" w:hAnsi="Arial"/>
          <w:bCs/>
          <w:sz w:val="28"/>
          <w:szCs w:val="28"/>
          <w:lang w:val="bg-BG"/>
        </w:rPr>
        <w:t>уква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„а“ от </w:t>
      </w:r>
      <w:r w:rsidR="002648E3" w:rsidRPr="002648E3">
        <w:rPr>
          <w:rFonts w:ascii="Arial" w:hAnsi="Arial" w:cs="Arial"/>
          <w:sz w:val="28"/>
          <w:szCs w:val="28"/>
          <w:lang w:val="bg-BG"/>
        </w:rPr>
        <w:t>Правилника за прилагане на Закона за насърчаване на инвестициите</w:t>
      </w:r>
      <w:r w:rsidRPr="002648E3">
        <w:rPr>
          <w:rFonts w:ascii="Arial" w:hAnsi="Arial"/>
          <w:bCs/>
          <w:sz w:val="28"/>
          <w:szCs w:val="28"/>
          <w:lang w:val="bg-BG"/>
        </w:rPr>
        <w:t xml:space="preserve"> между правителството на Република България и „</w:t>
      </w:r>
      <w:proofErr w:type="spellStart"/>
      <w:r w:rsidRPr="002648E3">
        <w:rPr>
          <w:rFonts w:ascii="Arial" w:hAnsi="Arial"/>
          <w:bCs/>
          <w:sz w:val="28"/>
          <w:szCs w:val="28"/>
          <w:lang w:val="bg-BG"/>
        </w:rPr>
        <w:t>ЕндуроСат</w:t>
      </w:r>
      <w:proofErr w:type="spellEnd"/>
      <w:r w:rsidRPr="009E3933">
        <w:rPr>
          <w:rFonts w:ascii="Arial" w:hAnsi="Arial"/>
          <w:bCs/>
          <w:sz w:val="28"/>
          <w:szCs w:val="28"/>
          <w:lang w:val="bg-BG"/>
        </w:rPr>
        <w:t>“ ЕАД за изпълнение на Приоритет</w:t>
      </w:r>
      <w:r w:rsidR="00C95BB6">
        <w:rPr>
          <w:rFonts w:ascii="Arial" w:hAnsi="Arial"/>
          <w:bCs/>
          <w:sz w:val="28"/>
          <w:szCs w:val="28"/>
          <w:lang w:val="bg-BG"/>
        </w:rPr>
        <w:t>ен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инвестиционен проект „Развоен </w:t>
      </w:r>
      <w:r w:rsidR="00C95BB6">
        <w:rPr>
          <w:rFonts w:ascii="Arial" w:hAnsi="Arial"/>
          <w:bCs/>
          <w:sz w:val="28"/>
          <w:szCs w:val="28"/>
          <w:lang w:val="bg-BG"/>
        </w:rPr>
        <w:t>к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осмически </w:t>
      </w:r>
      <w:r w:rsidR="00C95BB6">
        <w:rPr>
          <w:rFonts w:ascii="Arial" w:hAnsi="Arial"/>
          <w:bCs/>
          <w:sz w:val="28"/>
          <w:szCs w:val="28"/>
          <w:lang w:val="bg-BG"/>
        </w:rPr>
        <w:t>ц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ентър“  съгласно Приложение </w:t>
      </w:r>
      <w:r w:rsidR="00C95BB6">
        <w:rPr>
          <w:rFonts w:ascii="Arial" w:hAnsi="Arial"/>
          <w:bCs/>
          <w:sz w:val="28"/>
          <w:szCs w:val="28"/>
          <w:lang w:val="bg-BG"/>
        </w:rPr>
        <w:t xml:space="preserve">№ </w:t>
      </w:r>
      <w:r w:rsidRPr="009E3933">
        <w:rPr>
          <w:rFonts w:ascii="Arial" w:hAnsi="Arial"/>
          <w:bCs/>
          <w:sz w:val="28"/>
          <w:szCs w:val="28"/>
          <w:lang w:val="bg-BG"/>
        </w:rPr>
        <w:t>I към Меморандума за разбирателство.</w:t>
      </w:r>
    </w:p>
    <w:p w14:paraId="2EB25C92" w14:textId="06BA291D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/>
          <w:sz w:val="28"/>
          <w:szCs w:val="28"/>
          <w:lang w:val="bg-BG"/>
        </w:rPr>
        <w:t>3.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Упълномощава министъра на иновациите и растежа да подпише меморандума по т. 1 и договора по т. 2 от името на правителството на Република България</w:t>
      </w:r>
      <w:r w:rsidR="00C95BB6">
        <w:rPr>
          <w:rFonts w:ascii="Arial" w:hAnsi="Arial"/>
          <w:bCs/>
          <w:sz w:val="28"/>
          <w:szCs w:val="28"/>
          <w:lang w:val="bg-BG"/>
        </w:rPr>
        <w:t>.</w:t>
      </w:r>
    </w:p>
    <w:p w14:paraId="0B962B74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/>
          <w:sz w:val="28"/>
          <w:szCs w:val="28"/>
          <w:lang w:val="bg-BG"/>
        </w:rPr>
        <w:t>4.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Възлага на министъра на иновациите и растежа да упражнява контрола по изпълнението на инвестиционния проект.</w:t>
      </w:r>
    </w:p>
    <w:p w14:paraId="1B0DAF86" w14:textId="00DABEE5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/>
          <w:sz w:val="28"/>
          <w:szCs w:val="28"/>
          <w:lang w:val="bg-BG"/>
        </w:rPr>
        <w:t>5.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Създава междуведомствена работна група за осигуряване на институционална подкрепа при изпълнението на Приоритет</w:t>
      </w:r>
      <w:r w:rsidR="00C95BB6">
        <w:rPr>
          <w:rFonts w:ascii="Arial" w:hAnsi="Arial"/>
          <w:bCs/>
          <w:sz w:val="28"/>
          <w:szCs w:val="28"/>
          <w:lang w:val="bg-BG"/>
        </w:rPr>
        <w:t>ен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инвестиционен проект „Развоен </w:t>
      </w:r>
      <w:r w:rsidR="00C95BB6">
        <w:rPr>
          <w:rFonts w:ascii="Arial" w:hAnsi="Arial"/>
          <w:bCs/>
          <w:sz w:val="28"/>
          <w:szCs w:val="28"/>
          <w:lang w:val="bg-BG"/>
        </w:rPr>
        <w:t>к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осмически </w:t>
      </w:r>
      <w:r w:rsidR="00C95BB6">
        <w:rPr>
          <w:rFonts w:ascii="Arial" w:hAnsi="Arial"/>
          <w:bCs/>
          <w:sz w:val="28"/>
          <w:szCs w:val="28"/>
          <w:lang w:val="bg-BG"/>
        </w:rPr>
        <w:t>ц</w:t>
      </w:r>
      <w:r w:rsidRPr="009E3933">
        <w:rPr>
          <w:rFonts w:ascii="Arial" w:hAnsi="Arial"/>
          <w:bCs/>
          <w:sz w:val="28"/>
          <w:szCs w:val="28"/>
          <w:lang w:val="bg-BG"/>
        </w:rPr>
        <w:t>ентър“ за срока на действие на сертификата, издаден по реда на Закона за насърчаване на инвестициите, в състав:</w:t>
      </w:r>
    </w:p>
    <w:p w14:paraId="77136BDD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П Р Е Д С Е Д А Т Е Л:</w:t>
      </w:r>
    </w:p>
    <w:p w14:paraId="3F1DE25D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заместник-министър на иновациите и растежа</w:t>
      </w:r>
    </w:p>
    <w:p w14:paraId="7881E4F8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С Е К Р Е Т А Р:</w:t>
      </w:r>
    </w:p>
    <w:p w14:paraId="2A3A0078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представител на Българската агенция за инвестиции</w:t>
      </w:r>
    </w:p>
    <w:p w14:paraId="5F5710A2" w14:textId="77777777" w:rsidR="00C95BB6" w:rsidRDefault="00C95BB6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</w:p>
    <w:p w14:paraId="0E30D789" w14:textId="62D9F9F5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Ч Л Е Н О В Е:</w:t>
      </w:r>
    </w:p>
    <w:p w14:paraId="02C95161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lastRenderedPageBreak/>
        <w:t>представител на Българската агенция за инвестиции</w:t>
      </w:r>
    </w:p>
    <w:p w14:paraId="0043A8F8" w14:textId="0DF3F7F1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представител на Министерство</w:t>
      </w:r>
      <w:r w:rsidR="00C95BB6">
        <w:rPr>
          <w:rFonts w:ascii="Arial" w:hAnsi="Arial"/>
          <w:bCs/>
          <w:sz w:val="28"/>
          <w:szCs w:val="28"/>
          <w:lang w:val="bg-BG"/>
        </w:rPr>
        <w:t>то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на иновациите и растежа</w:t>
      </w:r>
    </w:p>
    <w:p w14:paraId="3EB5E473" w14:textId="13CF1034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представител на Министерство</w:t>
      </w:r>
      <w:r w:rsidR="00C95BB6">
        <w:rPr>
          <w:rFonts w:ascii="Arial" w:hAnsi="Arial"/>
          <w:bCs/>
          <w:sz w:val="28"/>
          <w:szCs w:val="28"/>
          <w:lang w:val="bg-BG"/>
        </w:rPr>
        <w:t>то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на икономиката и индустрията</w:t>
      </w:r>
    </w:p>
    <w:p w14:paraId="6309DCA5" w14:textId="5A142D44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представител на Агенция</w:t>
      </w:r>
      <w:r w:rsidR="00C95BB6">
        <w:rPr>
          <w:rFonts w:ascii="Arial" w:hAnsi="Arial"/>
          <w:bCs/>
          <w:sz w:val="28"/>
          <w:szCs w:val="28"/>
          <w:lang w:val="bg-BG"/>
        </w:rPr>
        <w:t>та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по заетостта</w:t>
      </w:r>
    </w:p>
    <w:p w14:paraId="0C62A3D3" w14:textId="116B4D65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 xml:space="preserve">представител на </w:t>
      </w:r>
      <w:r w:rsidR="00C95BB6">
        <w:rPr>
          <w:rFonts w:ascii="Arial" w:hAnsi="Arial"/>
          <w:bCs/>
          <w:sz w:val="28"/>
          <w:szCs w:val="28"/>
          <w:lang w:val="bg-BG"/>
        </w:rPr>
        <w:t>д</w:t>
      </w:r>
      <w:r w:rsidRPr="009E3933">
        <w:rPr>
          <w:rFonts w:ascii="Arial" w:hAnsi="Arial"/>
          <w:bCs/>
          <w:sz w:val="28"/>
          <w:szCs w:val="28"/>
          <w:lang w:val="bg-BG"/>
        </w:rPr>
        <w:t>ирекция "Бюро по труда"</w:t>
      </w:r>
    </w:p>
    <w:p w14:paraId="3F338F1F" w14:textId="7ECB0113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 xml:space="preserve">представител на </w:t>
      </w:r>
      <w:r w:rsidR="00C95BB6">
        <w:rPr>
          <w:rFonts w:ascii="Arial" w:hAnsi="Arial"/>
          <w:bCs/>
          <w:sz w:val="28"/>
          <w:szCs w:val="28"/>
          <w:lang w:val="bg-BG"/>
        </w:rPr>
        <w:t>МВР</w:t>
      </w:r>
    </w:p>
    <w:p w14:paraId="38067E51" w14:textId="6F71FC32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представител на Агенция „Митници“</w:t>
      </w:r>
    </w:p>
    <w:p w14:paraId="6C28AC09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представител на Междуведомствена комисия за експортен контрол и неразпространение на оръжията за масово унищожение</w:t>
      </w:r>
    </w:p>
    <w:p w14:paraId="5476D728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Ръководителите на министерствата, изпълнителният директор на Българската агенция за инвестиции и изпълнителният директор на „</w:t>
      </w:r>
      <w:proofErr w:type="spellStart"/>
      <w:r w:rsidRPr="009E3933">
        <w:rPr>
          <w:rFonts w:ascii="Arial" w:hAnsi="Arial"/>
          <w:bCs/>
          <w:sz w:val="28"/>
          <w:szCs w:val="28"/>
          <w:lang w:val="bg-BG"/>
        </w:rPr>
        <w:t>ЕндуроСат</w:t>
      </w:r>
      <w:proofErr w:type="spellEnd"/>
      <w:r w:rsidRPr="009E3933">
        <w:rPr>
          <w:rFonts w:ascii="Arial" w:hAnsi="Arial"/>
          <w:bCs/>
          <w:sz w:val="28"/>
          <w:szCs w:val="28"/>
          <w:lang w:val="bg-BG"/>
        </w:rPr>
        <w:t>“ ЕАД могат да определят и до двама представители за заместници на титулярите - на секретаря и на членовете.</w:t>
      </w:r>
    </w:p>
    <w:p w14:paraId="6E290D25" w14:textId="11E6C520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3CB0">
        <w:rPr>
          <w:rFonts w:ascii="Arial" w:hAnsi="Arial"/>
          <w:b/>
          <w:sz w:val="28"/>
          <w:szCs w:val="28"/>
          <w:lang w:val="bg-BG"/>
        </w:rPr>
        <w:t>6.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Възлага на междуведомствената работна група по т. 5:</w:t>
      </w:r>
    </w:p>
    <w:p w14:paraId="37EA28B2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а) да разгледа и да обсъди заявените искания на инвеститора и да изрази становище по компетентност за осъществимостта на всяко едно от тях;</w:t>
      </w:r>
    </w:p>
    <w:p w14:paraId="2D281001" w14:textId="77777777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б) да предприеме необходимите мерки за оказване на административна подкрепа за реализирането на допустимите съгласно действащото законодателство целесъобразни искания на инвеститора, които са в интерес и на двете страни;</w:t>
      </w:r>
    </w:p>
    <w:p w14:paraId="74FAB9F2" w14:textId="33F06795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E3933">
        <w:rPr>
          <w:rFonts w:ascii="Arial" w:hAnsi="Arial"/>
          <w:bCs/>
          <w:sz w:val="28"/>
          <w:szCs w:val="28"/>
          <w:lang w:val="bg-BG"/>
        </w:rPr>
        <w:t>в) да подпомага в рамките на своята компетентност навременното извършване на съответните административни процедури за изпълнение на Приоритет</w:t>
      </w:r>
      <w:r w:rsidR="00C95BB6">
        <w:rPr>
          <w:rFonts w:ascii="Arial" w:hAnsi="Arial"/>
          <w:bCs/>
          <w:sz w:val="28"/>
          <w:szCs w:val="28"/>
          <w:lang w:val="bg-BG"/>
        </w:rPr>
        <w:t>ен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инвестиционен проект „Развоен </w:t>
      </w:r>
      <w:r w:rsidR="00C95BB6">
        <w:rPr>
          <w:rFonts w:ascii="Arial" w:hAnsi="Arial"/>
          <w:bCs/>
          <w:sz w:val="28"/>
          <w:szCs w:val="28"/>
          <w:lang w:val="bg-BG"/>
        </w:rPr>
        <w:t>к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осмически </w:t>
      </w:r>
      <w:r w:rsidR="00C95BB6">
        <w:rPr>
          <w:rFonts w:ascii="Arial" w:hAnsi="Arial"/>
          <w:bCs/>
          <w:sz w:val="28"/>
          <w:szCs w:val="28"/>
          <w:lang w:val="bg-BG"/>
        </w:rPr>
        <w:t>ц</w:t>
      </w:r>
      <w:r w:rsidRPr="009E3933">
        <w:rPr>
          <w:rFonts w:ascii="Arial" w:hAnsi="Arial"/>
          <w:bCs/>
          <w:sz w:val="28"/>
          <w:szCs w:val="28"/>
          <w:lang w:val="bg-BG"/>
        </w:rPr>
        <w:t>ентър“.</w:t>
      </w:r>
    </w:p>
    <w:p w14:paraId="51BC72F9" w14:textId="5D2511E6" w:rsidR="009E3933" w:rsidRPr="009E3933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3CB0">
        <w:rPr>
          <w:rFonts w:ascii="Arial" w:hAnsi="Arial"/>
          <w:b/>
          <w:sz w:val="28"/>
          <w:szCs w:val="28"/>
          <w:lang w:val="bg-BG"/>
        </w:rPr>
        <w:t>7.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Ръководителите на министерства, изпълнителният директор на Българската агенция за инвестиции и изпълнителният директор на „</w:t>
      </w:r>
      <w:proofErr w:type="spellStart"/>
      <w:r w:rsidRPr="009E3933">
        <w:rPr>
          <w:rFonts w:ascii="Arial" w:hAnsi="Arial"/>
          <w:bCs/>
          <w:sz w:val="28"/>
          <w:szCs w:val="28"/>
          <w:lang w:val="bg-BG"/>
        </w:rPr>
        <w:t>ЕндуроСат</w:t>
      </w:r>
      <w:proofErr w:type="spellEnd"/>
      <w:r w:rsidRPr="009E3933">
        <w:rPr>
          <w:rFonts w:ascii="Arial" w:hAnsi="Arial"/>
          <w:bCs/>
          <w:sz w:val="28"/>
          <w:szCs w:val="28"/>
          <w:lang w:val="bg-BG"/>
        </w:rPr>
        <w:t xml:space="preserve">“ ЕАД в срок 7 дни от приемането на решението да уведомят министъра на иновациите и растежа за </w:t>
      </w:r>
      <w:r w:rsidRPr="009E3933">
        <w:rPr>
          <w:rFonts w:ascii="Arial" w:hAnsi="Arial"/>
          <w:bCs/>
          <w:sz w:val="28"/>
          <w:szCs w:val="28"/>
          <w:lang w:val="bg-BG"/>
        </w:rPr>
        <w:lastRenderedPageBreak/>
        <w:t>определените представители в междуведомствена работна група по т. 5.</w:t>
      </w:r>
    </w:p>
    <w:p w14:paraId="0EA77AB3" w14:textId="3E7BD7D9" w:rsidR="00F82DF7" w:rsidRPr="003E5B92" w:rsidRDefault="009E3933" w:rsidP="009E393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3CB0">
        <w:rPr>
          <w:rFonts w:ascii="Arial" w:hAnsi="Arial"/>
          <w:b/>
          <w:sz w:val="28"/>
          <w:szCs w:val="28"/>
          <w:lang w:val="bg-BG"/>
        </w:rPr>
        <w:t>8.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Министър-председателят да издаде заповед с поименния състав на междуведомствената работна група по т. 5 по проект, изготвен от министъра на иновациите и растежа въз основа на предложенията на съответните министерства</w:t>
      </w:r>
      <w:r w:rsidR="00C95BB6">
        <w:rPr>
          <w:rFonts w:ascii="Arial" w:hAnsi="Arial"/>
          <w:bCs/>
          <w:sz w:val="28"/>
          <w:szCs w:val="28"/>
          <w:lang w:val="bg-BG"/>
        </w:rPr>
        <w:t>,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Българската агенция за инвестиции</w:t>
      </w:r>
      <w:r w:rsidR="00C95BB6">
        <w:rPr>
          <w:rFonts w:ascii="Arial" w:hAnsi="Arial"/>
          <w:bCs/>
          <w:sz w:val="28"/>
          <w:szCs w:val="28"/>
          <w:lang w:val="bg-BG"/>
        </w:rPr>
        <w:t xml:space="preserve"> и</w:t>
      </w:r>
      <w:r w:rsidRPr="009E3933">
        <w:rPr>
          <w:rFonts w:ascii="Arial" w:hAnsi="Arial"/>
          <w:bCs/>
          <w:sz w:val="28"/>
          <w:szCs w:val="28"/>
          <w:lang w:val="bg-BG"/>
        </w:rPr>
        <w:t xml:space="preserve"> изпълнителния директор на „</w:t>
      </w:r>
      <w:proofErr w:type="spellStart"/>
      <w:r w:rsidRPr="009E3933">
        <w:rPr>
          <w:rFonts w:ascii="Arial" w:hAnsi="Arial"/>
          <w:bCs/>
          <w:sz w:val="28"/>
          <w:szCs w:val="28"/>
          <w:lang w:val="bg-BG"/>
        </w:rPr>
        <w:t>ЕндуроСат</w:t>
      </w:r>
      <w:proofErr w:type="spellEnd"/>
      <w:r w:rsidRPr="009E3933">
        <w:rPr>
          <w:rFonts w:ascii="Arial" w:hAnsi="Arial"/>
          <w:bCs/>
          <w:sz w:val="28"/>
          <w:szCs w:val="28"/>
          <w:lang w:val="bg-BG"/>
        </w:rPr>
        <w:t>“ ЕАД.</w:t>
      </w:r>
    </w:p>
    <w:p w14:paraId="030325CE" w14:textId="77777777" w:rsidR="002648E3" w:rsidRDefault="002648E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092CD7C" w14:textId="77777777" w:rsidR="00A81E3A" w:rsidRDefault="00A81E3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C27F1AF" w14:textId="77777777" w:rsidR="00234A61" w:rsidRDefault="00234A61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FDFE876" w14:textId="77777777" w:rsidR="00A81E3A" w:rsidRPr="00657F87" w:rsidRDefault="00A81E3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BE5D08E" w14:textId="77777777" w:rsidR="00A81E3A" w:rsidRPr="001745AF" w:rsidRDefault="00A81E3A">
      <w:pPr>
        <w:ind w:firstLine="1134"/>
        <w:rPr>
          <w:rFonts w:ascii="Arial" w:hAnsi="Arial" w:cs="Arial"/>
          <w:b/>
          <w:lang w:val="en-US"/>
        </w:rPr>
      </w:pPr>
    </w:p>
    <w:p w14:paraId="1A7EC1B0" w14:textId="77777777" w:rsidR="00A81E3A" w:rsidRPr="00657F87" w:rsidRDefault="00A81E3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BD93836" w14:textId="77777777" w:rsidR="00A81E3A" w:rsidRPr="00657F87" w:rsidRDefault="00A81E3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274E16BB" w14:textId="77777777" w:rsidR="00A81E3A" w:rsidRPr="00657F87" w:rsidRDefault="00A81E3A">
      <w:pPr>
        <w:ind w:left="1134"/>
        <w:rPr>
          <w:rFonts w:ascii="Arial" w:hAnsi="Arial" w:cs="Arial"/>
          <w:b/>
        </w:rPr>
      </w:pPr>
    </w:p>
    <w:sectPr w:rsidR="00A81E3A" w:rsidRPr="00657F87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E932" w14:textId="77777777" w:rsidR="00284DCD" w:rsidRDefault="00284DCD" w:rsidP="00EA7858">
      <w:r>
        <w:separator/>
      </w:r>
    </w:p>
  </w:endnote>
  <w:endnote w:type="continuationSeparator" w:id="0">
    <w:p w14:paraId="4E6A236B" w14:textId="77777777" w:rsidR="00284DCD" w:rsidRDefault="00284DC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6B339DCC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4FCF9FD5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5DAF981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63978C5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6FF6" w14:textId="77777777" w:rsidR="00284DCD" w:rsidRDefault="00284DCD" w:rsidP="00EA7858">
      <w:r>
        <w:separator/>
      </w:r>
    </w:p>
  </w:footnote>
  <w:footnote w:type="continuationSeparator" w:id="0">
    <w:p w14:paraId="31666C1D" w14:textId="77777777" w:rsidR="00284DCD" w:rsidRDefault="00284DC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0039"/>
    <w:rsid w:val="000B459B"/>
    <w:rsid w:val="000C1F4D"/>
    <w:rsid w:val="000F2CB1"/>
    <w:rsid w:val="00156247"/>
    <w:rsid w:val="00186431"/>
    <w:rsid w:val="001C2FAC"/>
    <w:rsid w:val="00216EAC"/>
    <w:rsid w:val="00234A61"/>
    <w:rsid w:val="002648E3"/>
    <w:rsid w:val="00272DA7"/>
    <w:rsid w:val="0028109D"/>
    <w:rsid w:val="00284DCD"/>
    <w:rsid w:val="00286261"/>
    <w:rsid w:val="00290BD8"/>
    <w:rsid w:val="00290CD4"/>
    <w:rsid w:val="002D6DA8"/>
    <w:rsid w:val="002E4908"/>
    <w:rsid w:val="003020FE"/>
    <w:rsid w:val="00307468"/>
    <w:rsid w:val="00332308"/>
    <w:rsid w:val="00333BA8"/>
    <w:rsid w:val="00333C05"/>
    <w:rsid w:val="00337A74"/>
    <w:rsid w:val="0034270C"/>
    <w:rsid w:val="00343F1F"/>
    <w:rsid w:val="0038686A"/>
    <w:rsid w:val="003D070C"/>
    <w:rsid w:val="003E22F0"/>
    <w:rsid w:val="003E5B92"/>
    <w:rsid w:val="00412665"/>
    <w:rsid w:val="004133D1"/>
    <w:rsid w:val="00441743"/>
    <w:rsid w:val="00474767"/>
    <w:rsid w:val="004B24BC"/>
    <w:rsid w:val="004E1388"/>
    <w:rsid w:val="00502794"/>
    <w:rsid w:val="005055CB"/>
    <w:rsid w:val="00550843"/>
    <w:rsid w:val="00562FDA"/>
    <w:rsid w:val="005B1387"/>
    <w:rsid w:val="005C4393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210ED"/>
    <w:rsid w:val="008035D5"/>
    <w:rsid w:val="008115F4"/>
    <w:rsid w:val="0081442E"/>
    <w:rsid w:val="0084590B"/>
    <w:rsid w:val="00861C48"/>
    <w:rsid w:val="008A5450"/>
    <w:rsid w:val="008E6A3D"/>
    <w:rsid w:val="008F5267"/>
    <w:rsid w:val="0098207A"/>
    <w:rsid w:val="009B3C35"/>
    <w:rsid w:val="009D35C7"/>
    <w:rsid w:val="009E3933"/>
    <w:rsid w:val="00A00D69"/>
    <w:rsid w:val="00A35143"/>
    <w:rsid w:val="00A541F1"/>
    <w:rsid w:val="00A63B3A"/>
    <w:rsid w:val="00A81E3A"/>
    <w:rsid w:val="00A90B03"/>
    <w:rsid w:val="00A97B93"/>
    <w:rsid w:val="00AD176F"/>
    <w:rsid w:val="00B45436"/>
    <w:rsid w:val="00B70065"/>
    <w:rsid w:val="00BA5C3F"/>
    <w:rsid w:val="00BA636B"/>
    <w:rsid w:val="00BA7CDC"/>
    <w:rsid w:val="00BC3B86"/>
    <w:rsid w:val="00BD518E"/>
    <w:rsid w:val="00C67ADA"/>
    <w:rsid w:val="00C8622C"/>
    <w:rsid w:val="00C95BB6"/>
    <w:rsid w:val="00CB1766"/>
    <w:rsid w:val="00D15FDE"/>
    <w:rsid w:val="00D27829"/>
    <w:rsid w:val="00D6574F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83CB0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2026-01-12T11:36:00Z</dcterms:created>
  <dcterms:modified xsi:type="dcterms:W3CDTF">2026-01-12T11:36:00Z</dcterms:modified>
</cp:coreProperties>
</file>