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A6A1" w14:textId="2384EA1A" w:rsidR="00F27887" w:rsidRPr="007A44A5" w:rsidRDefault="00182EFE" w:rsidP="00F27887">
      <w:pPr>
        <w:rPr>
          <w:rFonts w:ascii="Times New Roman" w:hAnsi="Times New Roman" w:cs="Times New Roman"/>
        </w:rPr>
      </w:pPr>
      <w:r w:rsidRPr="00182EFE">
        <w:rPr>
          <w:rFonts w:ascii="Times New Roman" w:hAnsi="Times New Roman" w:cs="Times New Roman"/>
        </w:rPr>
        <w:t>Допълнение</w:t>
      </w:r>
      <w:r w:rsidR="00F27887" w:rsidRPr="007A44A5">
        <w:rPr>
          <w:rFonts w:ascii="Times New Roman" w:hAnsi="Times New Roman" w:cs="Times New Roman"/>
        </w:rPr>
        <w:t xml:space="preserve"> 2:</w:t>
      </w:r>
    </w:p>
    <w:p w14:paraId="511D31D9" w14:textId="3E31FC56" w:rsidR="00F27887" w:rsidRPr="007A44A5" w:rsidRDefault="00F27887" w:rsidP="00F27887">
      <w:pPr>
        <w:rPr>
          <w:rFonts w:ascii="Times New Roman" w:hAnsi="Times New Roman" w:cs="Times New Roman"/>
        </w:rPr>
      </w:pPr>
      <w:r w:rsidRPr="007A44A5">
        <w:rPr>
          <w:rFonts w:ascii="Times New Roman" w:hAnsi="Times New Roman" w:cs="Times New Roman"/>
        </w:rPr>
        <w:t xml:space="preserve">Финансово участие на Съюза </w:t>
      </w:r>
      <w:r w:rsidR="00C51147" w:rsidRPr="00C51147">
        <w:rPr>
          <w:rFonts w:ascii="Times New Roman" w:hAnsi="Times New Roman" w:cs="Times New Roman"/>
        </w:rPr>
        <w:t>на основата на финансиране, което не е свързано с разходите</w:t>
      </w:r>
    </w:p>
    <w:p w14:paraId="75DBE1C9" w14:textId="77777777" w:rsidR="00C51147" w:rsidRDefault="00C51147" w:rsidP="00F27887">
      <w:pPr>
        <w:rPr>
          <w:rFonts w:ascii="Times New Roman" w:hAnsi="Times New Roman" w:cs="Times New Roman"/>
        </w:rPr>
      </w:pPr>
      <w:r w:rsidRPr="00C51147">
        <w:rPr>
          <w:rFonts w:ascii="Times New Roman" w:hAnsi="Times New Roman" w:cs="Times New Roman"/>
        </w:rPr>
        <w:t>Образец за представяне на данните за разглеждане от Комисията</w:t>
      </w:r>
    </w:p>
    <w:p w14:paraId="680E36FC" w14:textId="674CC0CD" w:rsidR="00F27887" w:rsidRPr="007A44A5" w:rsidRDefault="00F27887" w:rsidP="00F27887">
      <w:pPr>
        <w:rPr>
          <w:rFonts w:ascii="Times New Roman" w:hAnsi="Times New Roman" w:cs="Times New Roman"/>
        </w:rPr>
      </w:pPr>
      <w:r w:rsidRPr="007A44A5">
        <w:rPr>
          <w:rFonts w:ascii="Times New Roman" w:hAnsi="Times New Roman" w:cs="Times New Roman"/>
        </w:rPr>
        <w:t xml:space="preserve">(чл. 95 </w:t>
      </w:r>
      <w:r w:rsidR="00C51147" w:rsidRPr="00C51147">
        <w:rPr>
          <w:rFonts w:ascii="Times New Roman" w:hAnsi="Times New Roman" w:cs="Times New Roman"/>
        </w:rPr>
        <w:t>от РОР</w:t>
      </w:r>
      <w:r w:rsidR="00D967AC" w:rsidRPr="007A44A5">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F27887" w:rsidRPr="007A44A5" w14:paraId="7159C493" w14:textId="77777777" w:rsidTr="00F27887">
        <w:tc>
          <w:tcPr>
            <w:tcW w:w="4644" w:type="dxa"/>
            <w:shd w:val="clear" w:color="auto" w:fill="auto"/>
          </w:tcPr>
          <w:p w14:paraId="046043A2" w14:textId="0789F555" w:rsidR="00F27887" w:rsidRPr="007A44A5" w:rsidRDefault="00C51147" w:rsidP="00F27887">
            <w:pPr>
              <w:rPr>
                <w:rFonts w:ascii="Times New Roman" w:hAnsi="Times New Roman" w:cs="Times New Roman"/>
              </w:rPr>
            </w:pPr>
            <w:r w:rsidRPr="00C51147">
              <w:rPr>
                <w:rFonts w:ascii="Times New Roman" w:hAnsi="Times New Roman" w:cs="Times New Roman"/>
              </w:rPr>
              <w:t>Дата на внасяне на предложението</w:t>
            </w:r>
          </w:p>
        </w:tc>
        <w:tc>
          <w:tcPr>
            <w:tcW w:w="4644" w:type="dxa"/>
            <w:shd w:val="clear" w:color="auto" w:fill="auto"/>
          </w:tcPr>
          <w:p w14:paraId="7C0F4868" w14:textId="77777777" w:rsidR="00F27887" w:rsidRPr="007A44A5" w:rsidRDefault="00F27887" w:rsidP="00F27887">
            <w:pPr>
              <w:rPr>
                <w:rFonts w:ascii="Times New Roman" w:hAnsi="Times New Roman" w:cs="Times New Roman"/>
              </w:rPr>
            </w:pPr>
          </w:p>
        </w:tc>
      </w:tr>
      <w:tr w:rsidR="00F27887" w:rsidRPr="007A44A5" w14:paraId="2093AD21" w14:textId="77777777" w:rsidTr="00F27887">
        <w:tc>
          <w:tcPr>
            <w:tcW w:w="4644" w:type="dxa"/>
            <w:shd w:val="clear" w:color="auto" w:fill="auto"/>
          </w:tcPr>
          <w:p w14:paraId="1BD732EA" w14:textId="77777777" w:rsidR="00F27887" w:rsidRPr="007A44A5" w:rsidRDefault="00F27887" w:rsidP="00F27887">
            <w:pPr>
              <w:rPr>
                <w:rFonts w:ascii="Times New Roman" w:hAnsi="Times New Roman" w:cs="Times New Roman"/>
              </w:rPr>
            </w:pPr>
          </w:p>
        </w:tc>
        <w:tc>
          <w:tcPr>
            <w:tcW w:w="4644" w:type="dxa"/>
            <w:shd w:val="clear" w:color="auto" w:fill="auto"/>
          </w:tcPr>
          <w:p w14:paraId="29C90A0F" w14:textId="77777777" w:rsidR="00F27887" w:rsidRPr="007A44A5" w:rsidRDefault="00F27887" w:rsidP="00F27887">
            <w:pPr>
              <w:rPr>
                <w:rFonts w:ascii="Times New Roman" w:hAnsi="Times New Roman" w:cs="Times New Roman"/>
              </w:rPr>
            </w:pPr>
          </w:p>
        </w:tc>
      </w:tr>
    </w:tbl>
    <w:p w14:paraId="5C658FFF" w14:textId="77777777" w:rsidR="00F27887" w:rsidRPr="007A44A5" w:rsidRDefault="00F27887" w:rsidP="00F27887">
      <w:pPr>
        <w:rPr>
          <w:rFonts w:ascii="Times New Roman" w:hAnsi="Times New Roman" w:cs="Times New Roman"/>
        </w:rPr>
      </w:pPr>
    </w:p>
    <w:p w14:paraId="3F520EA4" w14:textId="75389F93" w:rsidR="00F27887" w:rsidRPr="007A44A5" w:rsidRDefault="00C51147" w:rsidP="00F27887">
      <w:pPr>
        <w:rPr>
          <w:rFonts w:ascii="Times New Roman" w:hAnsi="Times New Roman" w:cs="Times New Roman"/>
        </w:rPr>
      </w:pPr>
      <w:r w:rsidRPr="00C51147">
        <w:rPr>
          <w:rFonts w:ascii="Times New Roman" w:hAnsi="Times New Roman" w:cs="Times New Roman"/>
        </w:rPr>
        <w:t>Настоящото допълнение не се изисква, когато се използват суми за финансиране на равнището на Съюза, което не е свързано с разходи, установени с делегирания акт, посочен в член 95, параграф 4 от РОР</w:t>
      </w:r>
      <w:r w:rsidR="00F27887" w:rsidRPr="007A44A5">
        <w:rPr>
          <w:rFonts w:ascii="Times New Roman" w:hAnsi="Times New Roman" w:cs="Times New Roman"/>
        </w:rPr>
        <w:t>.</w:t>
      </w:r>
    </w:p>
    <w:p w14:paraId="4A087DB9" w14:textId="77777777" w:rsidR="00F27887" w:rsidRPr="007A44A5" w:rsidRDefault="00F27887" w:rsidP="00F27887">
      <w:pPr>
        <w:rPr>
          <w:rFonts w:ascii="Times New Roman" w:hAnsi="Times New Roman" w:cs="Times New Roman"/>
        </w:rPr>
        <w:sectPr w:rsidR="00F27887" w:rsidRPr="007A44A5" w:rsidSect="00F27887">
          <w:footerReference w:type="default" r:id="rId8"/>
          <w:footnotePr>
            <w:numRestart w:val="eachPage"/>
          </w:footnotePr>
          <w:pgSz w:w="11907" w:h="16839"/>
          <w:pgMar w:top="1134" w:right="1134" w:bottom="1134" w:left="1134" w:header="567" w:footer="567" w:gutter="0"/>
          <w:cols w:space="720"/>
          <w:docGrid w:linePitch="360"/>
        </w:sectPr>
      </w:pPr>
    </w:p>
    <w:p w14:paraId="42CBFB5F" w14:textId="77777777" w:rsidR="00F27887" w:rsidRPr="007A44A5" w:rsidRDefault="00F27887" w:rsidP="00F27887">
      <w:pPr>
        <w:rPr>
          <w:rFonts w:ascii="Times New Roman" w:hAnsi="Times New Roman" w:cs="Times New Roman"/>
        </w:rPr>
      </w:pPr>
      <w:r w:rsidRPr="007A44A5">
        <w:rPr>
          <w:rFonts w:ascii="Times New Roman" w:hAnsi="Times New Roman" w:cs="Times New Roman"/>
        </w:rPr>
        <w:lastRenderedPageBreak/>
        <w:t xml:space="preserve">A. </w:t>
      </w:r>
      <w:r w:rsidRPr="007A44A5">
        <w:rPr>
          <w:rFonts w:ascii="Times New Roman" w:hAnsi="Times New Roman" w:cs="Times New Roman"/>
        </w:rPr>
        <w:tab/>
        <w:t>Обобщение на основните елементи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611"/>
        <w:gridCol w:w="1127"/>
        <w:gridCol w:w="968"/>
        <w:gridCol w:w="1356"/>
        <w:gridCol w:w="567"/>
        <w:gridCol w:w="1358"/>
        <w:gridCol w:w="1885"/>
        <w:gridCol w:w="567"/>
        <w:gridCol w:w="1863"/>
        <w:gridCol w:w="1920"/>
        <w:gridCol w:w="1343"/>
      </w:tblGrid>
      <w:tr w:rsidR="00C51147" w:rsidRPr="007A44A5" w14:paraId="4F78493B" w14:textId="77777777" w:rsidTr="00C51147">
        <w:tc>
          <w:tcPr>
            <w:tcW w:w="368" w:type="pct"/>
            <w:vAlign w:val="center"/>
          </w:tcPr>
          <w:p w14:paraId="26774B32" w14:textId="77777777" w:rsidR="00F27887" w:rsidRPr="00C51147" w:rsidRDefault="00F27887" w:rsidP="00F27887">
            <w:pPr>
              <w:rPr>
                <w:rFonts w:ascii="Times New Roman" w:hAnsi="Times New Roman" w:cs="Times New Roman"/>
                <w:b/>
                <w:sz w:val="18"/>
                <w:szCs w:val="18"/>
              </w:rPr>
            </w:pPr>
            <w:r w:rsidRPr="00C51147">
              <w:rPr>
                <w:rFonts w:ascii="Times New Roman" w:hAnsi="Times New Roman" w:cs="Times New Roman"/>
                <w:b/>
                <w:sz w:val="18"/>
                <w:szCs w:val="18"/>
              </w:rPr>
              <w:t>Приоритет</w:t>
            </w:r>
          </w:p>
        </w:tc>
        <w:tc>
          <w:tcPr>
            <w:tcW w:w="223" w:type="pct"/>
            <w:vAlign w:val="center"/>
          </w:tcPr>
          <w:p w14:paraId="498C9548" w14:textId="68671434" w:rsidR="00F27887" w:rsidRPr="00C51147" w:rsidRDefault="00C51147" w:rsidP="00F27887">
            <w:pPr>
              <w:rPr>
                <w:rFonts w:ascii="Times New Roman" w:hAnsi="Times New Roman" w:cs="Times New Roman"/>
                <w:b/>
                <w:sz w:val="18"/>
                <w:szCs w:val="18"/>
              </w:rPr>
            </w:pPr>
            <w:r w:rsidRPr="00C51147">
              <w:rPr>
                <w:rFonts w:ascii="Times New Roman" w:hAnsi="Times New Roman" w:cs="Times New Roman"/>
                <w:b/>
                <w:sz w:val="18"/>
                <w:szCs w:val="18"/>
                <w:lang w:val="bg-BG"/>
              </w:rPr>
              <w:t>Ф</w:t>
            </w:r>
            <w:proofErr w:type="spellStart"/>
            <w:r w:rsidR="00F27887" w:rsidRPr="00C51147">
              <w:rPr>
                <w:rFonts w:ascii="Times New Roman" w:hAnsi="Times New Roman" w:cs="Times New Roman"/>
                <w:b/>
                <w:sz w:val="18"/>
                <w:szCs w:val="18"/>
              </w:rPr>
              <w:t>онд</w:t>
            </w:r>
            <w:proofErr w:type="spellEnd"/>
          </w:p>
        </w:tc>
        <w:tc>
          <w:tcPr>
            <w:tcW w:w="418" w:type="pct"/>
            <w:vAlign w:val="center"/>
          </w:tcPr>
          <w:p w14:paraId="3147B603" w14:textId="703B5AFE" w:rsidR="00F27887" w:rsidRPr="00C51147" w:rsidRDefault="00C51147" w:rsidP="00F27887">
            <w:pPr>
              <w:rPr>
                <w:rFonts w:ascii="Times New Roman" w:hAnsi="Times New Roman" w:cs="Times New Roman"/>
                <w:b/>
                <w:sz w:val="18"/>
                <w:szCs w:val="18"/>
              </w:rPr>
            </w:pPr>
            <w:r w:rsidRPr="00C51147">
              <w:rPr>
                <w:rFonts w:ascii="Times New Roman" w:hAnsi="Times New Roman" w:cs="Times New Roman"/>
                <w:b/>
                <w:sz w:val="18"/>
                <w:szCs w:val="18"/>
              </w:rPr>
              <w:t>Специфична цел</w:t>
            </w:r>
          </w:p>
        </w:tc>
        <w:tc>
          <w:tcPr>
            <w:tcW w:w="357" w:type="pct"/>
            <w:vAlign w:val="center"/>
          </w:tcPr>
          <w:p w14:paraId="271E562D" w14:textId="4CAAD1C1" w:rsidR="00F27887" w:rsidRPr="00C51147" w:rsidRDefault="00C51147" w:rsidP="00F27887">
            <w:pPr>
              <w:rPr>
                <w:rFonts w:ascii="Times New Roman" w:hAnsi="Times New Roman" w:cs="Times New Roman"/>
                <w:b/>
                <w:sz w:val="18"/>
                <w:szCs w:val="18"/>
              </w:rPr>
            </w:pPr>
            <w:r w:rsidRPr="00C51147">
              <w:rPr>
                <w:rFonts w:ascii="Times New Roman" w:hAnsi="Times New Roman" w:cs="Times New Roman"/>
                <w:b/>
                <w:sz w:val="18"/>
                <w:szCs w:val="18"/>
              </w:rPr>
              <w:t>Категория региони</w:t>
            </w:r>
          </w:p>
        </w:tc>
        <w:tc>
          <w:tcPr>
            <w:tcW w:w="503" w:type="pct"/>
            <w:vAlign w:val="center"/>
          </w:tcPr>
          <w:p w14:paraId="51DCC1F5" w14:textId="709D4E8B" w:rsidR="00F27887" w:rsidRPr="00C51147" w:rsidRDefault="00C51147" w:rsidP="00F27887">
            <w:pPr>
              <w:rPr>
                <w:rFonts w:ascii="Times New Roman" w:hAnsi="Times New Roman" w:cs="Times New Roman"/>
                <w:b/>
                <w:sz w:val="18"/>
                <w:szCs w:val="18"/>
              </w:rPr>
            </w:pPr>
            <w:r w:rsidRPr="00C51147">
              <w:rPr>
                <w:rFonts w:ascii="Times New Roman" w:hAnsi="Times New Roman" w:cs="Times New Roman"/>
                <w:b/>
                <w:sz w:val="18"/>
                <w:szCs w:val="18"/>
              </w:rPr>
              <w:t>Сумата, покрита от финансирането, което не е свързано с разходи</w:t>
            </w:r>
          </w:p>
        </w:tc>
        <w:tc>
          <w:tcPr>
            <w:tcW w:w="710" w:type="pct"/>
            <w:gridSpan w:val="2"/>
            <w:shd w:val="clear" w:color="auto" w:fill="auto"/>
            <w:vAlign w:val="center"/>
          </w:tcPr>
          <w:p w14:paraId="1D09A408" w14:textId="6B3F8D2A" w:rsidR="00F27887" w:rsidRPr="00C51147" w:rsidRDefault="00C51147" w:rsidP="00F27887">
            <w:pPr>
              <w:rPr>
                <w:rFonts w:ascii="Times New Roman" w:hAnsi="Times New Roman" w:cs="Times New Roman"/>
                <w:b/>
                <w:sz w:val="18"/>
                <w:szCs w:val="18"/>
              </w:rPr>
            </w:pPr>
            <w:r w:rsidRPr="00C51147">
              <w:rPr>
                <w:rFonts w:ascii="Times New Roman" w:hAnsi="Times New Roman" w:cs="Times New Roman"/>
                <w:b/>
                <w:sz w:val="18"/>
                <w:szCs w:val="18"/>
              </w:rPr>
              <w:t>Видове обхванати операции</w:t>
            </w:r>
          </w:p>
        </w:tc>
        <w:tc>
          <w:tcPr>
            <w:tcW w:w="661" w:type="pct"/>
            <w:vAlign w:val="center"/>
          </w:tcPr>
          <w:p w14:paraId="15E67A16" w14:textId="1BD9012A" w:rsidR="00F27887" w:rsidRPr="00C51147" w:rsidRDefault="00C51147" w:rsidP="00F27887">
            <w:pPr>
              <w:rPr>
                <w:rFonts w:ascii="Times New Roman" w:hAnsi="Times New Roman" w:cs="Times New Roman"/>
                <w:b/>
                <w:sz w:val="18"/>
                <w:szCs w:val="18"/>
              </w:rPr>
            </w:pPr>
            <w:r w:rsidRPr="00C51147">
              <w:rPr>
                <w:rFonts w:ascii="Times New Roman" w:hAnsi="Times New Roman" w:cs="Times New Roman"/>
                <w:b/>
                <w:sz w:val="18"/>
                <w:szCs w:val="18"/>
              </w:rPr>
              <w:t>Условия, които трябва да бъдат изпълнени/резултати, които трябва да бъдат постигнати, за да се извърши възстановяване на средства от Комисията</w:t>
            </w:r>
          </w:p>
        </w:tc>
        <w:tc>
          <w:tcPr>
            <w:tcW w:w="545" w:type="pct"/>
            <w:gridSpan w:val="2"/>
            <w:shd w:val="clear" w:color="auto" w:fill="auto"/>
            <w:vAlign w:val="center"/>
          </w:tcPr>
          <w:p w14:paraId="45E653CA" w14:textId="06AD63FE" w:rsidR="00F27887" w:rsidRPr="00C51147" w:rsidRDefault="00C51147" w:rsidP="00F27887">
            <w:pPr>
              <w:rPr>
                <w:rFonts w:ascii="Times New Roman" w:hAnsi="Times New Roman" w:cs="Times New Roman"/>
                <w:b/>
                <w:sz w:val="18"/>
                <w:szCs w:val="18"/>
              </w:rPr>
            </w:pPr>
            <w:r w:rsidRPr="00C51147">
              <w:rPr>
                <w:rFonts w:ascii="Times New Roman" w:hAnsi="Times New Roman" w:cs="Times New Roman"/>
                <w:b/>
                <w:sz w:val="18"/>
                <w:szCs w:val="18"/>
              </w:rPr>
              <w:t>Показател</w:t>
            </w:r>
          </w:p>
        </w:tc>
        <w:tc>
          <w:tcPr>
            <w:tcW w:w="716" w:type="pct"/>
            <w:shd w:val="clear" w:color="auto" w:fill="auto"/>
            <w:vAlign w:val="center"/>
          </w:tcPr>
          <w:p w14:paraId="30295642" w14:textId="6B50C091" w:rsidR="00F27887" w:rsidRPr="00C51147" w:rsidRDefault="00C51147" w:rsidP="00F27887">
            <w:pPr>
              <w:rPr>
                <w:rFonts w:ascii="Times New Roman" w:hAnsi="Times New Roman" w:cs="Times New Roman"/>
                <w:b/>
                <w:sz w:val="18"/>
                <w:szCs w:val="18"/>
              </w:rPr>
            </w:pPr>
            <w:r w:rsidRPr="00C51147">
              <w:rPr>
                <w:rFonts w:ascii="Times New Roman" w:hAnsi="Times New Roman" w:cs="Times New Roman"/>
                <w:b/>
                <w:sz w:val="18"/>
                <w:szCs w:val="18"/>
              </w:rPr>
              <w:t>Мерна единица за условията, които трябва да бъдат изпълнени/резултатите, които трябва да бъдат постигнати, за да се извърши възстановяване на средства от Комисията</w:t>
            </w:r>
          </w:p>
        </w:tc>
        <w:tc>
          <w:tcPr>
            <w:tcW w:w="499" w:type="pct"/>
            <w:vAlign w:val="center"/>
          </w:tcPr>
          <w:p w14:paraId="3CDEEEB4" w14:textId="18CD861F" w:rsidR="00F27887" w:rsidRPr="00C51147" w:rsidRDefault="00C51147" w:rsidP="00F27887">
            <w:pPr>
              <w:rPr>
                <w:rFonts w:ascii="Times New Roman" w:hAnsi="Times New Roman" w:cs="Times New Roman"/>
                <w:b/>
                <w:sz w:val="18"/>
                <w:szCs w:val="18"/>
              </w:rPr>
            </w:pPr>
            <w:r w:rsidRPr="00C51147">
              <w:rPr>
                <w:rFonts w:ascii="Times New Roman" w:hAnsi="Times New Roman" w:cs="Times New Roman"/>
                <w:b/>
                <w:sz w:val="18"/>
                <w:szCs w:val="18"/>
              </w:rPr>
              <w:t xml:space="preserve">Предвиден вид метод за възстановяване на разходите, използван за възстановяване на разходите на </w:t>
            </w:r>
            <w:proofErr w:type="spellStart"/>
            <w:r w:rsidRPr="00C51147">
              <w:rPr>
                <w:rFonts w:ascii="Times New Roman" w:hAnsi="Times New Roman" w:cs="Times New Roman"/>
                <w:b/>
                <w:sz w:val="18"/>
                <w:szCs w:val="18"/>
              </w:rPr>
              <w:t>бенефициера</w:t>
            </w:r>
            <w:proofErr w:type="spellEnd"/>
            <w:r w:rsidRPr="00C51147">
              <w:rPr>
                <w:rFonts w:ascii="Times New Roman" w:hAnsi="Times New Roman" w:cs="Times New Roman"/>
                <w:b/>
                <w:sz w:val="18"/>
                <w:szCs w:val="18"/>
              </w:rPr>
              <w:t xml:space="preserve"> или </w:t>
            </w:r>
            <w:proofErr w:type="spellStart"/>
            <w:r w:rsidRPr="00C51147">
              <w:rPr>
                <w:rFonts w:ascii="Times New Roman" w:hAnsi="Times New Roman" w:cs="Times New Roman"/>
                <w:b/>
                <w:sz w:val="18"/>
                <w:szCs w:val="18"/>
              </w:rPr>
              <w:t>бенефициерите</w:t>
            </w:r>
            <w:proofErr w:type="spellEnd"/>
          </w:p>
        </w:tc>
      </w:tr>
      <w:tr w:rsidR="00C51147" w:rsidRPr="007A44A5" w14:paraId="6722C23C" w14:textId="77777777" w:rsidTr="00C51147">
        <w:tc>
          <w:tcPr>
            <w:tcW w:w="368" w:type="pct"/>
          </w:tcPr>
          <w:p w14:paraId="549E2E1B" w14:textId="77777777" w:rsidR="00F27887" w:rsidRPr="007A44A5" w:rsidRDefault="00F27887" w:rsidP="00F27887">
            <w:pPr>
              <w:rPr>
                <w:rFonts w:ascii="Times New Roman" w:hAnsi="Times New Roman" w:cs="Times New Roman"/>
                <w:sz w:val="18"/>
                <w:szCs w:val="18"/>
              </w:rPr>
            </w:pPr>
          </w:p>
        </w:tc>
        <w:tc>
          <w:tcPr>
            <w:tcW w:w="223" w:type="pct"/>
          </w:tcPr>
          <w:p w14:paraId="535B9B32" w14:textId="77777777" w:rsidR="00F27887" w:rsidRPr="007A44A5" w:rsidRDefault="00F27887" w:rsidP="00F27887">
            <w:pPr>
              <w:rPr>
                <w:rFonts w:ascii="Times New Roman" w:hAnsi="Times New Roman" w:cs="Times New Roman"/>
                <w:sz w:val="18"/>
                <w:szCs w:val="18"/>
              </w:rPr>
            </w:pPr>
          </w:p>
        </w:tc>
        <w:tc>
          <w:tcPr>
            <w:tcW w:w="418" w:type="pct"/>
          </w:tcPr>
          <w:p w14:paraId="7C5DC1C0" w14:textId="77777777" w:rsidR="00F27887" w:rsidRPr="007A44A5" w:rsidRDefault="00F27887" w:rsidP="00F27887">
            <w:pPr>
              <w:rPr>
                <w:rFonts w:ascii="Times New Roman" w:hAnsi="Times New Roman" w:cs="Times New Roman"/>
                <w:sz w:val="18"/>
                <w:szCs w:val="18"/>
              </w:rPr>
            </w:pPr>
          </w:p>
        </w:tc>
        <w:tc>
          <w:tcPr>
            <w:tcW w:w="357" w:type="pct"/>
          </w:tcPr>
          <w:p w14:paraId="33DED4DE" w14:textId="77777777" w:rsidR="00F27887" w:rsidRPr="007A44A5" w:rsidRDefault="00F27887" w:rsidP="00F27887">
            <w:pPr>
              <w:rPr>
                <w:rFonts w:ascii="Times New Roman" w:hAnsi="Times New Roman" w:cs="Times New Roman"/>
                <w:sz w:val="18"/>
                <w:szCs w:val="18"/>
              </w:rPr>
            </w:pPr>
          </w:p>
        </w:tc>
        <w:tc>
          <w:tcPr>
            <w:tcW w:w="503" w:type="pct"/>
          </w:tcPr>
          <w:p w14:paraId="069914B4" w14:textId="77777777" w:rsidR="00F27887" w:rsidRPr="007A44A5" w:rsidRDefault="00F27887" w:rsidP="00F27887">
            <w:pPr>
              <w:rPr>
                <w:rFonts w:ascii="Times New Roman" w:hAnsi="Times New Roman" w:cs="Times New Roman"/>
                <w:sz w:val="18"/>
                <w:szCs w:val="18"/>
              </w:rPr>
            </w:pPr>
          </w:p>
        </w:tc>
        <w:tc>
          <w:tcPr>
            <w:tcW w:w="206" w:type="pct"/>
            <w:shd w:val="clear" w:color="auto" w:fill="auto"/>
          </w:tcPr>
          <w:p w14:paraId="39BBFEE1" w14:textId="77777777" w:rsidR="00F27887" w:rsidRPr="00C51147" w:rsidRDefault="00F27887" w:rsidP="00F27887">
            <w:pPr>
              <w:rPr>
                <w:rFonts w:ascii="Times New Roman" w:hAnsi="Times New Roman" w:cs="Times New Roman"/>
                <w:b/>
                <w:sz w:val="18"/>
                <w:szCs w:val="18"/>
              </w:rPr>
            </w:pPr>
            <w:r w:rsidRPr="00C51147">
              <w:rPr>
                <w:rFonts w:ascii="Times New Roman" w:hAnsi="Times New Roman" w:cs="Times New Roman"/>
                <w:b/>
                <w:sz w:val="18"/>
                <w:szCs w:val="18"/>
              </w:rPr>
              <w:t>Код</w:t>
            </w:r>
            <w:r w:rsidRPr="00C51147">
              <w:rPr>
                <w:rFonts w:ascii="Times New Roman" w:hAnsi="Times New Roman" w:cs="Times New Roman"/>
                <w:b/>
                <w:sz w:val="18"/>
                <w:szCs w:val="18"/>
              </w:rPr>
              <w:footnoteReference w:id="1"/>
            </w:r>
            <w:r w:rsidRPr="00C51147">
              <w:rPr>
                <w:rFonts w:ascii="Times New Roman" w:hAnsi="Times New Roman" w:cs="Times New Roman"/>
                <w:b/>
                <w:sz w:val="18"/>
                <w:szCs w:val="18"/>
              </w:rPr>
              <w:t xml:space="preserve"> </w:t>
            </w:r>
          </w:p>
        </w:tc>
        <w:tc>
          <w:tcPr>
            <w:tcW w:w="504" w:type="pct"/>
          </w:tcPr>
          <w:p w14:paraId="7C2DCE22" w14:textId="77777777" w:rsidR="00F27887" w:rsidRPr="00C51147" w:rsidRDefault="00F27887" w:rsidP="00F27887">
            <w:pPr>
              <w:rPr>
                <w:rFonts w:ascii="Times New Roman" w:hAnsi="Times New Roman" w:cs="Times New Roman"/>
                <w:b/>
                <w:sz w:val="18"/>
                <w:szCs w:val="18"/>
              </w:rPr>
            </w:pPr>
            <w:r w:rsidRPr="00C51147">
              <w:rPr>
                <w:rFonts w:ascii="Times New Roman" w:hAnsi="Times New Roman" w:cs="Times New Roman"/>
                <w:b/>
                <w:sz w:val="18"/>
                <w:szCs w:val="18"/>
              </w:rPr>
              <w:t>Описание</w:t>
            </w:r>
          </w:p>
        </w:tc>
        <w:tc>
          <w:tcPr>
            <w:tcW w:w="661" w:type="pct"/>
          </w:tcPr>
          <w:p w14:paraId="0449EABD" w14:textId="77777777" w:rsidR="00F27887" w:rsidRPr="00C51147" w:rsidRDefault="00F27887" w:rsidP="00F27887">
            <w:pPr>
              <w:rPr>
                <w:rFonts w:ascii="Times New Roman" w:hAnsi="Times New Roman" w:cs="Times New Roman"/>
                <w:b/>
                <w:sz w:val="18"/>
                <w:szCs w:val="18"/>
              </w:rPr>
            </w:pPr>
          </w:p>
        </w:tc>
        <w:tc>
          <w:tcPr>
            <w:tcW w:w="206" w:type="pct"/>
            <w:shd w:val="clear" w:color="auto" w:fill="auto"/>
          </w:tcPr>
          <w:p w14:paraId="22BEF5DB" w14:textId="77777777" w:rsidR="00F27887" w:rsidRPr="00C51147" w:rsidRDefault="00F27887" w:rsidP="00F27887">
            <w:pPr>
              <w:rPr>
                <w:rFonts w:ascii="Times New Roman" w:hAnsi="Times New Roman" w:cs="Times New Roman"/>
                <w:b/>
                <w:sz w:val="18"/>
                <w:szCs w:val="18"/>
              </w:rPr>
            </w:pPr>
            <w:r w:rsidRPr="00C51147">
              <w:rPr>
                <w:rFonts w:ascii="Times New Roman" w:hAnsi="Times New Roman" w:cs="Times New Roman"/>
                <w:b/>
                <w:sz w:val="18"/>
                <w:szCs w:val="18"/>
              </w:rPr>
              <w:t>Код</w:t>
            </w:r>
            <w:r w:rsidRPr="00C51147">
              <w:rPr>
                <w:rFonts w:ascii="Times New Roman" w:hAnsi="Times New Roman" w:cs="Times New Roman"/>
                <w:b/>
                <w:sz w:val="18"/>
                <w:szCs w:val="18"/>
              </w:rPr>
              <w:footnoteReference w:id="2"/>
            </w:r>
          </w:p>
        </w:tc>
        <w:tc>
          <w:tcPr>
            <w:tcW w:w="339" w:type="pct"/>
          </w:tcPr>
          <w:p w14:paraId="12EA97F2" w14:textId="77777777" w:rsidR="00F27887" w:rsidRPr="00C51147" w:rsidRDefault="00F27887" w:rsidP="00F27887">
            <w:pPr>
              <w:rPr>
                <w:rFonts w:ascii="Times New Roman" w:hAnsi="Times New Roman" w:cs="Times New Roman"/>
                <w:b/>
                <w:sz w:val="18"/>
                <w:szCs w:val="18"/>
              </w:rPr>
            </w:pPr>
            <w:r w:rsidRPr="00C51147">
              <w:rPr>
                <w:rFonts w:ascii="Times New Roman" w:hAnsi="Times New Roman" w:cs="Times New Roman"/>
                <w:b/>
                <w:sz w:val="18"/>
                <w:szCs w:val="18"/>
              </w:rPr>
              <w:t>Описание</w:t>
            </w:r>
          </w:p>
        </w:tc>
        <w:tc>
          <w:tcPr>
            <w:tcW w:w="716" w:type="pct"/>
            <w:shd w:val="clear" w:color="auto" w:fill="auto"/>
          </w:tcPr>
          <w:p w14:paraId="4CD3DA08" w14:textId="77777777" w:rsidR="00F27887" w:rsidRPr="007A44A5" w:rsidRDefault="00F27887" w:rsidP="00F27887">
            <w:pPr>
              <w:rPr>
                <w:rFonts w:ascii="Times New Roman" w:hAnsi="Times New Roman" w:cs="Times New Roman"/>
                <w:sz w:val="18"/>
                <w:szCs w:val="18"/>
              </w:rPr>
            </w:pPr>
          </w:p>
        </w:tc>
        <w:tc>
          <w:tcPr>
            <w:tcW w:w="499" w:type="pct"/>
          </w:tcPr>
          <w:p w14:paraId="76604ACE" w14:textId="77777777" w:rsidR="00F27887" w:rsidRPr="007A44A5" w:rsidRDefault="00F27887" w:rsidP="00F27887">
            <w:pPr>
              <w:rPr>
                <w:rFonts w:ascii="Times New Roman" w:hAnsi="Times New Roman" w:cs="Times New Roman"/>
                <w:sz w:val="18"/>
                <w:szCs w:val="18"/>
              </w:rPr>
            </w:pPr>
          </w:p>
        </w:tc>
      </w:tr>
      <w:tr w:rsidR="00C51147" w:rsidRPr="007A44A5" w14:paraId="35AC78B3" w14:textId="77777777" w:rsidTr="00C51147">
        <w:tc>
          <w:tcPr>
            <w:tcW w:w="368" w:type="pct"/>
          </w:tcPr>
          <w:p w14:paraId="3B826C50" w14:textId="3F91390B" w:rsidR="00C51147" w:rsidRPr="007A44A5" w:rsidRDefault="00C51147" w:rsidP="00C51147">
            <w:pPr>
              <w:rPr>
                <w:rFonts w:ascii="Times New Roman" w:hAnsi="Times New Roman" w:cs="Times New Roman"/>
                <w:sz w:val="18"/>
                <w:szCs w:val="18"/>
              </w:rPr>
            </w:pPr>
            <w:r w:rsidRPr="007A44A5">
              <w:rPr>
                <w:rFonts w:ascii="Times New Roman" w:hAnsi="Times New Roman" w:cs="Times New Roman"/>
                <w:sz w:val="18"/>
                <w:szCs w:val="18"/>
              </w:rPr>
              <w:t>3</w:t>
            </w:r>
          </w:p>
        </w:tc>
        <w:tc>
          <w:tcPr>
            <w:tcW w:w="223" w:type="pct"/>
          </w:tcPr>
          <w:p w14:paraId="1581FDD9" w14:textId="77777777" w:rsidR="00C51147" w:rsidRPr="007A44A5" w:rsidRDefault="00C51147" w:rsidP="00C51147">
            <w:pPr>
              <w:rPr>
                <w:rFonts w:ascii="Times New Roman" w:hAnsi="Times New Roman" w:cs="Times New Roman"/>
                <w:sz w:val="18"/>
                <w:szCs w:val="18"/>
              </w:rPr>
            </w:pPr>
            <w:r w:rsidRPr="007A44A5">
              <w:rPr>
                <w:rFonts w:ascii="Times New Roman" w:hAnsi="Times New Roman" w:cs="Times New Roman"/>
                <w:sz w:val="18"/>
                <w:szCs w:val="18"/>
              </w:rPr>
              <w:t>ЕФРР</w:t>
            </w:r>
          </w:p>
        </w:tc>
        <w:tc>
          <w:tcPr>
            <w:tcW w:w="418" w:type="pct"/>
          </w:tcPr>
          <w:p w14:paraId="36F43DEE" w14:textId="349A00FE" w:rsidR="00C51147" w:rsidRPr="007A44A5" w:rsidRDefault="00C51147" w:rsidP="00C51147">
            <w:pPr>
              <w:rPr>
                <w:rFonts w:ascii="Times New Roman" w:hAnsi="Times New Roman" w:cs="Times New Roman"/>
                <w:sz w:val="18"/>
                <w:szCs w:val="18"/>
              </w:rPr>
            </w:pPr>
            <w:r w:rsidRPr="007A44A5">
              <w:rPr>
                <w:rFonts w:ascii="Times New Roman" w:hAnsi="Times New Roman" w:cs="Times New Roman"/>
                <w:sz w:val="18"/>
                <w:szCs w:val="18"/>
              </w:rPr>
              <w:t>Няма</w:t>
            </w:r>
          </w:p>
        </w:tc>
        <w:tc>
          <w:tcPr>
            <w:tcW w:w="357" w:type="pct"/>
          </w:tcPr>
          <w:p w14:paraId="2A1D0923" w14:textId="6E95EA1B" w:rsidR="00C51147" w:rsidRPr="007A44A5" w:rsidRDefault="00C51147" w:rsidP="00C51147">
            <w:pPr>
              <w:rPr>
                <w:rFonts w:ascii="Times New Roman" w:hAnsi="Times New Roman" w:cs="Times New Roman"/>
                <w:sz w:val="18"/>
                <w:szCs w:val="18"/>
              </w:rPr>
            </w:pPr>
            <w:r w:rsidRPr="007A44A5">
              <w:rPr>
                <w:rFonts w:ascii="Times New Roman" w:hAnsi="Times New Roman" w:cs="Times New Roman"/>
                <w:sz w:val="18"/>
                <w:szCs w:val="18"/>
              </w:rPr>
              <w:t>По-слабо развити региони</w:t>
            </w:r>
          </w:p>
        </w:tc>
        <w:tc>
          <w:tcPr>
            <w:tcW w:w="503" w:type="pct"/>
          </w:tcPr>
          <w:p w14:paraId="3ADDF6C1" w14:textId="77777777" w:rsidR="00C51147" w:rsidRPr="007A44A5" w:rsidRDefault="00C51147" w:rsidP="00C51147">
            <w:pPr>
              <w:rPr>
                <w:rFonts w:ascii="Times New Roman" w:hAnsi="Times New Roman" w:cs="Times New Roman"/>
                <w:sz w:val="18"/>
                <w:szCs w:val="18"/>
              </w:rPr>
            </w:pPr>
            <w:r w:rsidRPr="007A44A5">
              <w:rPr>
                <w:rFonts w:ascii="Times New Roman" w:hAnsi="Times New Roman" w:cs="Times New Roman"/>
                <w:sz w:val="18"/>
                <w:szCs w:val="18"/>
              </w:rPr>
              <w:t>22 694 117,65 евро общо (ЕФРР и национален принос)</w:t>
            </w:r>
          </w:p>
          <w:p w14:paraId="36F4479A" w14:textId="77777777" w:rsidR="00C51147" w:rsidRPr="007A44A5" w:rsidRDefault="00C51147" w:rsidP="00C51147">
            <w:pPr>
              <w:rPr>
                <w:rFonts w:ascii="Times New Roman" w:hAnsi="Times New Roman" w:cs="Times New Roman"/>
                <w:sz w:val="18"/>
                <w:szCs w:val="18"/>
              </w:rPr>
            </w:pPr>
          </w:p>
        </w:tc>
        <w:tc>
          <w:tcPr>
            <w:tcW w:w="206" w:type="pct"/>
            <w:shd w:val="clear" w:color="auto" w:fill="auto"/>
          </w:tcPr>
          <w:p w14:paraId="546BA826" w14:textId="6E5BF054" w:rsidR="00C51147" w:rsidRPr="007A44A5" w:rsidRDefault="00C51147" w:rsidP="00C51147">
            <w:pPr>
              <w:rPr>
                <w:rFonts w:ascii="Times New Roman" w:hAnsi="Times New Roman" w:cs="Times New Roman"/>
                <w:sz w:val="18"/>
                <w:szCs w:val="18"/>
              </w:rPr>
            </w:pPr>
            <w:r w:rsidRPr="007A44A5">
              <w:rPr>
                <w:rFonts w:ascii="Times New Roman" w:hAnsi="Times New Roman" w:cs="Times New Roman"/>
                <w:sz w:val="18"/>
                <w:szCs w:val="18"/>
              </w:rPr>
              <w:t>182</w:t>
            </w:r>
          </w:p>
        </w:tc>
        <w:tc>
          <w:tcPr>
            <w:tcW w:w="504" w:type="pct"/>
          </w:tcPr>
          <w:p w14:paraId="411EA567" w14:textId="63D11D36" w:rsidR="00C51147" w:rsidRPr="007A44A5" w:rsidRDefault="00C51147" w:rsidP="00C51147">
            <w:pPr>
              <w:rPr>
                <w:rFonts w:ascii="Times New Roman" w:hAnsi="Times New Roman" w:cs="Times New Roman"/>
                <w:sz w:val="18"/>
                <w:szCs w:val="18"/>
              </w:rPr>
            </w:pPr>
            <w:r w:rsidRPr="00C51147">
              <w:rPr>
                <w:rFonts w:ascii="Times New Roman" w:eastAsia="Times New Roman" w:hAnsi="Times New Roman" w:cs="Times New Roman"/>
                <w:color w:val="000000"/>
                <w:sz w:val="20"/>
                <w:szCs w:val="20"/>
                <w:lang w:eastAsia="en-IE"/>
              </w:rPr>
              <w:t xml:space="preserve">Укрепване на капацитета на органите на държавите членки, </w:t>
            </w:r>
            <w:proofErr w:type="spellStart"/>
            <w:r w:rsidRPr="00C51147">
              <w:rPr>
                <w:rFonts w:ascii="Times New Roman" w:eastAsia="Times New Roman" w:hAnsi="Times New Roman" w:cs="Times New Roman"/>
                <w:color w:val="000000"/>
                <w:sz w:val="20"/>
                <w:szCs w:val="20"/>
                <w:lang w:eastAsia="en-IE"/>
              </w:rPr>
              <w:lastRenderedPageBreak/>
              <w:t>бенефициерите</w:t>
            </w:r>
            <w:proofErr w:type="spellEnd"/>
            <w:r w:rsidRPr="00C51147">
              <w:rPr>
                <w:rFonts w:ascii="Times New Roman" w:eastAsia="Times New Roman" w:hAnsi="Times New Roman" w:cs="Times New Roman"/>
                <w:color w:val="000000"/>
                <w:sz w:val="20"/>
                <w:szCs w:val="20"/>
                <w:lang w:eastAsia="en-IE"/>
              </w:rPr>
              <w:t xml:space="preserve"> и съответните партньори</w:t>
            </w:r>
          </w:p>
        </w:tc>
        <w:tc>
          <w:tcPr>
            <w:tcW w:w="661" w:type="pct"/>
          </w:tcPr>
          <w:p w14:paraId="3ADB47E5" w14:textId="77777777" w:rsidR="00C51147" w:rsidRDefault="00C51147" w:rsidP="00C51147">
            <w:pPr>
              <w:pStyle w:val="ListParagraph"/>
              <w:numPr>
                <w:ilvl w:val="0"/>
                <w:numId w:val="20"/>
              </w:numPr>
              <w:ind w:left="219" w:right="125" w:hanging="142"/>
              <w:rPr>
                <w:sz w:val="18"/>
                <w:szCs w:val="18"/>
              </w:rPr>
            </w:pPr>
            <w:r w:rsidRPr="007A44A5">
              <w:rPr>
                <w:sz w:val="18"/>
                <w:szCs w:val="18"/>
              </w:rPr>
              <w:lastRenderedPageBreak/>
              <w:t>Осигурен</w:t>
            </w:r>
            <w:r>
              <w:rPr>
                <w:sz w:val="18"/>
                <w:szCs w:val="18"/>
                <w:lang w:val="bg-BG"/>
              </w:rPr>
              <w:t>а пул</w:t>
            </w:r>
            <w:r w:rsidRPr="007A44A5">
              <w:rPr>
                <w:sz w:val="18"/>
                <w:szCs w:val="18"/>
              </w:rPr>
              <w:t xml:space="preserve"> от експерти и предоставени услуги за трансфер на знания (най-малко 10 500 </w:t>
            </w:r>
            <w:proofErr w:type="spellStart"/>
            <w:r w:rsidRPr="007A44A5">
              <w:rPr>
                <w:sz w:val="18"/>
                <w:szCs w:val="18"/>
              </w:rPr>
              <w:t>човекодни</w:t>
            </w:r>
            <w:proofErr w:type="spellEnd"/>
            <w:r w:rsidRPr="007A44A5">
              <w:rPr>
                <w:sz w:val="18"/>
                <w:szCs w:val="18"/>
              </w:rPr>
              <w:t>) и изпълнени най-</w:t>
            </w:r>
            <w:r w:rsidRPr="007A44A5">
              <w:rPr>
                <w:sz w:val="18"/>
                <w:szCs w:val="18"/>
              </w:rPr>
              <w:lastRenderedPageBreak/>
              <w:t>малко 60 тематични събития (следвайки междинните резултати, както е определено в таблица Б, част 7)</w:t>
            </w:r>
          </w:p>
          <w:p w14:paraId="0961DE6F" w14:textId="77777777" w:rsidR="00C51147" w:rsidRPr="007A44A5" w:rsidRDefault="00C51147" w:rsidP="00C51147">
            <w:pPr>
              <w:pStyle w:val="ListParagraph"/>
              <w:ind w:left="219" w:right="125"/>
              <w:rPr>
                <w:sz w:val="18"/>
                <w:szCs w:val="18"/>
              </w:rPr>
            </w:pPr>
          </w:p>
          <w:p w14:paraId="0A9EEB52" w14:textId="77777777" w:rsidR="00C51147" w:rsidRDefault="00C51147" w:rsidP="00C51147">
            <w:pPr>
              <w:pStyle w:val="ListParagraph"/>
              <w:numPr>
                <w:ilvl w:val="0"/>
                <w:numId w:val="20"/>
              </w:numPr>
              <w:ind w:left="219" w:right="125" w:hanging="142"/>
              <w:rPr>
                <w:sz w:val="18"/>
                <w:szCs w:val="18"/>
              </w:rPr>
            </w:pPr>
            <w:r w:rsidRPr="007A44A5">
              <w:rPr>
                <w:sz w:val="18"/>
                <w:szCs w:val="18"/>
              </w:rPr>
              <w:t>ИТ платформата е разработена и функционира. Изготвена и съгласувана с ЕК функционална и техническа спецификация, включително разчети на разходите и график за изпълнение на ИТ платформата преди началото на изпълнението на дейността. Финансовото разпределение за разработване и експлоатация на тази платформа може да бъде потвърдено или кориги</w:t>
            </w:r>
            <w:r>
              <w:rPr>
                <w:sz w:val="18"/>
                <w:szCs w:val="18"/>
              </w:rPr>
              <w:t xml:space="preserve">рано въз </w:t>
            </w:r>
            <w:r>
              <w:rPr>
                <w:sz w:val="18"/>
                <w:szCs w:val="18"/>
              </w:rPr>
              <w:lastRenderedPageBreak/>
              <w:t>основа на това условие.</w:t>
            </w:r>
          </w:p>
          <w:p w14:paraId="0DB65599" w14:textId="77777777" w:rsidR="00C51147" w:rsidRPr="003F2A47" w:rsidRDefault="00C51147" w:rsidP="00C51147">
            <w:pPr>
              <w:ind w:right="125"/>
              <w:rPr>
                <w:sz w:val="18"/>
                <w:szCs w:val="18"/>
              </w:rPr>
            </w:pPr>
          </w:p>
          <w:p w14:paraId="26FE99E3" w14:textId="77777777" w:rsidR="00C51147" w:rsidRDefault="00C51147" w:rsidP="00C51147">
            <w:pPr>
              <w:pStyle w:val="ListParagraph"/>
              <w:numPr>
                <w:ilvl w:val="0"/>
                <w:numId w:val="20"/>
              </w:numPr>
              <w:ind w:left="219" w:right="125" w:hanging="142"/>
              <w:rPr>
                <w:sz w:val="18"/>
                <w:szCs w:val="18"/>
              </w:rPr>
            </w:pPr>
            <w:r w:rsidRPr="007A44A5">
              <w:rPr>
                <w:sz w:val="18"/>
                <w:szCs w:val="18"/>
              </w:rPr>
              <w:t xml:space="preserve">Създадена е система за </w:t>
            </w:r>
            <w:r>
              <w:rPr>
                <w:sz w:val="18"/>
                <w:szCs w:val="18"/>
                <w:lang w:val="bg-BG"/>
              </w:rPr>
              <w:t xml:space="preserve">постоянна </w:t>
            </w:r>
            <w:r w:rsidRPr="007A44A5">
              <w:rPr>
                <w:sz w:val="18"/>
                <w:szCs w:val="18"/>
              </w:rPr>
              <w:t>обратна връзка –</w:t>
            </w:r>
            <w:r>
              <w:rPr>
                <w:sz w:val="18"/>
                <w:szCs w:val="18"/>
                <w:lang w:val="en-US"/>
              </w:rPr>
              <w:t xml:space="preserve"> </w:t>
            </w:r>
            <w:r w:rsidRPr="007A44A5">
              <w:rPr>
                <w:sz w:val="18"/>
                <w:szCs w:val="18"/>
              </w:rPr>
              <w:t>базов анализ за състоянието на информираност, нуждите от изграждане на капацитет и очакванията на заинтересованите страни; междинна и крайна оценка на информираността, капацитета и удовлетвореността на заинтересованите страни;</w:t>
            </w:r>
          </w:p>
          <w:p w14:paraId="10626200" w14:textId="77777777" w:rsidR="00C51147" w:rsidRPr="003F2A47" w:rsidRDefault="00C51147" w:rsidP="00C51147">
            <w:pPr>
              <w:ind w:right="125"/>
              <w:rPr>
                <w:sz w:val="18"/>
                <w:szCs w:val="18"/>
              </w:rPr>
            </w:pPr>
          </w:p>
          <w:p w14:paraId="295646E2" w14:textId="659D539C" w:rsidR="00C51147" w:rsidRPr="007A44A5" w:rsidRDefault="00C51147" w:rsidP="00C51147">
            <w:pPr>
              <w:pStyle w:val="ListParagraph"/>
              <w:numPr>
                <w:ilvl w:val="0"/>
                <w:numId w:val="20"/>
              </w:numPr>
              <w:ind w:left="219" w:right="125" w:hanging="142"/>
              <w:rPr>
                <w:sz w:val="18"/>
                <w:szCs w:val="18"/>
              </w:rPr>
            </w:pPr>
            <w:r>
              <w:rPr>
                <w:sz w:val="18"/>
                <w:szCs w:val="18"/>
                <w:lang w:val="bg-BG"/>
              </w:rPr>
              <w:t>Изпълнени</w:t>
            </w:r>
            <w:r w:rsidRPr="007A44A5">
              <w:rPr>
                <w:sz w:val="18"/>
                <w:szCs w:val="18"/>
              </w:rPr>
              <w:t xml:space="preserve"> действия за укрепване подхода на многостепенно управление: изпълнени са пилотни </w:t>
            </w:r>
            <w:r w:rsidR="00182EFE">
              <w:rPr>
                <w:sz w:val="18"/>
                <w:szCs w:val="18"/>
                <w:lang w:val="bg-BG"/>
              </w:rPr>
              <w:t>инициативи</w:t>
            </w:r>
            <w:r>
              <w:rPr>
                <w:sz w:val="18"/>
                <w:szCs w:val="18"/>
                <w:lang w:val="bg-BG"/>
              </w:rPr>
              <w:t xml:space="preserve"> </w:t>
            </w:r>
            <w:r w:rsidRPr="007A44A5">
              <w:rPr>
                <w:sz w:val="18"/>
                <w:szCs w:val="18"/>
              </w:rPr>
              <w:t xml:space="preserve">и са </w:t>
            </w:r>
            <w:r w:rsidRPr="007A44A5">
              <w:rPr>
                <w:sz w:val="18"/>
                <w:szCs w:val="18"/>
              </w:rPr>
              <w:lastRenderedPageBreak/>
              <w:t xml:space="preserve">съгласувани тригодишни планове за действие с ЕК за прилагане на </w:t>
            </w:r>
            <w:proofErr w:type="spellStart"/>
            <w:r w:rsidR="00F9321B">
              <w:rPr>
                <w:sz w:val="18"/>
                <w:szCs w:val="18"/>
              </w:rPr>
              <w:t>механизм</w:t>
            </w:r>
            <w:proofErr w:type="spellEnd"/>
            <w:r>
              <w:rPr>
                <w:sz w:val="18"/>
                <w:szCs w:val="18"/>
                <w:lang w:val="bg-BG"/>
              </w:rPr>
              <w:t>а</w:t>
            </w:r>
            <w:r w:rsidRPr="007A44A5">
              <w:rPr>
                <w:sz w:val="18"/>
                <w:szCs w:val="18"/>
              </w:rPr>
              <w:t xml:space="preserve"> за многостепенно управление (включително прогнозни разходи, график за изпълнение, крайни продукти/резултати, отговорник). Тези планове ще бъдат съгласувани с ЕК и ще бъдат предпоставка за отпускане на средствата, предвидени за изпълнение на действията на механизма за многостепенно управление.</w:t>
            </w:r>
          </w:p>
          <w:p w14:paraId="724D7D9F" w14:textId="77777777" w:rsidR="00C51147" w:rsidRPr="007A44A5" w:rsidRDefault="00C51147" w:rsidP="00C51147">
            <w:pPr>
              <w:ind w:left="219" w:hanging="142"/>
              <w:rPr>
                <w:rFonts w:ascii="Times New Roman" w:hAnsi="Times New Roman" w:cs="Times New Roman"/>
                <w:sz w:val="18"/>
                <w:szCs w:val="18"/>
              </w:rPr>
            </w:pPr>
          </w:p>
        </w:tc>
        <w:tc>
          <w:tcPr>
            <w:tcW w:w="206" w:type="pct"/>
            <w:shd w:val="clear" w:color="auto" w:fill="auto"/>
          </w:tcPr>
          <w:p w14:paraId="21D91EC5" w14:textId="6DEA1E5F" w:rsidR="00C51147" w:rsidRPr="007A44A5" w:rsidRDefault="00C51147" w:rsidP="00C51147">
            <w:pPr>
              <w:rPr>
                <w:rFonts w:ascii="Times New Roman" w:hAnsi="Times New Roman" w:cs="Times New Roman"/>
                <w:sz w:val="18"/>
                <w:szCs w:val="18"/>
              </w:rPr>
            </w:pPr>
            <w:r w:rsidRPr="00DA534B">
              <w:rPr>
                <w:rFonts w:ascii="inherit" w:hAnsi="inherit"/>
                <w:color w:val="000000"/>
                <w:sz w:val="18"/>
                <w:szCs w:val="18"/>
                <w:lang w:val="bg-BG" w:eastAsia="bg-BG"/>
              </w:rPr>
              <w:lastRenderedPageBreak/>
              <w:t> </w:t>
            </w:r>
          </w:p>
        </w:tc>
        <w:tc>
          <w:tcPr>
            <w:tcW w:w="339" w:type="pct"/>
          </w:tcPr>
          <w:p w14:paraId="499C0D49" w14:textId="77777777" w:rsidR="00C51147" w:rsidRDefault="00C51147" w:rsidP="00C51147">
            <w:pPr>
              <w:pStyle w:val="ListParagraph"/>
              <w:numPr>
                <w:ilvl w:val="3"/>
                <w:numId w:val="1"/>
              </w:numPr>
              <w:ind w:left="178" w:right="157" w:hanging="182"/>
              <w:rPr>
                <w:sz w:val="18"/>
                <w:szCs w:val="18"/>
              </w:rPr>
            </w:pPr>
            <w:r w:rsidRPr="007A44A5">
              <w:rPr>
                <w:sz w:val="18"/>
                <w:szCs w:val="18"/>
              </w:rPr>
              <w:t xml:space="preserve">10 500 </w:t>
            </w:r>
            <w:proofErr w:type="spellStart"/>
            <w:r w:rsidRPr="007A44A5">
              <w:rPr>
                <w:sz w:val="18"/>
                <w:szCs w:val="18"/>
              </w:rPr>
              <w:t>човекодни</w:t>
            </w:r>
            <w:proofErr w:type="spellEnd"/>
            <w:r w:rsidRPr="007A44A5">
              <w:rPr>
                <w:sz w:val="18"/>
                <w:szCs w:val="18"/>
              </w:rPr>
              <w:t xml:space="preserve"> на външни</w:t>
            </w:r>
            <w:r>
              <w:rPr>
                <w:sz w:val="18"/>
                <w:szCs w:val="18"/>
                <w:lang w:val="bg-BG"/>
              </w:rPr>
              <w:t>те</w:t>
            </w:r>
            <w:r w:rsidRPr="007A44A5">
              <w:rPr>
                <w:sz w:val="18"/>
                <w:szCs w:val="18"/>
              </w:rPr>
              <w:t xml:space="preserve"> експерти за трансфер на знания/консултации (вижте приложение 1 „Разходи“);</w:t>
            </w:r>
          </w:p>
          <w:p w14:paraId="02B67D38" w14:textId="77777777" w:rsidR="00C51147" w:rsidRPr="007A44A5" w:rsidRDefault="00C51147" w:rsidP="00C51147">
            <w:pPr>
              <w:pStyle w:val="ListParagraph"/>
              <w:ind w:left="178" w:right="157"/>
              <w:rPr>
                <w:sz w:val="18"/>
                <w:szCs w:val="18"/>
              </w:rPr>
            </w:pPr>
          </w:p>
          <w:p w14:paraId="2DEE7CB3" w14:textId="77777777" w:rsidR="00C51147" w:rsidRDefault="00C51147" w:rsidP="00C51147">
            <w:pPr>
              <w:pStyle w:val="ListParagraph"/>
              <w:numPr>
                <w:ilvl w:val="3"/>
                <w:numId w:val="1"/>
              </w:numPr>
              <w:ind w:left="178" w:right="157" w:hanging="182"/>
              <w:rPr>
                <w:sz w:val="18"/>
                <w:szCs w:val="18"/>
              </w:rPr>
            </w:pPr>
            <w:r w:rsidRPr="007A44A5">
              <w:rPr>
                <w:sz w:val="18"/>
                <w:szCs w:val="18"/>
              </w:rPr>
              <w:t>60 тематични събития през периода 2023-2028 г.;</w:t>
            </w:r>
          </w:p>
          <w:p w14:paraId="3132B114" w14:textId="77777777" w:rsidR="00C51147" w:rsidRPr="003F2A47" w:rsidRDefault="00C51147" w:rsidP="00C51147">
            <w:pPr>
              <w:ind w:right="157"/>
              <w:rPr>
                <w:sz w:val="18"/>
                <w:szCs w:val="18"/>
              </w:rPr>
            </w:pPr>
          </w:p>
          <w:p w14:paraId="00C012C7" w14:textId="77777777" w:rsidR="00C51147" w:rsidRDefault="00C51147" w:rsidP="00C51147">
            <w:pPr>
              <w:pStyle w:val="ListParagraph"/>
              <w:numPr>
                <w:ilvl w:val="3"/>
                <w:numId w:val="1"/>
              </w:numPr>
              <w:ind w:left="178" w:right="157" w:hanging="182"/>
              <w:rPr>
                <w:sz w:val="18"/>
                <w:szCs w:val="18"/>
              </w:rPr>
            </w:pPr>
            <w:r w:rsidRPr="007A44A5">
              <w:rPr>
                <w:sz w:val="18"/>
                <w:szCs w:val="18"/>
              </w:rPr>
              <w:t xml:space="preserve">1 ИТ платформа, </w:t>
            </w:r>
            <w:r>
              <w:rPr>
                <w:sz w:val="18"/>
                <w:szCs w:val="18"/>
                <w:lang w:val="bg-BG"/>
              </w:rPr>
              <w:t>разработена съгласно</w:t>
            </w:r>
            <w:r w:rsidRPr="007A44A5">
              <w:rPr>
                <w:sz w:val="18"/>
                <w:szCs w:val="18"/>
              </w:rPr>
              <w:t xml:space="preserve"> съгласувана функционална и техническа спецификация;</w:t>
            </w:r>
          </w:p>
          <w:p w14:paraId="639D0CD8" w14:textId="77777777" w:rsidR="00C51147" w:rsidRPr="003F2A47" w:rsidRDefault="00C51147" w:rsidP="00C51147">
            <w:pPr>
              <w:ind w:right="157"/>
              <w:rPr>
                <w:sz w:val="18"/>
                <w:szCs w:val="18"/>
              </w:rPr>
            </w:pPr>
          </w:p>
          <w:p w14:paraId="1B02AF49" w14:textId="5F9D6269" w:rsidR="00C51147" w:rsidRDefault="00C51147" w:rsidP="00C51147">
            <w:pPr>
              <w:pStyle w:val="ListParagraph"/>
              <w:numPr>
                <w:ilvl w:val="3"/>
                <w:numId w:val="1"/>
              </w:numPr>
              <w:ind w:left="178" w:right="157" w:hanging="182"/>
              <w:rPr>
                <w:sz w:val="18"/>
                <w:szCs w:val="18"/>
              </w:rPr>
            </w:pPr>
            <w:r w:rsidRPr="007A44A5">
              <w:rPr>
                <w:sz w:val="18"/>
                <w:szCs w:val="18"/>
              </w:rPr>
              <w:t xml:space="preserve">3 пилотни </w:t>
            </w:r>
            <w:r w:rsidR="00182EFE">
              <w:rPr>
                <w:sz w:val="18"/>
                <w:szCs w:val="18"/>
                <w:lang w:val="bg-BG"/>
              </w:rPr>
              <w:t>инициативи</w:t>
            </w:r>
            <w:r w:rsidRPr="00F9321B">
              <w:rPr>
                <w:sz w:val="18"/>
                <w:szCs w:val="18"/>
              </w:rPr>
              <w:t>,</w:t>
            </w:r>
            <w:r w:rsidRPr="007A44A5">
              <w:rPr>
                <w:sz w:val="18"/>
                <w:szCs w:val="18"/>
              </w:rPr>
              <w:t xml:space="preserve"> изпълнени до края на 2024 г. за насърчаване ангажираността на заинтересованите страни;</w:t>
            </w:r>
          </w:p>
          <w:p w14:paraId="510B4947" w14:textId="77777777" w:rsidR="00C51147" w:rsidRPr="003F2A47" w:rsidRDefault="00C51147" w:rsidP="00C51147">
            <w:pPr>
              <w:ind w:right="157"/>
              <w:rPr>
                <w:sz w:val="18"/>
                <w:szCs w:val="18"/>
              </w:rPr>
            </w:pPr>
          </w:p>
          <w:p w14:paraId="390706C1" w14:textId="33D52EB6" w:rsidR="00C51147" w:rsidRPr="003F2A47" w:rsidRDefault="00C51147" w:rsidP="00C51147">
            <w:pPr>
              <w:pStyle w:val="ListParagraph"/>
              <w:numPr>
                <w:ilvl w:val="3"/>
                <w:numId w:val="1"/>
              </w:numPr>
              <w:ind w:left="178" w:right="157" w:hanging="182"/>
              <w:rPr>
                <w:sz w:val="18"/>
                <w:szCs w:val="18"/>
              </w:rPr>
            </w:pPr>
            <w:r w:rsidRPr="007A44A5">
              <w:rPr>
                <w:sz w:val="18"/>
                <w:szCs w:val="18"/>
              </w:rPr>
              <w:t xml:space="preserve">2 тригодишни плана за действие за прилагане </w:t>
            </w:r>
            <w:proofErr w:type="spellStart"/>
            <w:r w:rsidRPr="007A44A5">
              <w:rPr>
                <w:sz w:val="18"/>
                <w:szCs w:val="18"/>
              </w:rPr>
              <w:t>механиз</w:t>
            </w:r>
            <w:proofErr w:type="spellEnd"/>
            <w:r>
              <w:rPr>
                <w:sz w:val="18"/>
                <w:szCs w:val="18"/>
                <w:lang w:val="bg-BG"/>
              </w:rPr>
              <w:t>ма</w:t>
            </w:r>
            <w:r w:rsidRPr="007A44A5">
              <w:rPr>
                <w:sz w:val="18"/>
                <w:szCs w:val="18"/>
              </w:rPr>
              <w:t xml:space="preserve"> за многостепенно управление: броят и свързаните с тях </w:t>
            </w:r>
            <w:r w:rsidRPr="007A44A5">
              <w:rPr>
                <w:sz w:val="18"/>
                <w:szCs w:val="18"/>
              </w:rPr>
              <w:lastRenderedPageBreak/>
              <w:t>индикатори за действия ще бъдат определени чрез изменение на тази схема след съгласуване на плановете за действие.</w:t>
            </w:r>
          </w:p>
          <w:p w14:paraId="5D9AEB69" w14:textId="77777777" w:rsidR="00C51147" w:rsidRPr="007A44A5" w:rsidRDefault="00C51147" w:rsidP="00C51147">
            <w:pPr>
              <w:ind w:left="142"/>
              <w:rPr>
                <w:rFonts w:ascii="Times New Roman" w:hAnsi="Times New Roman" w:cs="Times New Roman"/>
                <w:sz w:val="18"/>
                <w:szCs w:val="18"/>
              </w:rPr>
            </w:pPr>
          </w:p>
          <w:p w14:paraId="1B45F80F" w14:textId="77777777" w:rsidR="00C51147" w:rsidRPr="003F2A47" w:rsidRDefault="00C51147" w:rsidP="00C51147">
            <w:pPr>
              <w:ind w:left="142"/>
              <w:rPr>
                <w:rFonts w:ascii="Times New Roman" w:hAnsi="Times New Roman" w:cs="Times New Roman"/>
                <w:i/>
              </w:rPr>
            </w:pPr>
            <w:r w:rsidRPr="003F2A47">
              <w:rPr>
                <w:rFonts w:ascii="Times New Roman" w:hAnsi="Times New Roman" w:cs="Times New Roman"/>
                <w:i/>
                <w:sz w:val="18"/>
                <w:szCs w:val="18"/>
              </w:rPr>
              <w:t>За подробно изчисляване на показателите, моля, вижте Приложение 1 „Информация за разходите“</w:t>
            </w:r>
          </w:p>
          <w:p w14:paraId="3DADA691" w14:textId="209DA058" w:rsidR="00C51147" w:rsidRPr="007A44A5" w:rsidRDefault="00C51147" w:rsidP="00C51147">
            <w:pPr>
              <w:ind w:left="142"/>
              <w:rPr>
                <w:rFonts w:ascii="Times New Roman" w:hAnsi="Times New Roman" w:cs="Times New Roman"/>
              </w:rPr>
            </w:pPr>
          </w:p>
        </w:tc>
        <w:tc>
          <w:tcPr>
            <w:tcW w:w="716" w:type="pct"/>
            <w:shd w:val="clear" w:color="auto" w:fill="auto"/>
          </w:tcPr>
          <w:p w14:paraId="664A13EA" w14:textId="77777777" w:rsidR="00C51147" w:rsidRPr="007A44A5" w:rsidRDefault="00C51147" w:rsidP="00C51147">
            <w:pPr>
              <w:ind w:left="114"/>
              <w:rPr>
                <w:rFonts w:ascii="Times New Roman" w:hAnsi="Times New Roman" w:cs="Times New Roman"/>
                <w:sz w:val="18"/>
                <w:szCs w:val="18"/>
              </w:rPr>
            </w:pPr>
            <w:r w:rsidRPr="007A44A5">
              <w:rPr>
                <w:rFonts w:ascii="Times New Roman" w:hAnsi="Times New Roman" w:cs="Times New Roman"/>
                <w:sz w:val="18"/>
                <w:szCs w:val="18"/>
              </w:rPr>
              <w:lastRenderedPageBreak/>
              <w:t xml:space="preserve">Брой </w:t>
            </w:r>
            <w:proofErr w:type="spellStart"/>
            <w:r w:rsidRPr="007A44A5">
              <w:rPr>
                <w:rFonts w:ascii="Times New Roman" w:hAnsi="Times New Roman" w:cs="Times New Roman"/>
                <w:sz w:val="18"/>
                <w:szCs w:val="18"/>
              </w:rPr>
              <w:t>човекодни</w:t>
            </w:r>
            <w:proofErr w:type="spellEnd"/>
            <w:r w:rsidRPr="007A44A5">
              <w:rPr>
                <w:rFonts w:ascii="Times New Roman" w:hAnsi="Times New Roman" w:cs="Times New Roman"/>
                <w:sz w:val="18"/>
                <w:szCs w:val="18"/>
              </w:rPr>
              <w:t xml:space="preserve"> на външни експерти за трансфер на знания/консултации</w:t>
            </w:r>
          </w:p>
          <w:p w14:paraId="42EAE840" w14:textId="77777777" w:rsidR="00C51147" w:rsidRDefault="00C51147" w:rsidP="00C51147">
            <w:pPr>
              <w:ind w:left="114"/>
              <w:rPr>
                <w:sz w:val="18"/>
                <w:szCs w:val="18"/>
              </w:rPr>
            </w:pPr>
          </w:p>
          <w:p w14:paraId="48DCBCD6" w14:textId="77777777" w:rsidR="00C51147" w:rsidRPr="007A44A5" w:rsidRDefault="00C51147" w:rsidP="00C51147">
            <w:pPr>
              <w:ind w:left="114"/>
              <w:rPr>
                <w:rFonts w:ascii="Times New Roman" w:hAnsi="Times New Roman" w:cs="Times New Roman"/>
                <w:sz w:val="18"/>
                <w:szCs w:val="18"/>
              </w:rPr>
            </w:pPr>
            <w:r w:rsidRPr="007A44A5">
              <w:rPr>
                <w:rFonts w:ascii="Times New Roman" w:hAnsi="Times New Roman" w:cs="Times New Roman"/>
                <w:sz w:val="18"/>
                <w:szCs w:val="18"/>
              </w:rPr>
              <w:lastRenderedPageBreak/>
              <w:t>Брой тематични събития през периода 2023-2028 г</w:t>
            </w:r>
          </w:p>
          <w:p w14:paraId="5745328F" w14:textId="77777777" w:rsidR="00C51147" w:rsidRDefault="00C51147" w:rsidP="00C51147">
            <w:pPr>
              <w:ind w:left="114"/>
              <w:rPr>
                <w:sz w:val="18"/>
                <w:szCs w:val="18"/>
              </w:rPr>
            </w:pPr>
          </w:p>
          <w:p w14:paraId="79F37B2F" w14:textId="2EC63330" w:rsidR="00C51147" w:rsidRPr="00416311" w:rsidRDefault="00416311" w:rsidP="00C51147">
            <w:pPr>
              <w:ind w:left="114"/>
              <w:rPr>
                <w:rFonts w:ascii="Times New Roman" w:hAnsi="Times New Roman" w:cs="Times New Roman"/>
                <w:sz w:val="18"/>
                <w:szCs w:val="18"/>
              </w:rPr>
            </w:pPr>
            <w:r w:rsidRPr="00416311">
              <w:rPr>
                <w:rFonts w:ascii="Times New Roman" w:hAnsi="Times New Roman" w:cs="Times New Roman"/>
                <w:sz w:val="18"/>
                <w:szCs w:val="18"/>
              </w:rPr>
              <w:t xml:space="preserve">Брой разработени ИТ платформи </w:t>
            </w:r>
          </w:p>
          <w:p w14:paraId="0CC9BBEE" w14:textId="146DCA6C" w:rsidR="00C51147" w:rsidRPr="007A44A5" w:rsidRDefault="00C51147" w:rsidP="00C51147">
            <w:pPr>
              <w:ind w:left="114"/>
              <w:rPr>
                <w:rFonts w:ascii="Times New Roman" w:hAnsi="Times New Roman" w:cs="Times New Roman"/>
                <w:sz w:val="18"/>
                <w:szCs w:val="18"/>
              </w:rPr>
            </w:pPr>
            <w:r w:rsidRPr="007A44A5">
              <w:rPr>
                <w:rFonts w:ascii="Times New Roman" w:hAnsi="Times New Roman" w:cs="Times New Roman"/>
                <w:sz w:val="18"/>
                <w:szCs w:val="18"/>
              </w:rPr>
              <w:t xml:space="preserve">Брой пилотни </w:t>
            </w:r>
            <w:r w:rsidR="00182EFE">
              <w:rPr>
                <w:rFonts w:ascii="Times New Roman" w:hAnsi="Times New Roman" w:cs="Times New Roman"/>
                <w:sz w:val="18"/>
                <w:szCs w:val="18"/>
                <w:lang w:val="bg-BG"/>
              </w:rPr>
              <w:t>инициативи</w:t>
            </w:r>
            <w:r w:rsidRPr="00F9321B">
              <w:rPr>
                <w:rFonts w:ascii="Times New Roman" w:hAnsi="Times New Roman" w:cs="Times New Roman"/>
                <w:sz w:val="18"/>
                <w:szCs w:val="18"/>
              </w:rPr>
              <w:t>,</w:t>
            </w:r>
            <w:r w:rsidRPr="007A44A5">
              <w:rPr>
                <w:rFonts w:ascii="Times New Roman" w:hAnsi="Times New Roman" w:cs="Times New Roman"/>
                <w:sz w:val="18"/>
                <w:szCs w:val="18"/>
              </w:rPr>
              <w:t xml:space="preserve"> </w:t>
            </w:r>
            <w:r w:rsidRPr="00416311">
              <w:rPr>
                <w:rFonts w:ascii="Times New Roman" w:hAnsi="Times New Roman" w:cs="Times New Roman"/>
                <w:sz w:val="18"/>
                <w:szCs w:val="18"/>
              </w:rPr>
              <w:t>реализирани</w:t>
            </w:r>
            <w:r w:rsidRPr="007A44A5">
              <w:rPr>
                <w:rFonts w:ascii="Times New Roman" w:hAnsi="Times New Roman" w:cs="Times New Roman"/>
                <w:sz w:val="18"/>
                <w:szCs w:val="18"/>
              </w:rPr>
              <w:t xml:space="preserve"> до края на 2024 г. за насърчаване на ангажираността на заинтересованите страни</w:t>
            </w:r>
          </w:p>
          <w:p w14:paraId="323B44B2" w14:textId="77777777" w:rsidR="00C51147" w:rsidRDefault="00C51147" w:rsidP="00C51147">
            <w:pPr>
              <w:ind w:left="114"/>
              <w:rPr>
                <w:sz w:val="18"/>
                <w:szCs w:val="18"/>
              </w:rPr>
            </w:pPr>
          </w:p>
          <w:p w14:paraId="26C73316" w14:textId="52FB3D97" w:rsidR="00C51147" w:rsidRPr="007A44A5" w:rsidRDefault="00C51147" w:rsidP="00C51147">
            <w:pPr>
              <w:ind w:left="114"/>
              <w:rPr>
                <w:rFonts w:ascii="Times New Roman" w:hAnsi="Times New Roman" w:cs="Times New Roman"/>
                <w:sz w:val="18"/>
                <w:szCs w:val="18"/>
              </w:rPr>
            </w:pPr>
            <w:r w:rsidRPr="007A44A5">
              <w:rPr>
                <w:rFonts w:ascii="Times New Roman" w:hAnsi="Times New Roman" w:cs="Times New Roman"/>
                <w:sz w:val="18"/>
                <w:szCs w:val="18"/>
              </w:rPr>
              <w:t>Брой тригодишни планове за действие за прилагане на механизма за многостепенно управление</w:t>
            </w:r>
          </w:p>
          <w:p w14:paraId="16549BD3" w14:textId="65E02995" w:rsidR="00C51147" w:rsidRPr="007A44A5" w:rsidRDefault="00C51147" w:rsidP="00C51147">
            <w:pPr>
              <w:rPr>
                <w:rFonts w:ascii="Times New Roman" w:hAnsi="Times New Roman" w:cs="Times New Roman"/>
                <w:sz w:val="18"/>
                <w:szCs w:val="18"/>
              </w:rPr>
            </w:pPr>
          </w:p>
        </w:tc>
        <w:tc>
          <w:tcPr>
            <w:tcW w:w="499" w:type="pct"/>
          </w:tcPr>
          <w:p w14:paraId="46EAB848" w14:textId="1E17AB22" w:rsidR="00C51147" w:rsidRPr="009B58DD" w:rsidRDefault="003D6064" w:rsidP="00C51147">
            <w:pPr>
              <w:rPr>
                <w:rFonts w:cs="Times New Roman"/>
                <w:sz w:val="18"/>
                <w:szCs w:val="18"/>
              </w:rPr>
            </w:pPr>
            <w:r>
              <w:rPr>
                <w:color w:val="000000"/>
                <w:sz w:val="18"/>
                <w:szCs w:val="18"/>
                <w:lang w:val="bg-BG" w:eastAsia="bg-BG"/>
              </w:rPr>
              <w:lastRenderedPageBreak/>
              <w:t>Ф</w:t>
            </w:r>
            <w:r w:rsidRPr="003D6064">
              <w:rPr>
                <w:rFonts w:ascii="inherit" w:hAnsi="inherit"/>
                <w:color w:val="000000"/>
                <w:sz w:val="18"/>
                <w:szCs w:val="18"/>
                <w:lang w:val="bg-BG" w:eastAsia="bg-BG"/>
              </w:rPr>
              <w:t>инансиране, което не е свързано с разходи</w:t>
            </w:r>
          </w:p>
        </w:tc>
      </w:tr>
    </w:tbl>
    <w:p w14:paraId="349F3D00" w14:textId="77777777" w:rsidR="00F27887" w:rsidRPr="007A44A5" w:rsidRDefault="00F27887" w:rsidP="00F27887">
      <w:pPr>
        <w:rPr>
          <w:rFonts w:ascii="Times New Roman" w:hAnsi="Times New Roman" w:cs="Times New Roman"/>
        </w:rPr>
      </w:pPr>
    </w:p>
    <w:p w14:paraId="5BF3F7E6" w14:textId="77777777" w:rsidR="00F27887" w:rsidRPr="007A44A5" w:rsidRDefault="00F27887" w:rsidP="00F27887">
      <w:pPr>
        <w:rPr>
          <w:rFonts w:ascii="Times New Roman" w:hAnsi="Times New Roman" w:cs="Times New Roman"/>
        </w:rPr>
        <w:sectPr w:rsidR="00F27887" w:rsidRPr="007A44A5" w:rsidSect="00F27887">
          <w:headerReference w:type="default" r:id="rId9"/>
          <w:footerReference w:type="default" r:id="rId10"/>
          <w:footnotePr>
            <w:numRestart w:val="eachPage"/>
          </w:footnotePr>
          <w:pgSz w:w="16839" w:h="11907" w:orient="landscape"/>
          <w:pgMar w:top="1134" w:right="1134" w:bottom="1134" w:left="1134" w:header="567" w:footer="567" w:gutter="0"/>
          <w:cols w:space="720"/>
          <w:docGrid w:linePitch="360"/>
        </w:sectPr>
      </w:pPr>
    </w:p>
    <w:p w14:paraId="397A16A9" w14:textId="43355E45" w:rsidR="00F27887" w:rsidRPr="00C51147" w:rsidRDefault="00F27887" w:rsidP="00F27887">
      <w:pPr>
        <w:rPr>
          <w:rFonts w:ascii="Times New Roman" w:hAnsi="Times New Roman" w:cs="Times New Roman"/>
          <w:b/>
        </w:rPr>
      </w:pPr>
      <w:r w:rsidRPr="00C51147">
        <w:rPr>
          <w:rFonts w:ascii="Times New Roman" w:hAnsi="Times New Roman" w:cs="Times New Roman"/>
          <w:b/>
        </w:rPr>
        <w:lastRenderedPageBreak/>
        <w:t xml:space="preserve">Б. </w:t>
      </w:r>
      <w:r w:rsidRPr="00C51147">
        <w:rPr>
          <w:rFonts w:ascii="Times New Roman" w:hAnsi="Times New Roman" w:cs="Times New Roman"/>
          <w:b/>
        </w:rPr>
        <w:tab/>
      </w:r>
      <w:r w:rsidR="00C51147" w:rsidRPr="00C51147">
        <w:rPr>
          <w:rFonts w:ascii="Times New Roman" w:hAnsi="Times New Roman" w:cs="Times New Roman"/>
          <w:b/>
        </w:rPr>
        <w:t>Подробности за вида операция (попълва се за всеки вид операция)</w:t>
      </w:r>
    </w:p>
    <w:tbl>
      <w:tblPr>
        <w:tblW w:w="133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4"/>
        <w:gridCol w:w="3694"/>
        <w:gridCol w:w="1137"/>
        <w:gridCol w:w="5234"/>
      </w:tblGrid>
      <w:tr w:rsidR="00F27887" w:rsidRPr="007A44A5" w14:paraId="16BA287B" w14:textId="77777777" w:rsidTr="00B710E5">
        <w:trPr>
          <w:trHeight w:val="227"/>
        </w:trPr>
        <w:tc>
          <w:tcPr>
            <w:tcW w:w="3304" w:type="dxa"/>
            <w:shd w:val="clear" w:color="auto" w:fill="auto"/>
            <w:noWrap/>
            <w:vAlign w:val="center"/>
          </w:tcPr>
          <w:p w14:paraId="1BC41EA6" w14:textId="28BFC0E3" w:rsidR="00F27887" w:rsidRPr="007A44A5" w:rsidRDefault="00F27887" w:rsidP="00F27887">
            <w:pPr>
              <w:rPr>
                <w:rFonts w:ascii="Times New Roman" w:hAnsi="Times New Roman" w:cs="Times New Roman"/>
                <w:sz w:val="18"/>
                <w:szCs w:val="18"/>
              </w:rPr>
            </w:pPr>
            <w:r w:rsidRPr="007A44A5">
              <w:rPr>
                <w:rFonts w:ascii="Times New Roman" w:hAnsi="Times New Roman" w:cs="Times New Roman"/>
                <w:sz w:val="18"/>
                <w:szCs w:val="18"/>
              </w:rPr>
              <w:t xml:space="preserve">1. </w:t>
            </w:r>
            <w:r w:rsidR="00C51147" w:rsidRPr="00C51147">
              <w:rPr>
                <w:rFonts w:ascii="Times New Roman" w:hAnsi="Times New Roman" w:cs="Times New Roman"/>
                <w:sz w:val="18"/>
                <w:szCs w:val="18"/>
              </w:rPr>
              <w:t>Описание на вида операция</w:t>
            </w:r>
          </w:p>
        </w:tc>
        <w:tc>
          <w:tcPr>
            <w:tcW w:w="10065" w:type="dxa"/>
            <w:gridSpan w:val="3"/>
            <w:vAlign w:val="center"/>
          </w:tcPr>
          <w:p w14:paraId="5DF3845F" w14:textId="77777777" w:rsidR="00C51147" w:rsidRPr="00CE1851" w:rsidRDefault="00C51147" w:rsidP="00C51147">
            <w:pPr>
              <w:jc w:val="both"/>
              <w:rPr>
                <w:rFonts w:ascii="Times New Roman" w:hAnsi="Times New Roman" w:cs="Times New Roman"/>
                <w:sz w:val="18"/>
                <w:szCs w:val="18"/>
              </w:rPr>
            </w:pPr>
            <w:r w:rsidRPr="00CE1851">
              <w:rPr>
                <w:rFonts w:ascii="Times New Roman" w:hAnsi="Times New Roman" w:cs="Times New Roman"/>
                <w:sz w:val="18"/>
                <w:szCs w:val="18"/>
              </w:rPr>
              <w:t xml:space="preserve">Тази операция има за цел да </w:t>
            </w:r>
            <w:r>
              <w:rPr>
                <w:sz w:val="18"/>
                <w:szCs w:val="18"/>
                <w:lang w:val="bg-BG"/>
              </w:rPr>
              <w:t>укрепи</w:t>
            </w:r>
            <w:r w:rsidRPr="00CE1851">
              <w:rPr>
                <w:rFonts w:ascii="Times New Roman" w:hAnsi="Times New Roman" w:cs="Times New Roman"/>
                <w:sz w:val="18"/>
                <w:szCs w:val="18"/>
              </w:rPr>
              <w:t xml:space="preserve"> и надгради опита на програмните органи, териториалните </w:t>
            </w:r>
            <w:r>
              <w:rPr>
                <w:sz w:val="18"/>
                <w:szCs w:val="18"/>
                <w:lang w:val="bg-BG"/>
              </w:rPr>
              <w:t>органи</w:t>
            </w:r>
            <w:r w:rsidRPr="00CE1851">
              <w:rPr>
                <w:rFonts w:ascii="Times New Roman" w:hAnsi="Times New Roman" w:cs="Times New Roman"/>
                <w:sz w:val="18"/>
                <w:szCs w:val="18"/>
              </w:rPr>
              <w:t xml:space="preserve"> на регионално и местно ниво и на други субекти,</w:t>
            </w:r>
            <w:r>
              <w:rPr>
                <w:sz w:val="18"/>
                <w:szCs w:val="18"/>
                <w:lang w:val="bg-BG"/>
              </w:rPr>
              <w:t xml:space="preserve"> с функции по</w:t>
            </w:r>
            <w:r w:rsidRPr="00CE1851">
              <w:rPr>
                <w:rFonts w:ascii="Times New Roman" w:hAnsi="Times New Roman" w:cs="Times New Roman"/>
                <w:sz w:val="18"/>
                <w:szCs w:val="18"/>
              </w:rPr>
              <w:t xml:space="preserve"> </w:t>
            </w:r>
            <w:proofErr w:type="spellStart"/>
            <w:r w:rsidRPr="00CE1851">
              <w:rPr>
                <w:rFonts w:ascii="Times New Roman" w:hAnsi="Times New Roman" w:cs="Times New Roman"/>
                <w:sz w:val="18"/>
                <w:szCs w:val="18"/>
              </w:rPr>
              <w:t>изпълн</w:t>
            </w:r>
            <w:r>
              <w:rPr>
                <w:sz w:val="18"/>
                <w:szCs w:val="18"/>
                <w:lang w:val="bg-BG"/>
              </w:rPr>
              <w:t>ение</w:t>
            </w:r>
            <w:proofErr w:type="spellEnd"/>
            <w:r>
              <w:rPr>
                <w:sz w:val="18"/>
                <w:szCs w:val="18"/>
                <w:lang w:val="bg-BG"/>
              </w:rPr>
              <w:t xml:space="preserve"> на </w:t>
            </w:r>
            <w:r w:rsidRPr="00CE1851">
              <w:rPr>
                <w:rFonts w:ascii="Times New Roman" w:hAnsi="Times New Roman" w:cs="Times New Roman"/>
                <w:sz w:val="18"/>
                <w:szCs w:val="18"/>
              </w:rPr>
              <w:t>фондовете на ЕС, пряко свързани с ефективното администриране и използване на ресурсите на програмата.</w:t>
            </w:r>
          </w:p>
          <w:p w14:paraId="622A0E52" w14:textId="77777777" w:rsidR="00C51147" w:rsidRPr="00CE1851" w:rsidRDefault="00C51147" w:rsidP="00C51147">
            <w:pPr>
              <w:jc w:val="both"/>
              <w:rPr>
                <w:rFonts w:ascii="Times New Roman" w:hAnsi="Times New Roman" w:cs="Times New Roman"/>
                <w:sz w:val="18"/>
                <w:szCs w:val="18"/>
              </w:rPr>
            </w:pPr>
            <w:r w:rsidRPr="00CE1851">
              <w:rPr>
                <w:rFonts w:ascii="Times New Roman" w:hAnsi="Times New Roman" w:cs="Times New Roman"/>
                <w:sz w:val="18"/>
                <w:szCs w:val="18"/>
              </w:rPr>
              <w:t>Прилагането на териториални инструменти като интегрирани териториални инвестиции (</w:t>
            </w:r>
            <w:r>
              <w:rPr>
                <w:sz w:val="18"/>
                <w:szCs w:val="18"/>
                <w:lang w:val="bg-BG"/>
              </w:rPr>
              <w:t>ИТИ</w:t>
            </w:r>
            <w:r w:rsidRPr="00CE1851">
              <w:rPr>
                <w:rFonts w:ascii="Times New Roman" w:hAnsi="Times New Roman" w:cs="Times New Roman"/>
                <w:sz w:val="18"/>
                <w:szCs w:val="18"/>
              </w:rPr>
              <w:t xml:space="preserve">) и устойчиво градско развитие, както и </w:t>
            </w:r>
            <w:r>
              <w:rPr>
                <w:sz w:val="18"/>
                <w:szCs w:val="18"/>
                <w:lang w:val="bg-BG"/>
              </w:rPr>
              <w:t>дейности по ФСП</w:t>
            </w:r>
            <w:r w:rsidRPr="00CE1851">
              <w:rPr>
                <w:rFonts w:ascii="Times New Roman" w:hAnsi="Times New Roman" w:cs="Times New Roman"/>
                <w:sz w:val="18"/>
                <w:szCs w:val="18"/>
              </w:rPr>
              <w:t xml:space="preserve">, са нови </w:t>
            </w:r>
            <w:r>
              <w:rPr>
                <w:sz w:val="18"/>
                <w:szCs w:val="18"/>
              </w:rPr>
              <w:t>през настоящия програмен период</w:t>
            </w:r>
            <w:r w:rsidRPr="00CE1851">
              <w:rPr>
                <w:rFonts w:ascii="Times New Roman" w:hAnsi="Times New Roman" w:cs="Times New Roman"/>
                <w:sz w:val="18"/>
                <w:szCs w:val="18"/>
              </w:rPr>
              <w:t xml:space="preserve"> </w:t>
            </w:r>
            <w:r>
              <w:rPr>
                <w:sz w:val="18"/>
                <w:szCs w:val="18"/>
                <w:lang w:val="bg-BG"/>
              </w:rPr>
              <w:t xml:space="preserve">и съответно </w:t>
            </w:r>
            <w:r w:rsidRPr="00CE1851">
              <w:rPr>
                <w:rFonts w:ascii="Times New Roman" w:hAnsi="Times New Roman" w:cs="Times New Roman"/>
                <w:sz w:val="18"/>
                <w:szCs w:val="18"/>
              </w:rPr>
              <w:t>изискват специфичен експертен опит и трансфер на знания за повишаване на ефективността на програмните органи и партньорите при достъпа и използване на средствата от ЕС.</w:t>
            </w:r>
          </w:p>
          <w:p w14:paraId="02744984" w14:textId="77777777" w:rsidR="00C51147" w:rsidRPr="00CE1851" w:rsidRDefault="00C51147" w:rsidP="00C51147">
            <w:pPr>
              <w:jc w:val="both"/>
              <w:rPr>
                <w:rFonts w:ascii="Times New Roman" w:hAnsi="Times New Roman" w:cs="Times New Roman"/>
                <w:sz w:val="18"/>
                <w:szCs w:val="18"/>
              </w:rPr>
            </w:pPr>
            <w:r w:rsidRPr="00CE1851">
              <w:rPr>
                <w:rFonts w:ascii="Times New Roman" w:hAnsi="Times New Roman" w:cs="Times New Roman"/>
                <w:sz w:val="18"/>
                <w:szCs w:val="18"/>
              </w:rPr>
              <w:t>Предвидената операция включва:</w:t>
            </w:r>
          </w:p>
          <w:p w14:paraId="42350BBE" w14:textId="77777777" w:rsidR="00C51147" w:rsidRPr="00CE1851" w:rsidRDefault="00C51147" w:rsidP="00C51147">
            <w:pPr>
              <w:pStyle w:val="ListParagraph"/>
              <w:numPr>
                <w:ilvl w:val="0"/>
                <w:numId w:val="6"/>
              </w:numPr>
              <w:rPr>
                <w:sz w:val="18"/>
                <w:szCs w:val="18"/>
              </w:rPr>
            </w:pPr>
            <w:r w:rsidRPr="00F9321B">
              <w:rPr>
                <w:sz w:val="18"/>
                <w:szCs w:val="18"/>
              </w:rPr>
              <w:t>Повишен</w:t>
            </w:r>
            <w:r w:rsidRPr="00CE1851">
              <w:rPr>
                <w:sz w:val="18"/>
                <w:szCs w:val="18"/>
              </w:rPr>
              <w:t xml:space="preserve"> </w:t>
            </w:r>
            <w:r w:rsidRPr="00CE1851">
              <w:rPr>
                <w:b/>
                <w:sz w:val="18"/>
                <w:szCs w:val="18"/>
              </w:rPr>
              <w:t xml:space="preserve">достъп до нишови знания </w:t>
            </w:r>
            <w:r w:rsidRPr="00CE1851">
              <w:rPr>
                <w:sz w:val="18"/>
                <w:szCs w:val="18"/>
              </w:rPr>
              <w:t xml:space="preserve">(външен опит) и </w:t>
            </w:r>
            <w:r w:rsidRPr="00CE1851">
              <w:rPr>
                <w:b/>
                <w:sz w:val="18"/>
                <w:szCs w:val="18"/>
              </w:rPr>
              <w:t xml:space="preserve">специализирани информационни ресурси </w:t>
            </w:r>
            <w:r w:rsidRPr="00CE1851">
              <w:rPr>
                <w:sz w:val="18"/>
                <w:szCs w:val="18"/>
              </w:rPr>
              <w:t>(участие в платформи и др.)</w:t>
            </w:r>
          </w:p>
          <w:p w14:paraId="08105A1C" w14:textId="77777777" w:rsidR="00C51147" w:rsidRPr="00CE1851" w:rsidRDefault="00C51147" w:rsidP="00C51147">
            <w:pPr>
              <w:pStyle w:val="ListParagraph"/>
              <w:numPr>
                <w:ilvl w:val="0"/>
                <w:numId w:val="11"/>
              </w:numPr>
              <w:rPr>
                <w:sz w:val="18"/>
                <w:szCs w:val="18"/>
              </w:rPr>
            </w:pPr>
            <w:r>
              <w:rPr>
                <w:b/>
                <w:sz w:val="18"/>
                <w:szCs w:val="18"/>
                <w:lang w:val="bg-BG"/>
              </w:rPr>
              <w:t>Пул</w:t>
            </w:r>
            <w:r w:rsidRPr="00CE1851">
              <w:rPr>
                <w:b/>
                <w:sz w:val="18"/>
                <w:szCs w:val="18"/>
              </w:rPr>
              <w:t xml:space="preserve"> от експерти за</w:t>
            </w:r>
            <w:r w:rsidRPr="00CE1851">
              <w:rPr>
                <w:sz w:val="18"/>
                <w:szCs w:val="18"/>
              </w:rPr>
              <w:t xml:space="preserve"> </w:t>
            </w:r>
            <w:r w:rsidRPr="00CE1851">
              <w:rPr>
                <w:b/>
                <w:sz w:val="18"/>
                <w:szCs w:val="18"/>
              </w:rPr>
              <w:t xml:space="preserve">консултантска подкрепа </w:t>
            </w:r>
            <w:r w:rsidRPr="00CE1851">
              <w:rPr>
                <w:sz w:val="18"/>
                <w:szCs w:val="18"/>
              </w:rPr>
              <w:t xml:space="preserve">в специфични и нишови области и политики на ЕС, попадащи в обхвата на подкрепата на </w:t>
            </w:r>
            <w:r>
              <w:rPr>
                <w:sz w:val="18"/>
                <w:szCs w:val="18"/>
                <w:lang w:val="bg-BG"/>
              </w:rPr>
              <w:t>ПРР</w:t>
            </w:r>
            <w:r w:rsidRPr="00CE1851">
              <w:rPr>
                <w:sz w:val="18"/>
                <w:szCs w:val="18"/>
              </w:rPr>
              <w:t xml:space="preserve"> за подобряване на ефективността и ефективността на заинтересованите страни за прилагане на политики, насочени към зеления преход и за проектиране и изпълнение на иновативни инвестиционни проекти </w:t>
            </w:r>
            <w:r>
              <w:rPr>
                <w:sz w:val="18"/>
                <w:szCs w:val="18"/>
              </w:rPr>
              <w:t>за регионално развитие. (напр. Нов Е</w:t>
            </w:r>
            <w:r w:rsidRPr="00CE1851">
              <w:rPr>
                <w:sz w:val="18"/>
                <w:szCs w:val="18"/>
              </w:rPr>
              <w:t xml:space="preserve">вропейски </w:t>
            </w:r>
            <w:proofErr w:type="spellStart"/>
            <w:r w:rsidRPr="00CE1851">
              <w:rPr>
                <w:sz w:val="18"/>
                <w:szCs w:val="18"/>
              </w:rPr>
              <w:t>Баухаус</w:t>
            </w:r>
            <w:proofErr w:type="spellEnd"/>
            <w:r w:rsidRPr="00CE1851">
              <w:rPr>
                <w:sz w:val="18"/>
                <w:szCs w:val="18"/>
              </w:rPr>
              <w:t xml:space="preserve">, ВЕИ, градски инициативи, </w:t>
            </w:r>
            <w:r>
              <w:rPr>
                <w:sz w:val="18"/>
                <w:szCs w:val="18"/>
                <w:lang w:val="bg-BG"/>
              </w:rPr>
              <w:t>ИТИ</w:t>
            </w:r>
            <w:r w:rsidRPr="00CE1851">
              <w:rPr>
                <w:sz w:val="18"/>
                <w:szCs w:val="18"/>
              </w:rPr>
              <w:t xml:space="preserve"> и др.);</w:t>
            </w:r>
          </w:p>
          <w:p w14:paraId="765DA5BB" w14:textId="77777777" w:rsidR="00C51147" w:rsidRPr="00CE1851" w:rsidRDefault="00C51147" w:rsidP="00C51147">
            <w:pPr>
              <w:pStyle w:val="ListParagraph"/>
              <w:ind w:left="1440"/>
              <w:rPr>
                <w:sz w:val="18"/>
                <w:szCs w:val="18"/>
              </w:rPr>
            </w:pPr>
          </w:p>
          <w:p w14:paraId="01ABF4AB" w14:textId="77777777" w:rsidR="00C51147" w:rsidRPr="00CE1851" w:rsidRDefault="00C51147" w:rsidP="00C51147">
            <w:pPr>
              <w:pStyle w:val="ListParagraph"/>
              <w:numPr>
                <w:ilvl w:val="0"/>
                <w:numId w:val="11"/>
              </w:numPr>
              <w:rPr>
                <w:sz w:val="18"/>
                <w:szCs w:val="18"/>
              </w:rPr>
            </w:pPr>
            <w:r w:rsidRPr="00CE1851">
              <w:rPr>
                <w:b/>
                <w:sz w:val="18"/>
                <w:szCs w:val="18"/>
              </w:rPr>
              <w:t xml:space="preserve">Тематични събития за трансфер на знания, </w:t>
            </w:r>
            <w:r w:rsidRPr="00CE1851">
              <w:rPr>
                <w:sz w:val="18"/>
                <w:szCs w:val="18"/>
              </w:rPr>
              <w:t xml:space="preserve">насочени към широк кръг от заинтересовани страни </w:t>
            </w:r>
            <w:r>
              <w:rPr>
                <w:sz w:val="18"/>
                <w:szCs w:val="18"/>
              </w:rPr>
              <w:t>(</w:t>
            </w:r>
            <w:proofErr w:type="spellStart"/>
            <w:r>
              <w:rPr>
                <w:sz w:val="18"/>
                <w:szCs w:val="18"/>
              </w:rPr>
              <w:t>програм</w:t>
            </w:r>
            <w:proofErr w:type="spellEnd"/>
            <w:r>
              <w:rPr>
                <w:sz w:val="18"/>
                <w:szCs w:val="18"/>
                <w:lang w:val="bg-BG"/>
              </w:rPr>
              <w:t>ни органи</w:t>
            </w:r>
            <w:r>
              <w:rPr>
                <w:sz w:val="18"/>
                <w:szCs w:val="18"/>
              </w:rPr>
              <w:t xml:space="preserve"> и субекти, </w:t>
            </w:r>
            <w:r>
              <w:rPr>
                <w:sz w:val="18"/>
                <w:szCs w:val="18"/>
                <w:lang w:val="bg-BG"/>
              </w:rPr>
              <w:t>свързани с изпълнението на фондовете от ЕС</w:t>
            </w:r>
            <w:r w:rsidRPr="00CE1851">
              <w:rPr>
                <w:sz w:val="18"/>
                <w:szCs w:val="18"/>
              </w:rPr>
              <w:t>). Програмата и материалите за тематичните събития ще бъдат разработени специално за целите на изпълнението на дейността по проекта, като основните теми ще засягат секторните политики, свързани с изпълнението на приоритетите на Програмата за развитие на регионите 2021-2027 г.;</w:t>
            </w:r>
          </w:p>
          <w:p w14:paraId="3CD5EFCE" w14:textId="77777777" w:rsidR="00C51147" w:rsidRPr="00CE1851" w:rsidRDefault="00C51147" w:rsidP="00C51147">
            <w:pPr>
              <w:pStyle w:val="ListParagraph"/>
              <w:rPr>
                <w:sz w:val="18"/>
                <w:szCs w:val="18"/>
              </w:rPr>
            </w:pPr>
          </w:p>
          <w:p w14:paraId="765D87B4" w14:textId="362FD1F2" w:rsidR="00C51147" w:rsidRPr="00CE1851" w:rsidRDefault="00C51147" w:rsidP="00C51147">
            <w:pPr>
              <w:pStyle w:val="ListParagraph"/>
              <w:numPr>
                <w:ilvl w:val="0"/>
                <w:numId w:val="11"/>
              </w:numPr>
              <w:rPr>
                <w:sz w:val="18"/>
                <w:szCs w:val="18"/>
              </w:rPr>
            </w:pPr>
            <w:r>
              <w:rPr>
                <w:b/>
                <w:sz w:val="18"/>
                <w:szCs w:val="18"/>
              </w:rPr>
              <w:t>ИТ платформа</w:t>
            </w:r>
            <w:r w:rsidRPr="00CE1851">
              <w:rPr>
                <w:sz w:val="18"/>
                <w:szCs w:val="18"/>
              </w:rPr>
              <w:t xml:space="preserve">, включваща </w:t>
            </w:r>
            <w:r w:rsidR="00275C18">
              <w:rPr>
                <w:b/>
                <w:sz w:val="18"/>
                <w:szCs w:val="18"/>
              </w:rPr>
              <w:t>мрежа от заинтересовани страни</w:t>
            </w:r>
            <w:r w:rsidRPr="00CE1851">
              <w:rPr>
                <w:sz w:val="18"/>
                <w:szCs w:val="18"/>
              </w:rPr>
              <w:t xml:space="preserve">, обхващаща всички нива на управление, съдържа информация за нормативни документи, политики, информация за предстоящи и проведени тематични събития, информационни и семинарни материали, възможност за въпроси и отговори, </w:t>
            </w:r>
            <w:proofErr w:type="spellStart"/>
            <w:r w:rsidR="00275C18" w:rsidRPr="007A44A5">
              <w:rPr>
                <w:sz w:val="18"/>
                <w:szCs w:val="18"/>
              </w:rPr>
              <w:t>help</w:t>
            </w:r>
            <w:proofErr w:type="spellEnd"/>
            <w:r w:rsidR="00275C18" w:rsidRPr="007A44A5">
              <w:rPr>
                <w:sz w:val="18"/>
                <w:szCs w:val="18"/>
              </w:rPr>
              <w:t xml:space="preserve"> </w:t>
            </w:r>
            <w:proofErr w:type="spellStart"/>
            <w:r w:rsidR="00275C18" w:rsidRPr="007A44A5">
              <w:rPr>
                <w:sz w:val="18"/>
                <w:szCs w:val="18"/>
              </w:rPr>
              <w:t>desk</w:t>
            </w:r>
            <w:proofErr w:type="spellEnd"/>
            <w:r w:rsidRPr="00CE1851">
              <w:rPr>
                <w:sz w:val="18"/>
                <w:szCs w:val="18"/>
              </w:rPr>
              <w:t xml:space="preserve">. Чрез платформата заинтересованите страни могат да се регистрират и заявят интерес за включване в списъци за партньорства за изпълнение на </w:t>
            </w:r>
            <w:r>
              <w:rPr>
                <w:sz w:val="18"/>
                <w:szCs w:val="18"/>
                <w:lang w:val="bg-BG"/>
              </w:rPr>
              <w:t>ПРР</w:t>
            </w:r>
            <w:r w:rsidRPr="00CE1851">
              <w:rPr>
                <w:sz w:val="18"/>
                <w:szCs w:val="18"/>
              </w:rPr>
              <w:t xml:space="preserve"> проекти. Платформата ще се управлява от Управляващия орган</w:t>
            </w:r>
            <w:r>
              <w:rPr>
                <w:sz w:val="18"/>
                <w:szCs w:val="18"/>
                <w:lang w:val="bg-BG"/>
              </w:rPr>
              <w:t xml:space="preserve"> на ПРР</w:t>
            </w:r>
            <w:r w:rsidRPr="00CE1851">
              <w:rPr>
                <w:sz w:val="18"/>
                <w:szCs w:val="18"/>
              </w:rPr>
              <w:t>. Функционална и техническа спецификация, включително разчети на разходите и график за изпълнение</w:t>
            </w:r>
            <w:r w:rsidR="00275C18">
              <w:rPr>
                <w:sz w:val="18"/>
                <w:szCs w:val="18"/>
                <w:lang w:val="en-US"/>
              </w:rPr>
              <w:t>,</w:t>
            </w:r>
            <w:r w:rsidRPr="00CE1851">
              <w:rPr>
                <w:sz w:val="18"/>
                <w:szCs w:val="18"/>
              </w:rPr>
              <w:t xml:space="preserve"> ще бъдат изготвени и съгласувани с ЕК преди началото на изпълнението на тази дейност и ще бъдат предварително условие за отпускане на предвиденото финансиране за внедряване на ИТ платформата.</w:t>
            </w:r>
          </w:p>
          <w:p w14:paraId="7D2BFB60" w14:textId="77777777" w:rsidR="00C51147" w:rsidRPr="00CE1851" w:rsidRDefault="00C51147" w:rsidP="00C51147">
            <w:pPr>
              <w:pStyle w:val="ListParagraph"/>
              <w:rPr>
                <w:sz w:val="18"/>
                <w:szCs w:val="18"/>
              </w:rPr>
            </w:pPr>
          </w:p>
          <w:p w14:paraId="1B577CCD" w14:textId="77777777" w:rsidR="00C51147" w:rsidRPr="00CE1851" w:rsidRDefault="00C51147" w:rsidP="00C51147">
            <w:pPr>
              <w:pStyle w:val="ListParagraph"/>
              <w:ind w:left="1440"/>
              <w:rPr>
                <w:sz w:val="18"/>
                <w:szCs w:val="18"/>
              </w:rPr>
            </w:pPr>
          </w:p>
          <w:p w14:paraId="065B7FBF" w14:textId="3353A858" w:rsidR="00C51147" w:rsidRPr="00CE1851" w:rsidRDefault="00C51147" w:rsidP="00C51147">
            <w:pPr>
              <w:pStyle w:val="ListParagraph"/>
              <w:numPr>
                <w:ilvl w:val="0"/>
                <w:numId w:val="6"/>
              </w:numPr>
              <w:rPr>
                <w:sz w:val="18"/>
                <w:szCs w:val="18"/>
              </w:rPr>
            </w:pPr>
            <w:r w:rsidRPr="00CE1851">
              <w:rPr>
                <w:b/>
                <w:sz w:val="18"/>
                <w:szCs w:val="18"/>
              </w:rPr>
              <w:lastRenderedPageBreak/>
              <w:t xml:space="preserve">Многостепенен модел на </w:t>
            </w:r>
            <w:r w:rsidR="00275C18">
              <w:rPr>
                <w:b/>
                <w:sz w:val="18"/>
                <w:szCs w:val="18"/>
              </w:rPr>
              <w:t>управление и екосистемен подход</w:t>
            </w:r>
            <w:r w:rsidRPr="00CE1851">
              <w:rPr>
                <w:sz w:val="18"/>
                <w:szCs w:val="18"/>
              </w:rPr>
              <w:t>, който включва повишаване на осведомеността, обществени консултации, ангажиране на заинтересованите страни чрез:</w:t>
            </w:r>
          </w:p>
          <w:p w14:paraId="7F40697F" w14:textId="77777777" w:rsidR="00C51147" w:rsidRPr="00CE1851" w:rsidRDefault="00C51147" w:rsidP="00C51147">
            <w:pPr>
              <w:pStyle w:val="ListParagraph"/>
              <w:ind w:left="1440"/>
              <w:rPr>
                <w:sz w:val="18"/>
                <w:szCs w:val="18"/>
              </w:rPr>
            </w:pPr>
          </w:p>
          <w:p w14:paraId="651C264B" w14:textId="6894BFD7" w:rsidR="00C51147" w:rsidRPr="00CE1851" w:rsidRDefault="00C51147" w:rsidP="00C51147">
            <w:pPr>
              <w:pStyle w:val="ListParagraph"/>
              <w:numPr>
                <w:ilvl w:val="0"/>
                <w:numId w:val="13"/>
              </w:numPr>
              <w:rPr>
                <w:sz w:val="18"/>
                <w:szCs w:val="18"/>
              </w:rPr>
            </w:pPr>
            <w:r>
              <w:rPr>
                <w:sz w:val="18"/>
                <w:szCs w:val="18"/>
                <w:lang w:val="bg-BG"/>
              </w:rPr>
              <w:t>Извършване на</w:t>
            </w:r>
            <w:r w:rsidRPr="00CE1851">
              <w:rPr>
                <w:sz w:val="18"/>
                <w:szCs w:val="18"/>
              </w:rPr>
              <w:t xml:space="preserve"> </w:t>
            </w:r>
            <w:r>
              <w:rPr>
                <w:sz w:val="18"/>
                <w:szCs w:val="18"/>
                <w:lang w:val="bg-BG"/>
              </w:rPr>
              <w:t xml:space="preserve">анализи за </w:t>
            </w:r>
            <w:r w:rsidR="00275C18" w:rsidRPr="00CE1851">
              <w:rPr>
                <w:sz w:val="18"/>
                <w:szCs w:val="18"/>
              </w:rPr>
              <w:t>оценка</w:t>
            </w:r>
            <w:r>
              <w:rPr>
                <w:sz w:val="18"/>
                <w:szCs w:val="18"/>
                <w:lang w:val="bg-BG"/>
              </w:rPr>
              <w:t xml:space="preserve">а за </w:t>
            </w:r>
            <w:r w:rsidRPr="00CE1851">
              <w:rPr>
                <w:sz w:val="18"/>
                <w:szCs w:val="18"/>
              </w:rPr>
              <w:t xml:space="preserve">състоянието </w:t>
            </w:r>
            <w:r>
              <w:rPr>
                <w:sz w:val="18"/>
                <w:szCs w:val="18"/>
                <w:lang w:val="bg-BG"/>
              </w:rPr>
              <w:t xml:space="preserve">и нивото </w:t>
            </w:r>
            <w:r w:rsidRPr="00CE1851">
              <w:rPr>
                <w:sz w:val="18"/>
                <w:szCs w:val="18"/>
              </w:rPr>
              <w:t xml:space="preserve">на информираност, капацитет и удовлетвореност на потенциалните бенефициенти и други заинтересовани страни. Те ще служат като механизъм за постоянен обратна връзка </w:t>
            </w:r>
            <w:r>
              <w:rPr>
                <w:sz w:val="18"/>
                <w:szCs w:val="18"/>
                <w:lang w:val="bg-BG"/>
              </w:rPr>
              <w:t xml:space="preserve">за изпълнението на </w:t>
            </w:r>
            <w:r w:rsidRPr="00CE1851">
              <w:rPr>
                <w:sz w:val="18"/>
                <w:szCs w:val="18"/>
              </w:rPr>
              <w:t xml:space="preserve">мерките за изграждане на капацитет, извършените </w:t>
            </w:r>
            <w:r>
              <w:rPr>
                <w:sz w:val="18"/>
                <w:szCs w:val="18"/>
                <w:lang w:val="bg-BG"/>
              </w:rPr>
              <w:t>дейности</w:t>
            </w:r>
            <w:r w:rsidRPr="00CE1851">
              <w:rPr>
                <w:sz w:val="18"/>
                <w:szCs w:val="18"/>
              </w:rPr>
              <w:t xml:space="preserve"> и резултатите от приоритетите на програмата.</w:t>
            </w:r>
          </w:p>
          <w:p w14:paraId="03F60083" w14:textId="0B76B814" w:rsidR="00C51147" w:rsidRPr="00CE1851" w:rsidRDefault="00C51147" w:rsidP="00C51147">
            <w:pPr>
              <w:pStyle w:val="HTMLPreformatted"/>
              <w:numPr>
                <w:ilvl w:val="0"/>
                <w:numId w:val="13"/>
              </w:numPr>
              <w:contextualSpacing/>
              <w:jc w:val="both"/>
              <w:rPr>
                <w:rFonts w:ascii="Times New Roman" w:hAnsi="Times New Roman" w:cs="Times New Roman"/>
                <w:sz w:val="18"/>
                <w:szCs w:val="18"/>
              </w:rPr>
            </w:pPr>
            <w:r w:rsidRPr="00CE1851">
              <w:rPr>
                <w:rFonts w:ascii="Times New Roman" w:hAnsi="Times New Roman" w:cs="Times New Roman"/>
                <w:sz w:val="18"/>
                <w:szCs w:val="18"/>
              </w:rPr>
              <w:t xml:space="preserve">Пилотни </w:t>
            </w:r>
            <w:r w:rsidR="00182EFE">
              <w:rPr>
                <w:rFonts w:ascii="Times New Roman" w:hAnsi="Times New Roman" w:cs="Times New Roman"/>
                <w:sz w:val="18"/>
                <w:szCs w:val="18"/>
                <w:lang w:val="bg-BG"/>
              </w:rPr>
              <w:t>инициативи</w:t>
            </w:r>
            <w:r w:rsidRPr="00CE1851">
              <w:rPr>
                <w:rFonts w:ascii="Times New Roman" w:hAnsi="Times New Roman" w:cs="Times New Roman"/>
                <w:sz w:val="18"/>
                <w:szCs w:val="18"/>
              </w:rPr>
              <w:t xml:space="preserve"> за насърчаване на ангажираността на заинтересованите страни в процеса на създаване и прилагане на политики със специален акцент върху НПО и младежките организации. Това могат да бъдат събития или други инициативи (напр. състезания, изложби и т.н.), в които широката общественост и заинтересованите страни участват активно.</w:t>
            </w:r>
          </w:p>
          <w:p w14:paraId="40304454" w14:textId="64809228" w:rsidR="00F27887" w:rsidRPr="007A44A5" w:rsidRDefault="00C51147" w:rsidP="00C51147">
            <w:pPr>
              <w:pStyle w:val="HTMLPreformatted"/>
              <w:numPr>
                <w:ilvl w:val="0"/>
                <w:numId w:val="13"/>
              </w:numPr>
              <w:contextualSpacing/>
              <w:jc w:val="both"/>
              <w:rPr>
                <w:rFonts w:ascii="Times New Roman" w:hAnsi="Times New Roman" w:cs="Times New Roman"/>
                <w:sz w:val="18"/>
                <w:szCs w:val="18"/>
              </w:rPr>
            </w:pPr>
            <w:r w:rsidRPr="00CE1851">
              <w:rPr>
                <w:rFonts w:ascii="Times New Roman" w:hAnsi="Times New Roman" w:cs="Times New Roman"/>
                <w:sz w:val="18"/>
                <w:szCs w:val="18"/>
              </w:rPr>
              <w:t xml:space="preserve">Изготвяне на тригодишни планове за действие за повишаване на осведомеността, обществени консултации и ангажиране на заинтересованите страни. Въз основа на резултатите от анализа и извършените пилотни </w:t>
            </w:r>
            <w:r w:rsidR="00182EFE">
              <w:rPr>
                <w:rFonts w:ascii="Times New Roman" w:hAnsi="Times New Roman" w:cs="Times New Roman"/>
                <w:sz w:val="18"/>
                <w:szCs w:val="18"/>
                <w:lang w:val="bg-BG"/>
              </w:rPr>
              <w:t>инициативи</w:t>
            </w:r>
            <w:r w:rsidRPr="00CE1851">
              <w:rPr>
                <w:rFonts w:ascii="Times New Roman" w:hAnsi="Times New Roman" w:cs="Times New Roman"/>
                <w:sz w:val="18"/>
                <w:szCs w:val="18"/>
              </w:rPr>
              <w:t xml:space="preserve"> ще бъдат изготвени два плана за действие два пъти през програмния период. Те ще включват мерки, които да дадат възможност на местните общности да предоставят препоръки и предложения за справяне с ключови предизвикателства и постигане на европейски и национални приоритети; връзка със страните, участващи в процесите на вземане на решения; възможност за независим граждански мониторинг при изпълнението на инвестициите; популяризиране и насърчаване на добрите европейски практики (по примера на „Инструментариум за младежко участие във Фонда за справедлив преход“); осигуряване на структуриран диалог; насърчаване на активността на младите хора в генерирането на идеи, предоставяне на възможност за конструктивна обратна връзка относно изпълнението на целите и приоритетите, даване на конкретни препоръки и предложения по ключови предизвикателства; годишни конкурси за идеи и постижения в областта на градското и регионалното развитие с фокус върху иновативни, зелени, екосистемни подходи. Тези планове ще бъдат съгласувани с ЕК и ще бъдат предпоставка за отпускане на средствата, предвидени за изпълнение на действията на механизма за многостепенно управление.</w:t>
            </w:r>
          </w:p>
        </w:tc>
      </w:tr>
      <w:tr w:rsidR="00F27887" w:rsidRPr="007A44A5" w14:paraId="249D4488" w14:textId="77777777" w:rsidTr="00B710E5">
        <w:trPr>
          <w:trHeight w:val="227"/>
        </w:trPr>
        <w:tc>
          <w:tcPr>
            <w:tcW w:w="3304" w:type="dxa"/>
            <w:shd w:val="clear" w:color="auto" w:fill="auto"/>
            <w:noWrap/>
            <w:vAlign w:val="center"/>
          </w:tcPr>
          <w:p w14:paraId="7EAFA19D" w14:textId="04E1425B" w:rsidR="00F27887" w:rsidRPr="007A44A5" w:rsidRDefault="00F27887" w:rsidP="00F27887">
            <w:pPr>
              <w:rPr>
                <w:rFonts w:ascii="Times New Roman" w:hAnsi="Times New Roman" w:cs="Times New Roman"/>
                <w:sz w:val="18"/>
                <w:szCs w:val="18"/>
              </w:rPr>
            </w:pPr>
            <w:r w:rsidRPr="007A44A5">
              <w:rPr>
                <w:rFonts w:ascii="Times New Roman" w:hAnsi="Times New Roman" w:cs="Times New Roman"/>
                <w:sz w:val="18"/>
                <w:szCs w:val="18"/>
              </w:rPr>
              <w:lastRenderedPageBreak/>
              <w:t xml:space="preserve">2. </w:t>
            </w:r>
            <w:r w:rsidR="00C51147" w:rsidRPr="00C51147">
              <w:rPr>
                <w:rFonts w:ascii="Times New Roman" w:hAnsi="Times New Roman" w:cs="Times New Roman"/>
                <w:sz w:val="18"/>
                <w:szCs w:val="18"/>
              </w:rPr>
              <w:t>Специфична(и) цел(и)</w:t>
            </w:r>
          </w:p>
        </w:tc>
        <w:tc>
          <w:tcPr>
            <w:tcW w:w="10065" w:type="dxa"/>
            <w:gridSpan w:val="3"/>
            <w:vAlign w:val="center"/>
          </w:tcPr>
          <w:p w14:paraId="527BD9DF" w14:textId="77777777" w:rsidR="00C51147" w:rsidRPr="00CE1851" w:rsidRDefault="00C51147" w:rsidP="00C51147">
            <w:pPr>
              <w:pStyle w:val="ListParagraph"/>
              <w:ind w:left="0"/>
              <w:rPr>
                <w:b/>
                <w:sz w:val="18"/>
                <w:szCs w:val="18"/>
              </w:rPr>
            </w:pPr>
            <w:r w:rsidRPr="00F9321B">
              <w:rPr>
                <w:b/>
                <w:sz w:val="18"/>
                <w:szCs w:val="18"/>
              </w:rPr>
              <w:t>Повишен</w:t>
            </w:r>
            <w:r w:rsidRPr="00CE1851">
              <w:rPr>
                <w:b/>
                <w:sz w:val="18"/>
                <w:szCs w:val="18"/>
              </w:rPr>
              <w:t xml:space="preserve"> достъп до нишови знания (външен опит) и специализирани информационни ресурси (участие в платформи и др.):</w:t>
            </w:r>
          </w:p>
          <w:p w14:paraId="746222B0" w14:textId="0E4A5352" w:rsidR="00C51147" w:rsidRPr="00CE1851" w:rsidRDefault="00275C18" w:rsidP="00C51147">
            <w:pPr>
              <w:pStyle w:val="ListParagraph"/>
              <w:numPr>
                <w:ilvl w:val="0"/>
                <w:numId w:val="14"/>
              </w:numPr>
              <w:rPr>
                <w:sz w:val="18"/>
                <w:szCs w:val="18"/>
              </w:rPr>
            </w:pPr>
            <w:r>
              <w:rPr>
                <w:sz w:val="18"/>
                <w:szCs w:val="18"/>
                <w:lang w:val="bg-BG"/>
              </w:rPr>
              <w:t>Подобряване</w:t>
            </w:r>
            <w:r w:rsidR="00C51147" w:rsidRPr="00CE1851">
              <w:rPr>
                <w:sz w:val="18"/>
                <w:szCs w:val="18"/>
              </w:rPr>
              <w:t xml:space="preserve"> ефективността и ефикасността на заинтересованите страни за прилагане на политики, насочени към зеления преход и за проектиране и изпълнение на иновативни инвестиционни проекти за регионално развитие. (напр. </w:t>
            </w:r>
            <w:r>
              <w:rPr>
                <w:sz w:val="18"/>
                <w:szCs w:val="18"/>
                <w:lang w:val="bg-BG"/>
              </w:rPr>
              <w:t xml:space="preserve">Нов Европейски </w:t>
            </w:r>
            <w:proofErr w:type="spellStart"/>
            <w:r>
              <w:rPr>
                <w:sz w:val="18"/>
                <w:szCs w:val="18"/>
                <w:lang w:val="bg-BG"/>
              </w:rPr>
              <w:t>Баухаус</w:t>
            </w:r>
            <w:proofErr w:type="spellEnd"/>
            <w:r w:rsidR="00C51147" w:rsidRPr="00CE1851">
              <w:rPr>
                <w:sz w:val="18"/>
                <w:szCs w:val="18"/>
              </w:rPr>
              <w:t xml:space="preserve">, ВЕИ, градски инициативи, </w:t>
            </w:r>
            <w:r>
              <w:rPr>
                <w:sz w:val="18"/>
                <w:szCs w:val="18"/>
                <w:lang w:val="bg-BG"/>
              </w:rPr>
              <w:t>ИТИ</w:t>
            </w:r>
            <w:r w:rsidR="00C51147" w:rsidRPr="00CE1851">
              <w:rPr>
                <w:sz w:val="18"/>
                <w:szCs w:val="18"/>
              </w:rPr>
              <w:t xml:space="preserve"> и т.н.) чрез създаване на </w:t>
            </w:r>
            <w:r>
              <w:rPr>
                <w:sz w:val="18"/>
                <w:szCs w:val="18"/>
                <w:lang w:val="bg-BG"/>
              </w:rPr>
              <w:t>пул</w:t>
            </w:r>
            <w:r w:rsidR="00C51147" w:rsidRPr="00CE1851">
              <w:rPr>
                <w:sz w:val="18"/>
                <w:szCs w:val="18"/>
              </w:rPr>
              <w:t xml:space="preserve"> от експерти.</w:t>
            </w:r>
          </w:p>
          <w:p w14:paraId="73D9C29B" w14:textId="77777777" w:rsidR="00C51147" w:rsidRPr="00CE1851" w:rsidRDefault="00C51147" w:rsidP="00C51147">
            <w:pPr>
              <w:pStyle w:val="ListParagraph"/>
              <w:numPr>
                <w:ilvl w:val="0"/>
                <w:numId w:val="14"/>
              </w:numPr>
              <w:rPr>
                <w:sz w:val="18"/>
                <w:szCs w:val="18"/>
              </w:rPr>
            </w:pPr>
            <w:r w:rsidRPr="00CE1851">
              <w:rPr>
                <w:sz w:val="18"/>
                <w:szCs w:val="18"/>
              </w:rPr>
              <w:t>Създаване на по-широки възможности за трансфер на знания и мултиплициране на добри практики;</w:t>
            </w:r>
          </w:p>
          <w:p w14:paraId="040B9A24" w14:textId="77777777" w:rsidR="00C51147" w:rsidRPr="00CE1851" w:rsidRDefault="00C51147" w:rsidP="00C51147">
            <w:pPr>
              <w:pStyle w:val="ListParagraph"/>
              <w:numPr>
                <w:ilvl w:val="0"/>
                <w:numId w:val="14"/>
              </w:numPr>
              <w:rPr>
                <w:sz w:val="18"/>
                <w:szCs w:val="18"/>
              </w:rPr>
            </w:pPr>
            <w:r w:rsidRPr="00CE1851">
              <w:rPr>
                <w:sz w:val="18"/>
                <w:szCs w:val="18"/>
              </w:rPr>
              <w:t>Дигитализиране и улесняване на комуникационни процеси, споделяне на информация, достъп до нишови знания;</w:t>
            </w:r>
          </w:p>
          <w:p w14:paraId="4C2504DC" w14:textId="77777777" w:rsidR="00C51147" w:rsidRPr="00CE1851" w:rsidRDefault="00C51147" w:rsidP="00C51147">
            <w:pPr>
              <w:pStyle w:val="ListParagraph"/>
              <w:ind w:left="0"/>
              <w:rPr>
                <w:b/>
                <w:sz w:val="18"/>
                <w:szCs w:val="18"/>
              </w:rPr>
            </w:pPr>
            <w:r w:rsidRPr="00CE1851">
              <w:rPr>
                <w:b/>
                <w:sz w:val="18"/>
                <w:szCs w:val="18"/>
              </w:rPr>
              <w:t>Многостепенен модел на управление и екосистемен подход</w:t>
            </w:r>
          </w:p>
          <w:p w14:paraId="43384516" w14:textId="77777777" w:rsidR="00C51147" w:rsidRPr="00CE1851" w:rsidRDefault="00C51147" w:rsidP="00C51147">
            <w:pPr>
              <w:pStyle w:val="ListParagraph"/>
              <w:numPr>
                <w:ilvl w:val="0"/>
                <w:numId w:val="14"/>
              </w:numPr>
              <w:rPr>
                <w:sz w:val="18"/>
                <w:szCs w:val="18"/>
              </w:rPr>
            </w:pPr>
            <w:r w:rsidRPr="00CE1851">
              <w:rPr>
                <w:sz w:val="18"/>
                <w:szCs w:val="18"/>
              </w:rPr>
              <w:t>Даване на възможност на регионалните, областните и местните власти и общности сами да прилагат политики и интегрирани териториални инвестиции</w:t>
            </w:r>
          </w:p>
          <w:p w14:paraId="60BF3CAD" w14:textId="77777777" w:rsidR="00C51147" w:rsidRPr="00CE1851" w:rsidRDefault="00C51147" w:rsidP="00C51147">
            <w:pPr>
              <w:pStyle w:val="ListParagraph"/>
              <w:numPr>
                <w:ilvl w:val="0"/>
                <w:numId w:val="14"/>
              </w:numPr>
              <w:rPr>
                <w:sz w:val="18"/>
                <w:szCs w:val="18"/>
              </w:rPr>
            </w:pPr>
            <w:r w:rsidRPr="00CE1851">
              <w:rPr>
                <w:sz w:val="18"/>
                <w:szCs w:val="18"/>
              </w:rPr>
              <w:t>Създаване на предпоставки за насърчаване на децентрализацията в дългосрочен план.</w:t>
            </w:r>
          </w:p>
          <w:p w14:paraId="32D80750" w14:textId="6BC6360C" w:rsidR="00F27887" w:rsidRPr="007A44A5" w:rsidRDefault="00F27887" w:rsidP="00DC1991">
            <w:pPr>
              <w:pStyle w:val="ListParagraph"/>
              <w:ind w:left="0"/>
            </w:pPr>
          </w:p>
        </w:tc>
      </w:tr>
      <w:tr w:rsidR="00F27887" w:rsidRPr="007A44A5" w14:paraId="3055077A" w14:textId="77777777" w:rsidTr="00B710E5">
        <w:trPr>
          <w:trHeight w:val="227"/>
        </w:trPr>
        <w:tc>
          <w:tcPr>
            <w:tcW w:w="3304" w:type="dxa"/>
            <w:shd w:val="clear" w:color="auto" w:fill="auto"/>
            <w:noWrap/>
            <w:vAlign w:val="center"/>
          </w:tcPr>
          <w:p w14:paraId="405ADF49" w14:textId="771CA221" w:rsidR="00F27887" w:rsidRPr="007A44A5" w:rsidRDefault="00F27887" w:rsidP="00F27887">
            <w:pPr>
              <w:rPr>
                <w:rFonts w:ascii="Times New Roman" w:hAnsi="Times New Roman" w:cs="Times New Roman"/>
                <w:sz w:val="18"/>
                <w:szCs w:val="18"/>
              </w:rPr>
            </w:pPr>
            <w:r w:rsidRPr="007A44A5">
              <w:rPr>
                <w:rFonts w:ascii="Times New Roman" w:hAnsi="Times New Roman" w:cs="Times New Roman"/>
                <w:sz w:val="18"/>
                <w:szCs w:val="18"/>
              </w:rPr>
              <w:lastRenderedPageBreak/>
              <w:t xml:space="preserve">3. </w:t>
            </w:r>
            <w:r w:rsidR="00C51147" w:rsidRPr="00C51147">
              <w:rPr>
                <w:rFonts w:ascii="Times New Roman" w:hAnsi="Times New Roman" w:cs="Times New Roman"/>
                <w:sz w:val="18"/>
                <w:szCs w:val="18"/>
              </w:rPr>
              <w:t>Условия, които трябва да бъдат изпълнени, или резултати, които трябва да бъдат постигнати</w:t>
            </w:r>
          </w:p>
        </w:tc>
        <w:tc>
          <w:tcPr>
            <w:tcW w:w="10065" w:type="dxa"/>
            <w:gridSpan w:val="3"/>
            <w:vAlign w:val="center"/>
          </w:tcPr>
          <w:p w14:paraId="4E41E146" w14:textId="75A5652F" w:rsidR="00C51147" w:rsidRPr="00CE1851" w:rsidRDefault="006B78B3" w:rsidP="00C51147">
            <w:pPr>
              <w:pStyle w:val="ListParagraph"/>
              <w:numPr>
                <w:ilvl w:val="0"/>
                <w:numId w:val="20"/>
              </w:numPr>
              <w:rPr>
                <w:sz w:val="18"/>
                <w:szCs w:val="18"/>
              </w:rPr>
            </w:pPr>
            <w:r>
              <w:rPr>
                <w:sz w:val="18"/>
                <w:szCs w:val="18"/>
                <w:lang w:val="bg-BG"/>
              </w:rPr>
              <w:t>Пул</w:t>
            </w:r>
            <w:r w:rsidR="00C51147" w:rsidRPr="00CE1851">
              <w:rPr>
                <w:sz w:val="18"/>
                <w:szCs w:val="18"/>
              </w:rPr>
              <w:t xml:space="preserve"> от експерти за предоставяне на консултантска подкрепа, съответстваща на поне 10</w:t>
            </w:r>
            <w:r>
              <w:rPr>
                <w:sz w:val="18"/>
                <w:szCs w:val="18"/>
              </w:rPr>
              <w:t> </w:t>
            </w:r>
            <w:r w:rsidR="00C51147" w:rsidRPr="00CE1851">
              <w:rPr>
                <w:sz w:val="18"/>
                <w:szCs w:val="18"/>
              </w:rPr>
              <w:t xml:space="preserve">500 </w:t>
            </w:r>
            <w:proofErr w:type="spellStart"/>
            <w:r w:rsidRPr="00CE1851">
              <w:rPr>
                <w:sz w:val="18"/>
                <w:szCs w:val="18"/>
              </w:rPr>
              <w:t>човекодни</w:t>
            </w:r>
            <w:proofErr w:type="spellEnd"/>
            <w:r w:rsidRPr="00CE1851">
              <w:rPr>
                <w:sz w:val="18"/>
                <w:szCs w:val="18"/>
              </w:rPr>
              <w:t xml:space="preserve"> </w:t>
            </w:r>
            <w:r w:rsidR="00C51147" w:rsidRPr="00CE1851">
              <w:rPr>
                <w:sz w:val="18"/>
                <w:szCs w:val="18"/>
              </w:rPr>
              <w:t>(</w:t>
            </w:r>
            <w:r>
              <w:rPr>
                <w:sz w:val="18"/>
                <w:szCs w:val="18"/>
              </w:rPr>
              <w:t>международни</w:t>
            </w:r>
            <w:r w:rsidR="00C51147" w:rsidRPr="00CE1851">
              <w:rPr>
                <w:sz w:val="18"/>
                <w:szCs w:val="18"/>
              </w:rPr>
              <w:t xml:space="preserve"> </w:t>
            </w:r>
            <w:r>
              <w:rPr>
                <w:sz w:val="18"/>
                <w:szCs w:val="18"/>
                <w:lang w:val="bg-BG"/>
              </w:rPr>
              <w:t xml:space="preserve">и </w:t>
            </w:r>
            <w:r w:rsidR="00C51147" w:rsidRPr="00CE1851">
              <w:rPr>
                <w:sz w:val="18"/>
                <w:szCs w:val="18"/>
              </w:rPr>
              <w:t>национални/местни експерти);</w:t>
            </w:r>
          </w:p>
          <w:p w14:paraId="506C2906" w14:textId="02CD176C" w:rsidR="00C51147" w:rsidRPr="00CE1851" w:rsidRDefault="006B78B3" w:rsidP="00C51147">
            <w:pPr>
              <w:pStyle w:val="ListParagraph"/>
              <w:numPr>
                <w:ilvl w:val="0"/>
                <w:numId w:val="20"/>
              </w:numPr>
              <w:rPr>
                <w:sz w:val="18"/>
                <w:szCs w:val="18"/>
              </w:rPr>
            </w:pPr>
            <w:r>
              <w:rPr>
                <w:sz w:val="18"/>
                <w:szCs w:val="18"/>
                <w:lang w:val="bg-BG"/>
              </w:rPr>
              <w:t>Р</w:t>
            </w:r>
            <w:proofErr w:type="spellStart"/>
            <w:r w:rsidR="00C51147" w:rsidRPr="00CE1851">
              <w:rPr>
                <w:sz w:val="18"/>
                <w:szCs w:val="18"/>
              </w:rPr>
              <w:t>еализирани</w:t>
            </w:r>
            <w:proofErr w:type="spellEnd"/>
            <w:r w:rsidR="00C51147" w:rsidRPr="00CE1851">
              <w:rPr>
                <w:sz w:val="18"/>
                <w:szCs w:val="18"/>
              </w:rPr>
              <w:t xml:space="preserve"> най-малко 60 тематични събития за трансфер на знания;</w:t>
            </w:r>
          </w:p>
          <w:p w14:paraId="606EA8EA" w14:textId="1EABCEE1" w:rsidR="00C51147" w:rsidRPr="00CE1851" w:rsidRDefault="006B78B3" w:rsidP="00C51147">
            <w:pPr>
              <w:pStyle w:val="ListParagraph"/>
              <w:numPr>
                <w:ilvl w:val="0"/>
                <w:numId w:val="20"/>
              </w:numPr>
              <w:rPr>
                <w:sz w:val="18"/>
                <w:szCs w:val="18"/>
              </w:rPr>
            </w:pPr>
            <w:r>
              <w:rPr>
                <w:sz w:val="18"/>
                <w:szCs w:val="18"/>
              </w:rPr>
              <w:t>Р</w:t>
            </w:r>
            <w:r w:rsidRPr="00CE1851">
              <w:rPr>
                <w:sz w:val="18"/>
                <w:szCs w:val="18"/>
              </w:rPr>
              <w:t xml:space="preserve">азработена и функционираща </w:t>
            </w:r>
            <w:r w:rsidR="00C51147" w:rsidRPr="00CE1851">
              <w:rPr>
                <w:sz w:val="18"/>
                <w:szCs w:val="18"/>
              </w:rPr>
              <w:t>ИТ платформата. Функционална и техническа спецификация, включително разчети на разходите и график за изпълнение ще бъдат изготвени и съгласувани с ЕК за ИТ платформата преди началото на изпълнението на дейността. Финансовото разпределение за разработване и експлоатация на тази платформа се потвърждава или коригира въз основа на одобрението на функционалните и технически спецификации от Комисията;</w:t>
            </w:r>
          </w:p>
          <w:p w14:paraId="1052FBC4" w14:textId="70A8C6B2" w:rsidR="00C51147" w:rsidRPr="00CE1851" w:rsidRDefault="006B78B3" w:rsidP="00C51147">
            <w:pPr>
              <w:pStyle w:val="ListParagraph"/>
              <w:numPr>
                <w:ilvl w:val="0"/>
                <w:numId w:val="20"/>
              </w:numPr>
              <w:rPr>
                <w:sz w:val="18"/>
                <w:szCs w:val="18"/>
              </w:rPr>
            </w:pPr>
            <w:r>
              <w:rPr>
                <w:sz w:val="18"/>
                <w:szCs w:val="18"/>
                <w:lang w:val="bg-BG"/>
              </w:rPr>
              <w:t>С</w:t>
            </w:r>
            <w:proofErr w:type="spellStart"/>
            <w:r w:rsidR="00C51147" w:rsidRPr="00CE1851">
              <w:rPr>
                <w:sz w:val="18"/>
                <w:szCs w:val="18"/>
              </w:rPr>
              <w:t>ъзда</w:t>
            </w:r>
            <w:proofErr w:type="spellEnd"/>
            <w:r>
              <w:rPr>
                <w:sz w:val="18"/>
                <w:szCs w:val="18"/>
                <w:lang w:val="bg-BG"/>
              </w:rPr>
              <w:t xml:space="preserve">дена </w:t>
            </w:r>
            <w:r w:rsidR="00C51147" w:rsidRPr="00CE1851">
              <w:rPr>
                <w:sz w:val="18"/>
                <w:szCs w:val="18"/>
              </w:rPr>
              <w:t xml:space="preserve">система за </w:t>
            </w:r>
            <w:r>
              <w:rPr>
                <w:sz w:val="18"/>
                <w:szCs w:val="18"/>
                <w:lang w:val="bg-BG"/>
              </w:rPr>
              <w:t xml:space="preserve">постоянна </w:t>
            </w:r>
            <w:r w:rsidR="00C51147" w:rsidRPr="00CE1851">
              <w:rPr>
                <w:sz w:val="18"/>
                <w:szCs w:val="18"/>
              </w:rPr>
              <w:t>обратна връзка –извършени 3 анализа</w:t>
            </w:r>
            <w:r>
              <w:rPr>
                <w:sz w:val="18"/>
                <w:szCs w:val="18"/>
              </w:rPr>
              <w:t xml:space="preserve"> - </w:t>
            </w:r>
            <w:r>
              <w:rPr>
                <w:sz w:val="18"/>
                <w:szCs w:val="18"/>
                <w:lang w:val="bg-BG"/>
              </w:rPr>
              <w:t>1</w:t>
            </w:r>
            <w:r w:rsidR="00C51147" w:rsidRPr="00CE1851">
              <w:rPr>
                <w:sz w:val="18"/>
                <w:szCs w:val="18"/>
              </w:rPr>
              <w:t xml:space="preserve"> базов анализ за</w:t>
            </w:r>
            <w:r>
              <w:rPr>
                <w:sz w:val="18"/>
                <w:szCs w:val="18"/>
                <w:lang w:val="bg-BG"/>
              </w:rPr>
              <w:t xml:space="preserve"> оценка</w:t>
            </w:r>
            <w:r w:rsidR="00C51147" w:rsidRPr="00CE1851">
              <w:rPr>
                <w:sz w:val="18"/>
                <w:szCs w:val="18"/>
              </w:rPr>
              <w:t xml:space="preserve"> състоянието на информираност, нуждите от изграждане на капацитет и очакван</w:t>
            </w:r>
            <w:r>
              <w:rPr>
                <w:sz w:val="18"/>
                <w:szCs w:val="18"/>
              </w:rPr>
              <w:t xml:space="preserve">ията на заинтересованите страни; </w:t>
            </w:r>
            <w:r>
              <w:rPr>
                <w:sz w:val="18"/>
                <w:szCs w:val="18"/>
                <w:lang w:val="bg-BG"/>
              </w:rPr>
              <w:t xml:space="preserve">1 </w:t>
            </w:r>
            <w:r w:rsidR="00C51147" w:rsidRPr="00CE1851">
              <w:rPr>
                <w:sz w:val="18"/>
                <w:szCs w:val="18"/>
              </w:rPr>
              <w:t xml:space="preserve">междинна и </w:t>
            </w:r>
            <w:r>
              <w:rPr>
                <w:sz w:val="18"/>
                <w:szCs w:val="18"/>
                <w:lang w:val="bg-BG"/>
              </w:rPr>
              <w:t>1</w:t>
            </w:r>
            <w:r w:rsidR="00C51147" w:rsidRPr="00CE1851">
              <w:rPr>
                <w:sz w:val="18"/>
                <w:szCs w:val="18"/>
              </w:rPr>
              <w:t xml:space="preserve"> </w:t>
            </w:r>
            <w:r>
              <w:rPr>
                <w:sz w:val="18"/>
                <w:szCs w:val="18"/>
                <w:lang w:val="bg-BG"/>
              </w:rPr>
              <w:t>финална</w:t>
            </w:r>
            <w:r w:rsidR="00C51147" w:rsidRPr="00CE1851">
              <w:rPr>
                <w:sz w:val="18"/>
                <w:szCs w:val="18"/>
              </w:rPr>
              <w:t xml:space="preserve"> оценка на информираността, капацитета и удовлетвореността на заинтересованите страни;</w:t>
            </w:r>
          </w:p>
          <w:p w14:paraId="76FBAE27" w14:textId="3373FFE5" w:rsidR="002B209E" w:rsidRPr="007A44A5" w:rsidRDefault="006B78B3" w:rsidP="006B78B3">
            <w:pPr>
              <w:pStyle w:val="ListParagraph"/>
              <w:numPr>
                <w:ilvl w:val="0"/>
                <w:numId w:val="20"/>
              </w:numPr>
              <w:rPr>
                <w:sz w:val="18"/>
                <w:szCs w:val="18"/>
              </w:rPr>
            </w:pPr>
            <w:r>
              <w:rPr>
                <w:sz w:val="18"/>
                <w:szCs w:val="18"/>
                <w:lang w:val="bg-BG"/>
              </w:rPr>
              <w:t xml:space="preserve">Изпълнени </w:t>
            </w:r>
            <w:r w:rsidRPr="00F9321B">
              <w:rPr>
                <w:sz w:val="18"/>
                <w:szCs w:val="18"/>
                <w:lang w:val="bg-BG"/>
              </w:rPr>
              <w:t>д</w:t>
            </w:r>
            <w:r w:rsidR="00C51147" w:rsidRPr="00F9321B">
              <w:rPr>
                <w:sz w:val="18"/>
                <w:szCs w:val="18"/>
              </w:rPr>
              <w:t>ей</w:t>
            </w:r>
            <w:proofErr w:type="spellStart"/>
            <w:r w:rsidRPr="00F9321B">
              <w:rPr>
                <w:sz w:val="18"/>
                <w:szCs w:val="18"/>
                <w:lang w:val="bg-BG"/>
              </w:rPr>
              <w:t>ности</w:t>
            </w:r>
            <w:proofErr w:type="spellEnd"/>
            <w:r>
              <w:rPr>
                <w:sz w:val="18"/>
                <w:szCs w:val="18"/>
                <w:lang w:val="bg-BG"/>
              </w:rPr>
              <w:t xml:space="preserve"> </w:t>
            </w:r>
            <w:r w:rsidR="00C51147" w:rsidRPr="00CE1851">
              <w:rPr>
                <w:sz w:val="18"/>
                <w:szCs w:val="18"/>
              </w:rPr>
              <w:t xml:space="preserve">за укрепване на подхода на многостепенното управление, както следва: а) концепция за подхода на многостепенно управление и 3 разработени и изпълнени пилотни </w:t>
            </w:r>
            <w:r w:rsidR="00182EFE">
              <w:rPr>
                <w:sz w:val="18"/>
                <w:szCs w:val="18"/>
                <w:lang w:val="bg-BG"/>
              </w:rPr>
              <w:t>инициативи</w:t>
            </w:r>
            <w:r w:rsidR="00C51147" w:rsidRPr="00CE1851">
              <w:rPr>
                <w:sz w:val="18"/>
                <w:szCs w:val="18"/>
              </w:rPr>
              <w:t xml:space="preserve"> и б) 2 тригодишни плана за действие, съгласувани с ЕК за прилагане на многостепенно управление механизъм (включително оценки на разходите, график за изпълнение, крайни продукти/резултати, отговорник). Концепцията и плановете за действие се съгласуват с ЕК и са предпоставка за отпускане на средствата, предвидени за изпълнение на действията на механизма за многостепенно управление.</w:t>
            </w:r>
          </w:p>
        </w:tc>
      </w:tr>
      <w:tr w:rsidR="00F27887" w:rsidRPr="007A44A5" w14:paraId="463752B1" w14:textId="77777777" w:rsidTr="00B710E5">
        <w:trPr>
          <w:trHeight w:val="227"/>
        </w:trPr>
        <w:tc>
          <w:tcPr>
            <w:tcW w:w="3304" w:type="dxa"/>
            <w:shd w:val="clear" w:color="auto" w:fill="auto"/>
            <w:noWrap/>
            <w:vAlign w:val="center"/>
          </w:tcPr>
          <w:p w14:paraId="490CB028" w14:textId="748B109D" w:rsidR="00F27887" w:rsidRPr="007A44A5" w:rsidRDefault="00F27887" w:rsidP="00F27887">
            <w:pPr>
              <w:rPr>
                <w:rFonts w:ascii="Times New Roman" w:hAnsi="Times New Roman" w:cs="Times New Roman"/>
                <w:sz w:val="18"/>
                <w:szCs w:val="18"/>
              </w:rPr>
            </w:pPr>
            <w:r w:rsidRPr="007A44A5">
              <w:rPr>
                <w:rFonts w:ascii="Times New Roman" w:hAnsi="Times New Roman" w:cs="Times New Roman"/>
                <w:sz w:val="18"/>
                <w:szCs w:val="18"/>
              </w:rPr>
              <w:t xml:space="preserve">4. </w:t>
            </w:r>
            <w:r w:rsidR="00C51147" w:rsidRPr="00C51147">
              <w:rPr>
                <w:rFonts w:ascii="Times New Roman" w:hAnsi="Times New Roman" w:cs="Times New Roman"/>
                <w:sz w:val="18"/>
                <w:szCs w:val="18"/>
              </w:rPr>
              <w:t>Краен срок за изпълнение на условията или постигане на резултатите</w:t>
            </w:r>
          </w:p>
        </w:tc>
        <w:tc>
          <w:tcPr>
            <w:tcW w:w="10065" w:type="dxa"/>
            <w:gridSpan w:val="3"/>
            <w:vAlign w:val="center"/>
          </w:tcPr>
          <w:p w14:paraId="06CECA66" w14:textId="77777777" w:rsidR="00F27887" w:rsidRPr="007A44A5" w:rsidRDefault="00F27887" w:rsidP="0050161B">
            <w:pPr>
              <w:spacing w:before="60" w:after="60"/>
              <w:jc w:val="both"/>
              <w:rPr>
                <w:rFonts w:ascii="Times New Roman" w:hAnsi="Times New Roman" w:cs="Times New Roman"/>
                <w:sz w:val="18"/>
                <w:szCs w:val="18"/>
              </w:rPr>
            </w:pPr>
            <w:r w:rsidRPr="007A44A5">
              <w:rPr>
                <w:rFonts w:ascii="Times New Roman" w:hAnsi="Times New Roman" w:cs="Times New Roman"/>
                <w:sz w:val="18"/>
                <w:szCs w:val="18"/>
              </w:rPr>
              <w:t>30.06.2029 г</w:t>
            </w:r>
          </w:p>
        </w:tc>
      </w:tr>
      <w:tr w:rsidR="00F27887" w:rsidRPr="007A44A5" w14:paraId="666FFF0D" w14:textId="77777777" w:rsidTr="00B710E5">
        <w:trPr>
          <w:trHeight w:val="227"/>
        </w:trPr>
        <w:tc>
          <w:tcPr>
            <w:tcW w:w="3304" w:type="dxa"/>
            <w:shd w:val="clear" w:color="auto" w:fill="auto"/>
            <w:noWrap/>
            <w:vAlign w:val="center"/>
          </w:tcPr>
          <w:p w14:paraId="536C2D83" w14:textId="75DBE784" w:rsidR="00F27887" w:rsidRPr="007A44A5" w:rsidDel="00EE70AC" w:rsidRDefault="00F27887" w:rsidP="00F27887">
            <w:pPr>
              <w:rPr>
                <w:rFonts w:ascii="Times New Roman" w:hAnsi="Times New Roman" w:cs="Times New Roman"/>
                <w:sz w:val="18"/>
                <w:szCs w:val="18"/>
              </w:rPr>
            </w:pPr>
            <w:r w:rsidRPr="007A44A5">
              <w:rPr>
                <w:rFonts w:ascii="Times New Roman" w:hAnsi="Times New Roman" w:cs="Times New Roman"/>
                <w:sz w:val="18"/>
                <w:szCs w:val="18"/>
              </w:rPr>
              <w:t xml:space="preserve">5. </w:t>
            </w:r>
            <w:r w:rsidR="00C51147" w:rsidRPr="00C51147">
              <w:rPr>
                <w:rFonts w:ascii="Times New Roman" w:hAnsi="Times New Roman" w:cs="Times New Roman"/>
                <w:sz w:val="18"/>
                <w:szCs w:val="18"/>
              </w:rPr>
              <w:t>Определение на показателите</w:t>
            </w:r>
          </w:p>
        </w:tc>
        <w:tc>
          <w:tcPr>
            <w:tcW w:w="10065" w:type="dxa"/>
            <w:gridSpan w:val="3"/>
            <w:vAlign w:val="center"/>
          </w:tcPr>
          <w:p w14:paraId="45797CA8" w14:textId="02503CC1" w:rsidR="00EF3DE7" w:rsidRPr="007A44A5" w:rsidRDefault="000C024A" w:rsidP="0050161B">
            <w:pPr>
              <w:pStyle w:val="ListParagraph"/>
              <w:numPr>
                <w:ilvl w:val="3"/>
                <w:numId w:val="1"/>
              </w:numPr>
              <w:ind w:left="178" w:hanging="182"/>
              <w:rPr>
                <w:sz w:val="18"/>
                <w:szCs w:val="18"/>
              </w:rPr>
            </w:pPr>
            <w:proofErr w:type="spellStart"/>
            <w:r w:rsidRPr="007A44A5">
              <w:rPr>
                <w:sz w:val="18"/>
                <w:szCs w:val="18"/>
              </w:rPr>
              <w:t>човекодни</w:t>
            </w:r>
            <w:proofErr w:type="spellEnd"/>
            <w:r w:rsidRPr="007A44A5">
              <w:rPr>
                <w:sz w:val="18"/>
                <w:szCs w:val="18"/>
              </w:rPr>
              <w:t xml:space="preserve"> </w:t>
            </w:r>
            <w:r w:rsidR="006B78B3">
              <w:rPr>
                <w:sz w:val="18"/>
                <w:szCs w:val="18"/>
                <w:lang w:val="bg-BG"/>
              </w:rPr>
              <w:t xml:space="preserve">на </w:t>
            </w:r>
            <w:r w:rsidRPr="007A44A5">
              <w:rPr>
                <w:sz w:val="18"/>
                <w:szCs w:val="18"/>
              </w:rPr>
              <w:t>външни експерти за трансфер на знания/консултации (виж приложение 1 „Информация за разходите“);</w:t>
            </w:r>
          </w:p>
          <w:p w14:paraId="781AD2ED" w14:textId="1BF4CA12" w:rsidR="00F27887" w:rsidRPr="007A44A5" w:rsidRDefault="000C024A" w:rsidP="0050161B">
            <w:pPr>
              <w:pStyle w:val="ListParagraph"/>
              <w:numPr>
                <w:ilvl w:val="3"/>
                <w:numId w:val="1"/>
              </w:numPr>
              <w:ind w:left="178" w:hanging="182"/>
              <w:rPr>
                <w:sz w:val="18"/>
                <w:szCs w:val="18"/>
              </w:rPr>
            </w:pPr>
            <w:r w:rsidRPr="007A44A5">
              <w:rPr>
                <w:sz w:val="18"/>
                <w:szCs w:val="18"/>
              </w:rPr>
              <w:t>тематични събития през периода 2023-2028 г.;</w:t>
            </w:r>
          </w:p>
          <w:p w14:paraId="1F93FE62" w14:textId="2C23C72E" w:rsidR="008D73BC" w:rsidRPr="007A44A5" w:rsidRDefault="00ED7CA7" w:rsidP="008D73BC">
            <w:pPr>
              <w:pStyle w:val="ListParagraph"/>
              <w:numPr>
                <w:ilvl w:val="3"/>
                <w:numId w:val="1"/>
              </w:numPr>
              <w:ind w:left="178" w:hanging="182"/>
              <w:rPr>
                <w:sz w:val="18"/>
                <w:szCs w:val="18"/>
              </w:rPr>
            </w:pPr>
            <w:r w:rsidRPr="007A44A5">
              <w:rPr>
                <w:sz w:val="18"/>
                <w:szCs w:val="18"/>
              </w:rPr>
              <w:t xml:space="preserve">ИТ платформа, </w:t>
            </w:r>
            <w:r w:rsidR="006B78B3">
              <w:rPr>
                <w:sz w:val="18"/>
                <w:szCs w:val="18"/>
                <w:lang w:val="bg-BG"/>
              </w:rPr>
              <w:t>разработена</w:t>
            </w:r>
            <w:r w:rsidRPr="007A44A5">
              <w:rPr>
                <w:sz w:val="18"/>
                <w:szCs w:val="18"/>
              </w:rPr>
              <w:t xml:space="preserve"> съгласно договорените функционални и технически спецификации;</w:t>
            </w:r>
          </w:p>
          <w:p w14:paraId="2F75321F" w14:textId="188D293C" w:rsidR="0004548D" w:rsidRPr="007A44A5" w:rsidRDefault="00416311" w:rsidP="008D73BC">
            <w:pPr>
              <w:pStyle w:val="ListParagraph"/>
              <w:numPr>
                <w:ilvl w:val="3"/>
                <w:numId w:val="1"/>
              </w:numPr>
              <w:ind w:left="178" w:hanging="182"/>
              <w:rPr>
                <w:sz w:val="18"/>
                <w:szCs w:val="18"/>
              </w:rPr>
            </w:pPr>
            <w:r>
              <w:rPr>
                <w:sz w:val="18"/>
                <w:szCs w:val="18"/>
                <w:lang w:val="bg-BG"/>
              </w:rPr>
              <w:t>и</w:t>
            </w:r>
            <w:proofErr w:type="spellStart"/>
            <w:r w:rsidR="0004548D" w:rsidRPr="007A44A5">
              <w:rPr>
                <w:sz w:val="18"/>
                <w:szCs w:val="18"/>
              </w:rPr>
              <w:t>звършени</w:t>
            </w:r>
            <w:proofErr w:type="spellEnd"/>
            <w:r w:rsidR="0004548D" w:rsidRPr="007A44A5">
              <w:rPr>
                <w:sz w:val="18"/>
                <w:szCs w:val="18"/>
              </w:rPr>
              <w:t xml:space="preserve"> анализи за предоставяне на обратна връзка;</w:t>
            </w:r>
          </w:p>
          <w:p w14:paraId="21514C1D" w14:textId="042CB53C" w:rsidR="00CC0846" w:rsidRPr="007A44A5" w:rsidRDefault="00CC0846" w:rsidP="008D73BC">
            <w:pPr>
              <w:pStyle w:val="ListParagraph"/>
              <w:numPr>
                <w:ilvl w:val="3"/>
                <w:numId w:val="1"/>
              </w:numPr>
              <w:ind w:left="178" w:hanging="182"/>
              <w:rPr>
                <w:sz w:val="18"/>
                <w:szCs w:val="18"/>
              </w:rPr>
            </w:pPr>
            <w:r w:rsidRPr="007A44A5">
              <w:rPr>
                <w:sz w:val="18"/>
                <w:szCs w:val="18"/>
              </w:rPr>
              <w:t xml:space="preserve">пилотни </w:t>
            </w:r>
            <w:r w:rsidR="00182EFE">
              <w:rPr>
                <w:sz w:val="18"/>
                <w:szCs w:val="18"/>
                <w:lang w:val="bg-BG"/>
              </w:rPr>
              <w:t>инициативи</w:t>
            </w:r>
            <w:r w:rsidRPr="007A44A5">
              <w:rPr>
                <w:sz w:val="18"/>
                <w:szCs w:val="18"/>
              </w:rPr>
              <w:t xml:space="preserve">, </w:t>
            </w:r>
            <w:r w:rsidR="00416311">
              <w:rPr>
                <w:sz w:val="18"/>
                <w:szCs w:val="18"/>
                <w:lang w:val="bg-BG"/>
              </w:rPr>
              <w:t>реализирани</w:t>
            </w:r>
            <w:r w:rsidRPr="007A44A5">
              <w:rPr>
                <w:sz w:val="18"/>
                <w:szCs w:val="18"/>
              </w:rPr>
              <w:t xml:space="preserve"> до края на 2024 г. за насърчаване на ангажираността на заинтересованите страни;</w:t>
            </w:r>
          </w:p>
          <w:p w14:paraId="167E5414" w14:textId="224AA85D" w:rsidR="00F27887" w:rsidRPr="007A44A5" w:rsidRDefault="00B71E36" w:rsidP="006736DA">
            <w:pPr>
              <w:pStyle w:val="ListParagraph"/>
              <w:numPr>
                <w:ilvl w:val="3"/>
                <w:numId w:val="1"/>
              </w:numPr>
              <w:ind w:left="178" w:hanging="182"/>
            </w:pPr>
            <w:proofErr w:type="spellStart"/>
            <w:r w:rsidRPr="007A44A5">
              <w:rPr>
                <w:sz w:val="18"/>
                <w:szCs w:val="18"/>
                <w:lang w:val="en-US"/>
              </w:rPr>
              <w:t>тригодишни</w:t>
            </w:r>
            <w:proofErr w:type="spellEnd"/>
            <w:r w:rsidRPr="007A44A5">
              <w:rPr>
                <w:sz w:val="18"/>
                <w:szCs w:val="18"/>
                <w:lang w:val="en-US"/>
              </w:rPr>
              <w:t xml:space="preserve"> </w:t>
            </w:r>
            <w:r w:rsidR="00981176" w:rsidRPr="007A44A5">
              <w:rPr>
                <w:sz w:val="18"/>
                <w:szCs w:val="18"/>
              </w:rPr>
              <w:t>планове за действие за прилагане на механизъм за многостепенно управление: броят и свързаните с тях индикатори за действията ще бъдат определени чрез изменението на тази схема след съгласуване на плановете за действие.</w:t>
            </w:r>
          </w:p>
          <w:p w14:paraId="2162CD70" w14:textId="2529C291" w:rsidR="000C024A" w:rsidRPr="007A44A5" w:rsidRDefault="000C024A" w:rsidP="00236180">
            <w:pPr>
              <w:rPr>
                <w:rFonts w:ascii="Times New Roman" w:hAnsi="Times New Roman" w:cs="Times New Roman"/>
                <w:sz w:val="18"/>
                <w:szCs w:val="18"/>
              </w:rPr>
            </w:pPr>
          </w:p>
        </w:tc>
      </w:tr>
      <w:tr w:rsidR="00F27887" w:rsidRPr="007A44A5" w14:paraId="74C57DEF" w14:textId="77777777" w:rsidTr="00B710E5">
        <w:trPr>
          <w:trHeight w:val="227"/>
        </w:trPr>
        <w:tc>
          <w:tcPr>
            <w:tcW w:w="3304" w:type="dxa"/>
            <w:shd w:val="clear" w:color="auto" w:fill="auto"/>
            <w:noWrap/>
            <w:vAlign w:val="center"/>
          </w:tcPr>
          <w:p w14:paraId="71988CDB" w14:textId="3FB6E23E" w:rsidR="00F27887" w:rsidRPr="007A44A5" w:rsidRDefault="00F27887" w:rsidP="00F27887">
            <w:pPr>
              <w:rPr>
                <w:rFonts w:ascii="Times New Roman" w:hAnsi="Times New Roman" w:cs="Times New Roman"/>
                <w:sz w:val="18"/>
                <w:szCs w:val="18"/>
              </w:rPr>
            </w:pPr>
            <w:r w:rsidRPr="007A44A5">
              <w:rPr>
                <w:rFonts w:ascii="Times New Roman" w:hAnsi="Times New Roman" w:cs="Times New Roman"/>
                <w:sz w:val="18"/>
                <w:szCs w:val="18"/>
              </w:rPr>
              <w:t xml:space="preserve">6. </w:t>
            </w:r>
            <w:r w:rsidR="00C51147" w:rsidRPr="00C51147">
              <w:rPr>
                <w:rFonts w:ascii="Times New Roman" w:hAnsi="Times New Roman" w:cs="Times New Roman"/>
                <w:sz w:val="18"/>
                <w:szCs w:val="18"/>
              </w:rPr>
              <w:t>Мерна единица за условията, които трябва да бъдат изпълнени/резултатите, които трябва да бъдат постигнати, за да се извърши възстановяване на разходи от Комисията</w:t>
            </w:r>
          </w:p>
        </w:tc>
        <w:tc>
          <w:tcPr>
            <w:tcW w:w="10065" w:type="dxa"/>
            <w:gridSpan w:val="3"/>
            <w:vAlign w:val="center"/>
          </w:tcPr>
          <w:p w14:paraId="575C53D4" w14:textId="77777777" w:rsidR="00BC14E1" w:rsidRPr="007A44A5" w:rsidRDefault="00F97CF7" w:rsidP="00236180">
            <w:pPr>
              <w:pStyle w:val="ListParagraph"/>
              <w:numPr>
                <w:ilvl w:val="3"/>
                <w:numId w:val="1"/>
              </w:numPr>
              <w:ind w:left="178" w:hanging="182"/>
              <w:rPr>
                <w:sz w:val="18"/>
                <w:szCs w:val="18"/>
              </w:rPr>
            </w:pPr>
            <w:r w:rsidRPr="007A44A5">
              <w:rPr>
                <w:sz w:val="18"/>
                <w:szCs w:val="18"/>
              </w:rPr>
              <w:t xml:space="preserve">Брой </w:t>
            </w:r>
            <w:proofErr w:type="spellStart"/>
            <w:r w:rsidRPr="007A44A5">
              <w:rPr>
                <w:sz w:val="18"/>
                <w:szCs w:val="18"/>
              </w:rPr>
              <w:t>човекодни</w:t>
            </w:r>
            <w:proofErr w:type="spellEnd"/>
            <w:r w:rsidRPr="007A44A5">
              <w:rPr>
                <w:sz w:val="18"/>
                <w:szCs w:val="18"/>
              </w:rPr>
              <w:t xml:space="preserve"> на външни експерти за трансфер на знания/консултации</w:t>
            </w:r>
          </w:p>
          <w:p w14:paraId="49A176AB" w14:textId="77777777" w:rsidR="00BC14E1" w:rsidRPr="007A44A5" w:rsidRDefault="00BC14E1" w:rsidP="00236180">
            <w:pPr>
              <w:pStyle w:val="ListParagraph"/>
              <w:numPr>
                <w:ilvl w:val="3"/>
                <w:numId w:val="1"/>
              </w:numPr>
              <w:ind w:left="178" w:hanging="182"/>
              <w:rPr>
                <w:sz w:val="18"/>
                <w:szCs w:val="18"/>
              </w:rPr>
            </w:pPr>
            <w:r w:rsidRPr="007A44A5">
              <w:rPr>
                <w:sz w:val="18"/>
                <w:szCs w:val="18"/>
              </w:rPr>
              <w:t>Брой тематични събития през периода 2023-2028 г</w:t>
            </w:r>
          </w:p>
          <w:p w14:paraId="17972C26" w14:textId="42316563" w:rsidR="00BC14E1" w:rsidRPr="007A44A5" w:rsidRDefault="00416311" w:rsidP="00236180">
            <w:pPr>
              <w:pStyle w:val="ListParagraph"/>
              <w:numPr>
                <w:ilvl w:val="3"/>
                <w:numId w:val="1"/>
              </w:numPr>
              <w:ind w:left="178" w:hanging="182"/>
              <w:rPr>
                <w:sz w:val="18"/>
                <w:szCs w:val="18"/>
              </w:rPr>
            </w:pPr>
            <w:r>
              <w:rPr>
                <w:sz w:val="18"/>
                <w:szCs w:val="18"/>
                <w:lang w:val="bg-BG"/>
              </w:rPr>
              <w:t>Брой</w:t>
            </w:r>
            <w:r w:rsidR="0004548D" w:rsidRPr="007A44A5">
              <w:rPr>
                <w:sz w:val="18"/>
                <w:szCs w:val="18"/>
              </w:rPr>
              <w:t xml:space="preserve"> (</w:t>
            </w:r>
            <w:proofErr w:type="spellStart"/>
            <w:r>
              <w:rPr>
                <w:sz w:val="18"/>
                <w:szCs w:val="18"/>
                <w:lang w:val="bg-BG"/>
              </w:rPr>
              <w:t>напр</w:t>
            </w:r>
            <w:proofErr w:type="spellEnd"/>
            <w:r w:rsidR="0004548D" w:rsidRPr="007A44A5">
              <w:rPr>
                <w:sz w:val="18"/>
                <w:szCs w:val="18"/>
              </w:rPr>
              <w:t xml:space="preserve">. ИТ </w:t>
            </w:r>
            <w:r w:rsidR="00182EFE">
              <w:rPr>
                <w:sz w:val="18"/>
                <w:szCs w:val="18"/>
                <w:lang w:val="bg-BG"/>
              </w:rPr>
              <w:t>платформа</w:t>
            </w:r>
            <w:r w:rsidR="0004548D" w:rsidRPr="007A44A5">
              <w:rPr>
                <w:sz w:val="18"/>
                <w:szCs w:val="18"/>
              </w:rPr>
              <w:t>)</w:t>
            </w:r>
          </w:p>
          <w:p w14:paraId="2E649695" w14:textId="366E7287" w:rsidR="0004548D" w:rsidRPr="007A44A5" w:rsidRDefault="0004548D" w:rsidP="00236180">
            <w:pPr>
              <w:pStyle w:val="ListParagraph"/>
              <w:numPr>
                <w:ilvl w:val="3"/>
                <w:numId w:val="1"/>
              </w:numPr>
              <w:ind w:left="178" w:hanging="182"/>
              <w:rPr>
                <w:sz w:val="18"/>
                <w:szCs w:val="18"/>
              </w:rPr>
            </w:pPr>
            <w:r w:rsidRPr="007A44A5">
              <w:rPr>
                <w:sz w:val="18"/>
                <w:szCs w:val="18"/>
              </w:rPr>
              <w:t>Брой извършени анализи</w:t>
            </w:r>
          </w:p>
          <w:p w14:paraId="3072678B" w14:textId="7C0B4F58" w:rsidR="00A90D9C" w:rsidRPr="007A44A5" w:rsidRDefault="00A90D9C" w:rsidP="00236180">
            <w:pPr>
              <w:pStyle w:val="ListParagraph"/>
              <w:numPr>
                <w:ilvl w:val="3"/>
                <w:numId w:val="1"/>
              </w:numPr>
              <w:ind w:left="178" w:hanging="182"/>
              <w:rPr>
                <w:sz w:val="18"/>
                <w:szCs w:val="18"/>
              </w:rPr>
            </w:pPr>
            <w:r w:rsidRPr="007A44A5">
              <w:rPr>
                <w:sz w:val="18"/>
                <w:szCs w:val="18"/>
              </w:rPr>
              <w:t xml:space="preserve">Брой пилотни </w:t>
            </w:r>
            <w:r w:rsidR="00182EFE">
              <w:rPr>
                <w:sz w:val="18"/>
                <w:szCs w:val="18"/>
                <w:lang w:val="bg-BG"/>
              </w:rPr>
              <w:t>инициативи</w:t>
            </w:r>
            <w:r w:rsidRPr="007A44A5">
              <w:rPr>
                <w:sz w:val="18"/>
                <w:szCs w:val="18"/>
              </w:rPr>
              <w:t xml:space="preserve">, </w:t>
            </w:r>
            <w:r w:rsidR="00416311">
              <w:rPr>
                <w:sz w:val="18"/>
                <w:szCs w:val="18"/>
                <w:lang w:val="bg-BG"/>
              </w:rPr>
              <w:t>реализирани</w:t>
            </w:r>
            <w:r w:rsidRPr="007A44A5">
              <w:rPr>
                <w:sz w:val="18"/>
                <w:szCs w:val="18"/>
              </w:rPr>
              <w:t xml:space="preserve"> до края на 2024 г. за насърчаване на ангажираността на заинтересованите страни</w:t>
            </w:r>
          </w:p>
          <w:p w14:paraId="7A99AE6D" w14:textId="3C7ECD18" w:rsidR="00BC14E1" w:rsidRPr="007A44A5" w:rsidRDefault="00A90D9C" w:rsidP="00102350">
            <w:pPr>
              <w:pStyle w:val="ListParagraph"/>
              <w:numPr>
                <w:ilvl w:val="3"/>
                <w:numId w:val="1"/>
              </w:numPr>
              <w:ind w:left="178" w:hanging="182"/>
              <w:rPr>
                <w:sz w:val="18"/>
                <w:szCs w:val="18"/>
              </w:rPr>
            </w:pPr>
            <w:r w:rsidRPr="007A44A5">
              <w:rPr>
                <w:sz w:val="18"/>
                <w:szCs w:val="18"/>
              </w:rPr>
              <w:t>Брой изпълнени тригодишни планове за действие за прилагане на механизма за многостепенно управление</w:t>
            </w:r>
          </w:p>
        </w:tc>
      </w:tr>
      <w:tr w:rsidR="00DE4E5A" w:rsidRPr="007A44A5" w14:paraId="385FD391" w14:textId="77777777" w:rsidTr="00DE4E5A">
        <w:trPr>
          <w:trHeight w:val="227"/>
        </w:trPr>
        <w:tc>
          <w:tcPr>
            <w:tcW w:w="3304" w:type="dxa"/>
            <w:vMerge w:val="restart"/>
            <w:shd w:val="clear" w:color="auto" w:fill="auto"/>
            <w:noWrap/>
            <w:vAlign w:val="center"/>
          </w:tcPr>
          <w:p w14:paraId="33BF9B92" w14:textId="77777777" w:rsidR="00DE4E5A" w:rsidRPr="007A44A5" w:rsidRDefault="00DE4E5A" w:rsidP="00182EFE">
            <w:pPr>
              <w:rPr>
                <w:rFonts w:ascii="Times New Roman" w:hAnsi="Times New Roman" w:cs="Times New Roman"/>
                <w:sz w:val="18"/>
                <w:szCs w:val="18"/>
              </w:rPr>
            </w:pPr>
            <w:r w:rsidRPr="007A44A5">
              <w:rPr>
                <w:rFonts w:ascii="Times New Roman" w:hAnsi="Times New Roman" w:cs="Times New Roman"/>
                <w:sz w:val="18"/>
                <w:szCs w:val="18"/>
              </w:rPr>
              <w:lastRenderedPageBreak/>
              <w:t xml:space="preserve">7. </w:t>
            </w:r>
            <w:r w:rsidRPr="00C51147">
              <w:rPr>
                <w:rFonts w:ascii="Times New Roman" w:hAnsi="Times New Roman" w:cs="Times New Roman"/>
                <w:sz w:val="18"/>
                <w:szCs w:val="18"/>
              </w:rPr>
              <w:t>Междинни конкретни резултати (ако е приложимо), които водят до възстановяване на разходи от Комисията, с график за възстановяване на разходите</w:t>
            </w:r>
          </w:p>
          <w:p w14:paraId="08CAA1AD" w14:textId="02D7442C" w:rsidR="00DE4E5A" w:rsidRPr="007A44A5" w:rsidRDefault="00DE4E5A" w:rsidP="00155973">
            <w:pPr>
              <w:rPr>
                <w:rFonts w:ascii="Times New Roman" w:hAnsi="Times New Roman" w:cs="Times New Roman"/>
                <w:sz w:val="18"/>
                <w:szCs w:val="18"/>
              </w:rPr>
            </w:pPr>
          </w:p>
        </w:tc>
        <w:tc>
          <w:tcPr>
            <w:tcW w:w="3694" w:type="dxa"/>
          </w:tcPr>
          <w:p w14:paraId="60A9166E" w14:textId="2E9285DC" w:rsidR="00DE4E5A" w:rsidRPr="006D37D9" w:rsidRDefault="00DE4E5A" w:rsidP="003F05B0">
            <w:pPr>
              <w:rPr>
                <w:rFonts w:ascii="Times New Roman" w:hAnsi="Times New Roman" w:cs="Times New Roman"/>
                <w:sz w:val="18"/>
                <w:szCs w:val="18"/>
              </w:rPr>
            </w:pPr>
            <w:r w:rsidRPr="003F05B0">
              <w:rPr>
                <w:rFonts w:ascii="Times New Roman" w:hAnsi="Times New Roman" w:cs="Times New Roman"/>
                <w:sz w:val="18"/>
                <w:szCs w:val="18"/>
              </w:rPr>
              <w:t>Междинни конкретни резултати</w:t>
            </w:r>
          </w:p>
        </w:tc>
        <w:tc>
          <w:tcPr>
            <w:tcW w:w="1137" w:type="dxa"/>
          </w:tcPr>
          <w:p w14:paraId="51CE56B9" w14:textId="4626241C" w:rsidR="00DE4E5A" w:rsidRPr="006D37D9" w:rsidRDefault="00DE4E5A" w:rsidP="003F05B0">
            <w:pPr>
              <w:rPr>
                <w:rFonts w:ascii="Times New Roman" w:hAnsi="Times New Roman" w:cs="Times New Roman"/>
                <w:sz w:val="18"/>
                <w:szCs w:val="18"/>
              </w:rPr>
            </w:pPr>
            <w:r w:rsidRPr="003F05B0">
              <w:rPr>
                <w:rFonts w:ascii="Times New Roman" w:hAnsi="Times New Roman" w:cs="Times New Roman"/>
                <w:sz w:val="18"/>
                <w:szCs w:val="18"/>
              </w:rPr>
              <w:t>Предвидена дата</w:t>
            </w:r>
          </w:p>
        </w:tc>
        <w:tc>
          <w:tcPr>
            <w:tcW w:w="5234" w:type="dxa"/>
          </w:tcPr>
          <w:p w14:paraId="73E1CC19" w14:textId="4044222F" w:rsidR="00DE4E5A" w:rsidRPr="006D37D9" w:rsidRDefault="00DE4E5A">
            <w:pPr>
              <w:rPr>
                <w:rFonts w:ascii="Times New Roman" w:hAnsi="Times New Roman" w:cs="Times New Roman"/>
                <w:sz w:val="18"/>
                <w:szCs w:val="18"/>
              </w:rPr>
            </w:pPr>
            <w:r w:rsidRPr="003F05B0">
              <w:rPr>
                <w:rFonts w:ascii="Times New Roman" w:hAnsi="Times New Roman" w:cs="Times New Roman"/>
                <w:sz w:val="18"/>
                <w:szCs w:val="18"/>
              </w:rPr>
              <w:t>Суми (в EUR)</w:t>
            </w:r>
          </w:p>
        </w:tc>
      </w:tr>
      <w:tr w:rsidR="00DE4E5A" w:rsidRPr="007A44A5" w14:paraId="3544247C" w14:textId="77777777" w:rsidTr="00DE4E5A">
        <w:trPr>
          <w:trHeight w:val="227"/>
        </w:trPr>
        <w:tc>
          <w:tcPr>
            <w:tcW w:w="3304" w:type="dxa"/>
            <w:vMerge/>
            <w:shd w:val="clear" w:color="auto" w:fill="auto"/>
            <w:noWrap/>
            <w:vAlign w:val="center"/>
          </w:tcPr>
          <w:p w14:paraId="577D4138" w14:textId="1B4EA93F" w:rsidR="00DE4E5A" w:rsidRPr="007A44A5" w:rsidRDefault="00DE4E5A" w:rsidP="00155973">
            <w:pPr>
              <w:rPr>
                <w:rFonts w:ascii="Times New Roman" w:hAnsi="Times New Roman" w:cs="Times New Roman"/>
                <w:sz w:val="18"/>
                <w:szCs w:val="18"/>
              </w:rPr>
            </w:pPr>
          </w:p>
        </w:tc>
        <w:tc>
          <w:tcPr>
            <w:tcW w:w="3694" w:type="dxa"/>
            <w:vAlign w:val="center"/>
          </w:tcPr>
          <w:p w14:paraId="2604962B" w14:textId="7FE475B5" w:rsidR="00DE4E5A" w:rsidRPr="007A44A5" w:rsidRDefault="00DE4E5A" w:rsidP="00751EC0">
            <w:pPr>
              <w:jc w:val="both"/>
              <w:rPr>
                <w:rFonts w:ascii="Times New Roman" w:hAnsi="Times New Roman" w:cs="Times New Roman"/>
                <w:sz w:val="18"/>
                <w:szCs w:val="18"/>
              </w:rPr>
            </w:pPr>
            <w:r w:rsidRPr="007A44A5">
              <w:rPr>
                <w:rFonts w:ascii="Times New Roman" w:hAnsi="Times New Roman" w:cs="Times New Roman"/>
                <w:sz w:val="18"/>
                <w:szCs w:val="18"/>
              </w:rPr>
              <w:t xml:space="preserve">1. </w:t>
            </w:r>
            <w:r>
              <w:rPr>
                <w:rFonts w:ascii="Times New Roman" w:hAnsi="Times New Roman" w:cs="Times New Roman"/>
                <w:sz w:val="18"/>
                <w:szCs w:val="18"/>
                <w:lang w:val="bg-BG"/>
              </w:rPr>
              <w:t>Пул</w:t>
            </w:r>
            <w:r w:rsidRPr="007A44A5">
              <w:rPr>
                <w:rFonts w:ascii="Times New Roman" w:hAnsi="Times New Roman" w:cs="Times New Roman"/>
                <w:sz w:val="18"/>
                <w:szCs w:val="18"/>
              </w:rPr>
              <w:t xml:space="preserve"> от експерти за трансфер на знания и предоставяне на специфична експертиза - консултациите със специфична експертиза ще се отчитат ежегодно въз основа на консултантски договори. Разходите са п</w:t>
            </w:r>
            <w:proofErr w:type="spellStart"/>
            <w:r>
              <w:rPr>
                <w:rFonts w:ascii="Times New Roman" w:hAnsi="Times New Roman" w:cs="Times New Roman"/>
                <w:sz w:val="18"/>
                <w:szCs w:val="18"/>
                <w:lang w:val="bg-BG"/>
              </w:rPr>
              <w:t>ланирани</w:t>
            </w:r>
            <w:proofErr w:type="spellEnd"/>
            <w:r w:rsidRPr="007A44A5">
              <w:rPr>
                <w:rFonts w:ascii="Times New Roman" w:hAnsi="Times New Roman" w:cs="Times New Roman"/>
                <w:sz w:val="18"/>
                <w:szCs w:val="18"/>
              </w:rPr>
              <w:t xml:space="preserve"> еднакво за всяка година на изпълнение на действието. За осъществяване на дейността ежегодно ще се изготвят оценки на нуждите, планове за изграждане на капацитет и технически и финансов доклад.</w:t>
            </w:r>
          </w:p>
          <w:p w14:paraId="7B3BE3DF" w14:textId="0155870C" w:rsidR="00DE4E5A" w:rsidRPr="007A44A5" w:rsidRDefault="00DE4E5A" w:rsidP="00416311">
            <w:pPr>
              <w:jc w:val="both"/>
              <w:rPr>
                <w:rFonts w:ascii="Times New Roman" w:hAnsi="Times New Roman" w:cs="Times New Roman"/>
                <w:sz w:val="18"/>
                <w:szCs w:val="18"/>
              </w:rPr>
            </w:pPr>
            <w:r w:rsidRPr="007A44A5">
              <w:rPr>
                <w:rFonts w:ascii="Times New Roman" w:hAnsi="Times New Roman" w:cs="Times New Roman"/>
                <w:sz w:val="18"/>
                <w:szCs w:val="18"/>
              </w:rPr>
              <w:t xml:space="preserve">За първия период на отчитане трябва да бъдат </w:t>
            </w:r>
            <w:r>
              <w:rPr>
                <w:rFonts w:ascii="Times New Roman" w:hAnsi="Times New Roman" w:cs="Times New Roman"/>
                <w:sz w:val="18"/>
                <w:szCs w:val="18"/>
                <w:lang w:val="bg-BG"/>
              </w:rPr>
              <w:t>реализирани</w:t>
            </w:r>
            <w:r w:rsidRPr="007A44A5">
              <w:rPr>
                <w:rFonts w:ascii="Times New Roman" w:hAnsi="Times New Roman" w:cs="Times New Roman"/>
                <w:sz w:val="18"/>
                <w:szCs w:val="18"/>
              </w:rPr>
              <w:t xml:space="preserve"> най-малко 1</w:t>
            </w:r>
            <w:r>
              <w:rPr>
                <w:rFonts w:ascii="Times New Roman" w:hAnsi="Times New Roman" w:cs="Times New Roman"/>
                <w:sz w:val="18"/>
                <w:szCs w:val="18"/>
              </w:rPr>
              <w:t xml:space="preserve"> </w:t>
            </w:r>
            <w:r w:rsidRPr="007A44A5">
              <w:rPr>
                <w:rFonts w:ascii="Times New Roman" w:hAnsi="Times New Roman" w:cs="Times New Roman"/>
                <w:sz w:val="18"/>
                <w:szCs w:val="18"/>
              </w:rPr>
              <w:t xml:space="preserve">500 </w:t>
            </w:r>
            <w:proofErr w:type="spellStart"/>
            <w:r w:rsidRPr="007A44A5">
              <w:rPr>
                <w:rFonts w:ascii="Times New Roman" w:hAnsi="Times New Roman" w:cs="Times New Roman"/>
                <w:sz w:val="18"/>
                <w:szCs w:val="18"/>
              </w:rPr>
              <w:t>човекодни</w:t>
            </w:r>
            <w:proofErr w:type="spellEnd"/>
            <w:r w:rsidRPr="007A44A5">
              <w:rPr>
                <w:rFonts w:ascii="Times New Roman" w:hAnsi="Times New Roman" w:cs="Times New Roman"/>
                <w:sz w:val="18"/>
                <w:szCs w:val="18"/>
              </w:rPr>
              <w:t xml:space="preserve"> (от международни</w:t>
            </w:r>
            <w:r>
              <w:rPr>
                <w:rFonts w:ascii="Times New Roman" w:hAnsi="Times New Roman" w:cs="Times New Roman"/>
                <w:sz w:val="18"/>
                <w:szCs w:val="18"/>
                <w:lang w:val="bg-BG"/>
              </w:rPr>
              <w:t xml:space="preserve"> </w:t>
            </w:r>
            <w:r w:rsidRPr="007A44A5">
              <w:rPr>
                <w:rFonts w:ascii="Times New Roman" w:hAnsi="Times New Roman" w:cs="Times New Roman"/>
                <w:sz w:val="18"/>
                <w:szCs w:val="18"/>
              </w:rPr>
              <w:t>и</w:t>
            </w:r>
            <w:r>
              <w:rPr>
                <w:rFonts w:ascii="Times New Roman" w:hAnsi="Times New Roman" w:cs="Times New Roman"/>
                <w:sz w:val="18"/>
                <w:szCs w:val="18"/>
                <w:lang w:val="bg-BG"/>
              </w:rPr>
              <w:t>/или</w:t>
            </w:r>
            <w:r w:rsidRPr="007A44A5">
              <w:rPr>
                <w:rFonts w:ascii="Times New Roman" w:hAnsi="Times New Roman" w:cs="Times New Roman"/>
                <w:sz w:val="18"/>
                <w:szCs w:val="18"/>
              </w:rPr>
              <w:t xml:space="preserve"> от национални/местни експерти) за трансфер на знания/консултации, за следващите периоди </w:t>
            </w:r>
            <w:proofErr w:type="spellStart"/>
            <w:r w:rsidRPr="007A44A5">
              <w:rPr>
                <w:rFonts w:ascii="Times New Roman" w:hAnsi="Times New Roman" w:cs="Times New Roman"/>
                <w:sz w:val="18"/>
                <w:szCs w:val="18"/>
              </w:rPr>
              <w:t>човекодните</w:t>
            </w:r>
            <w:proofErr w:type="spellEnd"/>
            <w:r w:rsidRPr="007A44A5">
              <w:rPr>
                <w:rFonts w:ascii="Times New Roman" w:hAnsi="Times New Roman" w:cs="Times New Roman"/>
                <w:sz w:val="18"/>
                <w:szCs w:val="18"/>
              </w:rPr>
              <w:t xml:space="preserve"> ще се отчитат </w:t>
            </w:r>
            <w:r>
              <w:rPr>
                <w:rFonts w:ascii="Times New Roman" w:hAnsi="Times New Roman" w:cs="Times New Roman"/>
                <w:sz w:val="18"/>
                <w:szCs w:val="18"/>
                <w:lang w:val="bg-BG"/>
              </w:rPr>
              <w:t xml:space="preserve">чрез </w:t>
            </w:r>
            <w:proofErr w:type="spellStart"/>
            <w:r w:rsidRPr="007A44A5">
              <w:rPr>
                <w:rFonts w:ascii="Times New Roman" w:hAnsi="Times New Roman" w:cs="Times New Roman"/>
                <w:sz w:val="18"/>
                <w:szCs w:val="18"/>
              </w:rPr>
              <w:t>натруп</w:t>
            </w:r>
            <w:proofErr w:type="spellEnd"/>
            <w:r>
              <w:rPr>
                <w:rFonts w:ascii="Times New Roman" w:hAnsi="Times New Roman" w:cs="Times New Roman"/>
                <w:sz w:val="18"/>
                <w:szCs w:val="18"/>
                <w:lang w:val="bg-BG"/>
              </w:rPr>
              <w:t>в</w:t>
            </w:r>
            <w:proofErr w:type="spellStart"/>
            <w:r w:rsidRPr="007A44A5">
              <w:rPr>
                <w:rFonts w:ascii="Times New Roman" w:hAnsi="Times New Roman" w:cs="Times New Roman"/>
                <w:sz w:val="18"/>
                <w:szCs w:val="18"/>
              </w:rPr>
              <w:t>ан</w:t>
            </w:r>
            <w:proofErr w:type="spellEnd"/>
            <w:r>
              <w:rPr>
                <w:rFonts w:ascii="Times New Roman" w:hAnsi="Times New Roman" w:cs="Times New Roman"/>
                <w:sz w:val="18"/>
                <w:szCs w:val="18"/>
                <w:lang w:val="bg-BG"/>
              </w:rPr>
              <w:t>е</w:t>
            </w:r>
            <w:r w:rsidRPr="007A44A5">
              <w:rPr>
                <w:rFonts w:ascii="Times New Roman" w:hAnsi="Times New Roman" w:cs="Times New Roman"/>
                <w:sz w:val="18"/>
                <w:szCs w:val="18"/>
              </w:rPr>
              <w:t xml:space="preserve"> и ще се считат за постигнати, когато средната стойност за период е най-малко 1 500 </w:t>
            </w:r>
            <w:proofErr w:type="spellStart"/>
            <w:r w:rsidRPr="007A44A5">
              <w:rPr>
                <w:rFonts w:ascii="Times New Roman" w:hAnsi="Times New Roman" w:cs="Times New Roman"/>
                <w:sz w:val="18"/>
                <w:szCs w:val="18"/>
              </w:rPr>
              <w:t>човекодни</w:t>
            </w:r>
            <w:proofErr w:type="spellEnd"/>
            <w:r w:rsidRPr="007A44A5">
              <w:rPr>
                <w:rFonts w:ascii="Times New Roman" w:hAnsi="Times New Roman" w:cs="Times New Roman"/>
                <w:sz w:val="18"/>
                <w:szCs w:val="18"/>
              </w:rPr>
              <w:t>.</w:t>
            </w:r>
          </w:p>
        </w:tc>
        <w:tc>
          <w:tcPr>
            <w:tcW w:w="1137" w:type="dxa"/>
            <w:vAlign w:val="center"/>
          </w:tcPr>
          <w:p w14:paraId="43A1DCBF" w14:textId="594E4D1A" w:rsidR="00DE4E5A" w:rsidRPr="007A44A5" w:rsidRDefault="00DE4E5A" w:rsidP="0050161B">
            <w:pPr>
              <w:jc w:val="both"/>
              <w:rPr>
                <w:rFonts w:ascii="Times New Roman" w:hAnsi="Times New Roman" w:cs="Times New Roman"/>
                <w:sz w:val="18"/>
                <w:szCs w:val="18"/>
              </w:rPr>
            </w:pPr>
            <w:r w:rsidRPr="007A44A5">
              <w:rPr>
                <w:rFonts w:ascii="Times New Roman" w:hAnsi="Times New Roman" w:cs="Times New Roman"/>
                <w:sz w:val="18"/>
                <w:szCs w:val="18"/>
              </w:rPr>
              <w:t>Q4</w:t>
            </w:r>
            <w:r>
              <w:rPr>
                <w:rFonts w:ascii="Times New Roman" w:hAnsi="Times New Roman" w:cs="Times New Roman"/>
                <w:sz w:val="18"/>
                <w:szCs w:val="18"/>
                <w:lang w:val="bg-BG"/>
              </w:rPr>
              <w:t xml:space="preserve"> </w:t>
            </w:r>
            <w:r w:rsidRPr="007A44A5">
              <w:rPr>
                <w:rFonts w:ascii="Times New Roman" w:hAnsi="Times New Roman" w:cs="Times New Roman"/>
                <w:sz w:val="18"/>
                <w:szCs w:val="18"/>
              </w:rPr>
              <w:t xml:space="preserve">2023 </w:t>
            </w:r>
          </w:p>
          <w:p w14:paraId="339E533E" w14:textId="53BCB6A0" w:rsidR="00DE4E5A" w:rsidRPr="007A44A5" w:rsidRDefault="00DE4E5A" w:rsidP="0050161B">
            <w:pPr>
              <w:jc w:val="both"/>
              <w:rPr>
                <w:rFonts w:ascii="Times New Roman" w:hAnsi="Times New Roman" w:cs="Times New Roman"/>
                <w:sz w:val="18"/>
                <w:szCs w:val="18"/>
              </w:rPr>
            </w:pPr>
            <w:r w:rsidRPr="007A44A5">
              <w:rPr>
                <w:rFonts w:ascii="Times New Roman" w:hAnsi="Times New Roman" w:cs="Times New Roman"/>
                <w:sz w:val="18"/>
                <w:szCs w:val="18"/>
              </w:rPr>
              <w:t xml:space="preserve">Q4 2024 </w:t>
            </w:r>
          </w:p>
          <w:p w14:paraId="5BEC52C7" w14:textId="77777777" w:rsidR="00DE4E5A" w:rsidRPr="007A44A5" w:rsidRDefault="00DE4E5A" w:rsidP="0050161B">
            <w:pPr>
              <w:jc w:val="both"/>
              <w:rPr>
                <w:rFonts w:ascii="Times New Roman" w:hAnsi="Times New Roman" w:cs="Times New Roman"/>
                <w:sz w:val="18"/>
                <w:szCs w:val="18"/>
              </w:rPr>
            </w:pPr>
            <w:r w:rsidRPr="007A44A5">
              <w:rPr>
                <w:rFonts w:ascii="Times New Roman" w:hAnsi="Times New Roman" w:cs="Times New Roman"/>
                <w:sz w:val="18"/>
                <w:szCs w:val="18"/>
              </w:rPr>
              <w:t>Q4 2025</w:t>
            </w:r>
          </w:p>
          <w:p w14:paraId="143093A8" w14:textId="77777777" w:rsidR="00DE4E5A" w:rsidRPr="007A44A5" w:rsidRDefault="00DE4E5A" w:rsidP="0050161B">
            <w:pPr>
              <w:jc w:val="both"/>
              <w:rPr>
                <w:rFonts w:ascii="Times New Roman" w:hAnsi="Times New Roman" w:cs="Times New Roman"/>
                <w:sz w:val="18"/>
                <w:szCs w:val="18"/>
              </w:rPr>
            </w:pPr>
            <w:r w:rsidRPr="007A44A5">
              <w:rPr>
                <w:rFonts w:ascii="Times New Roman" w:hAnsi="Times New Roman" w:cs="Times New Roman"/>
                <w:sz w:val="18"/>
                <w:szCs w:val="18"/>
              </w:rPr>
              <w:t>Q4 2026</w:t>
            </w:r>
          </w:p>
          <w:p w14:paraId="269D5512" w14:textId="77777777" w:rsidR="00DE4E5A" w:rsidRPr="007A44A5" w:rsidRDefault="00DE4E5A" w:rsidP="0050161B">
            <w:pPr>
              <w:jc w:val="both"/>
              <w:rPr>
                <w:rFonts w:ascii="Times New Roman" w:hAnsi="Times New Roman" w:cs="Times New Roman"/>
                <w:sz w:val="18"/>
                <w:szCs w:val="18"/>
              </w:rPr>
            </w:pPr>
            <w:r w:rsidRPr="007A44A5">
              <w:rPr>
                <w:rFonts w:ascii="Times New Roman" w:hAnsi="Times New Roman" w:cs="Times New Roman"/>
                <w:sz w:val="18"/>
                <w:szCs w:val="18"/>
              </w:rPr>
              <w:t>Q4 2027</w:t>
            </w:r>
          </w:p>
          <w:p w14:paraId="7CD5607D" w14:textId="101AFD23" w:rsidR="00DE4E5A" w:rsidRPr="007A44A5" w:rsidRDefault="00DE4E5A" w:rsidP="0050161B">
            <w:pPr>
              <w:jc w:val="both"/>
              <w:rPr>
                <w:rFonts w:ascii="Times New Roman" w:hAnsi="Times New Roman" w:cs="Times New Roman"/>
                <w:sz w:val="18"/>
                <w:szCs w:val="18"/>
              </w:rPr>
            </w:pPr>
            <w:r w:rsidRPr="007A44A5">
              <w:rPr>
                <w:rFonts w:ascii="Times New Roman" w:hAnsi="Times New Roman" w:cs="Times New Roman"/>
                <w:sz w:val="18"/>
                <w:szCs w:val="18"/>
              </w:rPr>
              <w:t xml:space="preserve">Q4 2028 </w:t>
            </w:r>
          </w:p>
          <w:p w14:paraId="20E38A28" w14:textId="77777777" w:rsidR="00DE4E5A" w:rsidRPr="007A44A5" w:rsidRDefault="00DE4E5A" w:rsidP="0050161B">
            <w:pPr>
              <w:jc w:val="both"/>
              <w:rPr>
                <w:rFonts w:ascii="Times New Roman" w:hAnsi="Times New Roman" w:cs="Times New Roman"/>
                <w:sz w:val="18"/>
                <w:szCs w:val="18"/>
              </w:rPr>
            </w:pPr>
            <w:r w:rsidRPr="007A44A5">
              <w:rPr>
                <w:rFonts w:ascii="Times New Roman" w:hAnsi="Times New Roman" w:cs="Times New Roman"/>
                <w:sz w:val="18"/>
                <w:szCs w:val="18"/>
              </w:rPr>
              <w:t>Q2 2029</w:t>
            </w:r>
          </w:p>
        </w:tc>
        <w:tc>
          <w:tcPr>
            <w:tcW w:w="5234" w:type="dxa"/>
            <w:vAlign w:val="center"/>
          </w:tcPr>
          <w:p w14:paraId="4D986FAB" w14:textId="77777777" w:rsidR="00DE4E5A" w:rsidRPr="007A44A5" w:rsidRDefault="00DE4E5A" w:rsidP="00102350">
            <w:pPr>
              <w:rPr>
                <w:rFonts w:ascii="Times New Roman" w:hAnsi="Times New Roman" w:cs="Times New Roman"/>
                <w:sz w:val="18"/>
                <w:szCs w:val="18"/>
              </w:rPr>
            </w:pPr>
            <w:r w:rsidRPr="007A44A5">
              <w:rPr>
                <w:rFonts w:ascii="Times New Roman" w:hAnsi="Times New Roman" w:cs="Times New Roman"/>
                <w:sz w:val="18"/>
                <w:szCs w:val="18"/>
              </w:rPr>
              <w:t>580 000 00</w:t>
            </w:r>
          </w:p>
          <w:p w14:paraId="5E23B270" w14:textId="77777777" w:rsidR="00DE4E5A" w:rsidRPr="007A44A5" w:rsidRDefault="00DE4E5A" w:rsidP="00102350">
            <w:pPr>
              <w:rPr>
                <w:rFonts w:ascii="Times New Roman" w:hAnsi="Times New Roman" w:cs="Times New Roman"/>
                <w:sz w:val="18"/>
                <w:szCs w:val="18"/>
              </w:rPr>
            </w:pPr>
            <w:r w:rsidRPr="007A44A5">
              <w:rPr>
                <w:rFonts w:ascii="Times New Roman" w:hAnsi="Times New Roman" w:cs="Times New Roman"/>
                <w:sz w:val="18"/>
                <w:szCs w:val="18"/>
              </w:rPr>
              <w:t>580 000 00</w:t>
            </w:r>
          </w:p>
          <w:p w14:paraId="60DECEC5" w14:textId="77777777" w:rsidR="00DE4E5A" w:rsidRPr="007A44A5" w:rsidRDefault="00DE4E5A" w:rsidP="00102350">
            <w:pPr>
              <w:rPr>
                <w:rFonts w:ascii="Times New Roman" w:hAnsi="Times New Roman" w:cs="Times New Roman"/>
                <w:sz w:val="18"/>
                <w:szCs w:val="18"/>
              </w:rPr>
            </w:pPr>
            <w:r w:rsidRPr="007A44A5">
              <w:rPr>
                <w:rFonts w:ascii="Times New Roman" w:hAnsi="Times New Roman" w:cs="Times New Roman"/>
                <w:sz w:val="18"/>
                <w:szCs w:val="18"/>
              </w:rPr>
              <w:t>580 000 00</w:t>
            </w:r>
          </w:p>
          <w:p w14:paraId="501D7E13" w14:textId="77777777" w:rsidR="00DE4E5A" w:rsidRPr="007A44A5" w:rsidRDefault="00DE4E5A" w:rsidP="00102350">
            <w:pPr>
              <w:rPr>
                <w:rFonts w:ascii="Times New Roman" w:hAnsi="Times New Roman" w:cs="Times New Roman"/>
                <w:sz w:val="18"/>
                <w:szCs w:val="18"/>
              </w:rPr>
            </w:pPr>
            <w:r w:rsidRPr="007A44A5">
              <w:rPr>
                <w:rFonts w:ascii="Times New Roman" w:hAnsi="Times New Roman" w:cs="Times New Roman"/>
                <w:sz w:val="18"/>
                <w:szCs w:val="18"/>
              </w:rPr>
              <w:t>580 000 00</w:t>
            </w:r>
          </w:p>
          <w:p w14:paraId="6C4C6515" w14:textId="77777777" w:rsidR="00DE4E5A" w:rsidRPr="007A44A5" w:rsidRDefault="00DE4E5A" w:rsidP="00102350">
            <w:pPr>
              <w:rPr>
                <w:rFonts w:ascii="Times New Roman" w:hAnsi="Times New Roman" w:cs="Times New Roman"/>
                <w:sz w:val="18"/>
                <w:szCs w:val="18"/>
              </w:rPr>
            </w:pPr>
            <w:r w:rsidRPr="007A44A5">
              <w:rPr>
                <w:rFonts w:ascii="Times New Roman" w:hAnsi="Times New Roman" w:cs="Times New Roman"/>
                <w:sz w:val="18"/>
                <w:szCs w:val="18"/>
              </w:rPr>
              <w:t>580 000 00</w:t>
            </w:r>
          </w:p>
          <w:p w14:paraId="4591CC10" w14:textId="77777777" w:rsidR="00DE4E5A" w:rsidRPr="007A44A5" w:rsidRDefault="00DE4E5A" w:rsidP="00102350">
            <w:pPr>
              <w:rPr>
                <w:rFonts w:ascii="Times New Roman" w:hAnsi="Times New Roman" w:cs="Times New Roman"/>
                <w:sz w:val="18"/>
                <w:szCs w:val="18"/>
              </w:rPr>
            </w:pPr>
            <w:r w:rsidRPr="007A44A5">
              <w:rPr>
                <w:rFonts w:ascii="Times New Roman" w:hAnsi="Times New Roman" w:cs="Times New Roman"/>
                <w:sz w:val="18"/>
                <w:szCs w:val="18"/>
              </w:rPr>
              <w:t>580 000 00</w:t>
            </w:r>
          </w:p>
          <w:p w14:paraId="6552D1B6" w14:textId="27084879" w:rsidR="00DE4E5A" w:rsidRPr="007A44A5" w:rsidRDefault="00DE4E5A" w:rsidP="00102350">
            <w:pPr>
              <w:rPr>
                <w:sz w:val="18"/>
                <w:szCs w:val="18"/>
              </w:rPr>
            </w:pPr>
            <w:r w:rsidRPr="007A44A5">
              <w:rPr>
                <w:rFonts w:ascii="Times New Roman" w:hAnsi="Times New Roman" w:cs="Times New Roman"/>
                <w:sz w:val="18"/>
                <w:szCs w:val="18"/>
              </w:rPr>
              <w:t>580 000 00</w:t>
            </w:r>
          </w:p>
        </w:tc>
      </w:tr>
      <w:tr w:rsidR="00DE4E5A" w:rsidRPr="007A44A5" w14:paraId="56A5BBBC" w14:textId="77777777" w:rsidTr="00DE4E5A">
        <w:trPr>
          <w:trHeight w:val="227"/>
        </w:trPr>
        <w:tc>
          <w:tcPr>
            <w:tcW w:w="3304" w:type="dxa"/>
            <w:vMerge/>
            <w:shd w:val="clear" w:color="auto" w:fill="auto"/>
            <w:noWrap/>
            <w:vAlign w:val="center"/>
          </w:tcPr>
          <w:p w14:paraId="12387C12" w14:textId="77777777" w:rsidR="00DE4E5A" w:rsidRPr="007A44A5" w:rsidRDefault="00DE4E5A" w:rsidP="00155973">
            <w:pPr>
              <w:rPr>
                <w:rFonts w:ascii="Times New Roman" w:hAnsi="Times New Roman" w:cs="Times New Roman"/>
                <w:sz w:val="18"/>
                <w:szCs w:val="18"/>
              </w:rPr>
            </w:pPr>
          </w:p>
        </w:tc>
        <w:tc>
          <w:tcPr>
            <w:tcW w:w="3694" w:type="dxa"/>
            <w:vAlign w:val="center"/>
          </w:tcPr>
          <w:p w14:paraId="312E1978" w14:textId="5638D128" w:rsidR="00DE4E5A" w:rsidRPr="007A44A5" w:rsidRDefault="00DE4E5A" w:rsidP="00C52888">
            <w:pPr>
              <w:pStyle w:val="ListParagraph"/>
              <w:numPr>
                <w:ilvl w:val="0"/>
                <w:numId w:val="1"/>
              </w:numPr>
              <w:tabs>
                <w:tab w:val="clear" w:pos="705"/>
                <w:tab w:val="num" w:pos="181"/>
              </w:tabs>
              <w:ind w:left="39" w:hanging="39"/>
              <w:rPr>
                <w:sz w:val="18"/>
                <w:szCs w:val="18"/>
              </w:rPr>
            </w:pPr>
            <w:r w:rsidRPr="007A44A5">
              <w:rPr>
                <w:sz w:val="18"/>
                <w:szCs w:val="18"/>
              </w:rPr>
              <w:t xml:space="preserve">Проведени специализирани тематични събития - проведените специализирани тематични събития ще се отчитат на годишна база, като разходите се </w:t>
            </w:r>
            <w:r>
              <w:rPr>
                <w:sz w:val="18"/>
                <w:szCs w:val="18"/>
                <w:lang w:val="bg-BG"/>
              </w:rPr>
              <w:t>планира</w:t>
            </w:r>
            <w:r w:rsidRPr="007A44A5">
              <w:rPr>
                <w:sz w:val="18"/>
                <w:szCs w:val="18"/>
              </w:rPr>
              <w:t xml:space="preserve"> еднакво за всяка година на изпълнение на дейността. За осъществяване на дейността ежегодно ще се изготвя технически и финансов отчет.</w:t>
            </w:r>
          </w:p>
          <w:p w14:paraId="1BFC7BE8" w14:textId="1EA6B11B" w:rsidR="00DE4E5A" w:rsidRPr="007A44A5" w:rsidRDefault="00DE4E5A" w:rsidP="00416311">
            <w:pPr>
              <w:jc w:val="both"/>
              <w:rPr>
                <w:rFonts w:ascii="Times New Roman" w:hAnsi="Times New Roman" w:cs="Times New Roman"/>
                <w:sz w:val="18"/>
                <w:szCs w:val="18"/>
              </w:rPr>
            </w:pPr>
            <w:r w:rsidRPr="007A44A5">
              <w:rPr>
                <w:rFonts w:ascii="Times New Roman" w:hAnsi="Times New Roman" w:cs="Times New Roman"/>
                <w:sz w:val="18"/>
                <w:szCs w:val="18"/>
              </w:rPr>
              <w:t xml:space="preserve">За първия отчетен период трябва да се реализират минимум 10 събития. За следващите периоди събитията ще се отчитат </w:t>
            </w:r>
            <w:r>
              <w:rPr>
                <w:rFonts w:ascii="Times New Roman" w:hAnsi="Times New Roman" w:cs="Times New Roman"/>
                <w:sz w:val="18"/>
                <w:szCs w:val="18"/>
                <w:lang w:val="bg-BG"/>
              </w:rPr>
              <w:t xml:space="preserve">чрез </w:t>
            </w:r>
            <w:proofErr w:type="spellStart"/>
            <w:r w:rsidRPr="007A44A5">
              <w:rPr>
                <w:rFonts w:ascii="Times New Roman" w:hAnsi="Times New Roman" w:cs="Times New Roman"/>
                <w:sz w:val="18"/>
                <w:szCs w:val="18"/>
              </w:rPr>
              <w:t>натруп</w:t>
            </w:r>
            <w:r>
              <w:rPr>
                <w:rFonts w:ascii="Times New Roman" w:hAnsi="Times New Roman" w:cs="Times New Roman"/>
                <w:sz w:val="18"/>
                <w:szCs w:val="18"/>
                <w:lang w:val="bg-BG"/>
              </w:rPr>
              <w:t>ване</w:t>
            </w:r>
            <w:proofErr w:type="spellEnd"/>
            <w:r>
              <w:rPr>
                <w:rFonts w:ascii="Times New Roman" w:hAnsi="Times New Roman" w:cs="Times New Roman"/>
                <w:sz w:val="18"/>
                <w:szCs w:val="18"/>
                <w:lang w:val="bg-BG"/>
              </w:rPr>
              <w:t xml:space="preserve"> </w:t>
            </w:r>
            <w:r w:rsidRPr="007A44A5">
              <w:rPr>
                <w:rFonts w:ascii="Times New Roman" w:hAnsi="Times New Roman" w:cs="Times New Roman"/>
                <w:sz w:val="18"/>
                <w:szCs w:val="18"/>
              </w:rPr>
              <w:t xml:space="preserve">и ще се считат за </w:t>
            </w:r>
            <w:r w:rsidRPr="007A44A5">
              <w:rPr>
                <w:rFonts w:ascii="Times New Roman" w:hAnsi="Times New Roman" w:cs="Times New Roman"/>
                <w:sz w:val="18"/>
                <w:szCs w:val="18"/>
              </w:rPr>
              <w:lastRenderedPageBreak/>
              <w:t>постигнати, когато средната стойност за период е поне 10 събития.</w:t>
            </w:r>
          </w:p>
        </w:tc>
        <w:tc>
          <w:tcPr>
            <w:tcW w:w="1137" w:type="dxa"/>
            <w:vAlign w:val="center"/>
          </w:tcPr>
          <w:p w14:paraId="402A440E" w14:textId="6870A707" w:rsidR="00DE4E5A" w:rsidRPr="007A44A5" w:rsidRDefault="00DE4E5A" w:rsidP="0050161B">
            <w:pPr>
              <w:jc w:val="both"/>
              <w:rPr>
                <w:rFonts w:ascii="Times New Roman" w:hAnsi="Times New Roman" w:cs="Times New Roman"/>
                <w:sz w:val="18"/>
                <w:szCs w:val="18"/>
              </w:rPr>
            </w:pPr>
            <w:r w:rsidRPr="007A44A5">
              <w:rPr>
                <w:rFonts w:ascii="Times New Roman" w:hAnsi="Times New Roman" w:cs="Times New Roman"/>
                <w:sz w:val="18"/>
                <w:szCs w:val="18"/>
              </w:rPr>
              <w:lastRenderedPageBreak/>
              <w:t>Q4</w:t>
            </w:r>
            <w:r>
              <w:rPr>
                <w:rFonts w:ascii="Times New Roman" w:hAnsi="Times New Roman" w:cs="Times New Roman"/>
                <w:sz w:val="18"/>
                <w:szCs w:val="18"/>
                <w:lang w:val="bg-BG"/>
              </w:rPr>
              <w:t xml:space="preserve"> </w:t>
            </w:r>
            <w:r w:rsidRPr="007A44A5">
              <w:rPr>
                <w:rFonts w:ascii="Times New Roman" w:hAnsi="Times New Roman" w:cs="Times New Roman"/>
                <w:sz w:val="18"/>
                <w:szCs w:val="18"/>
              </w:rPr>
              <w:t xml:space="preserve">2023 </w:t>
            </w:r>
          </w:p>
          <w:p w14:paraId="30819F95" w14:textId="7D9E0765" w:rsidR="00DE4E5A" w:rsidRPr="007A44A5" w:rsidRDefault="00DE4E5A" w:rsidP="0050161B">
            <w:pPr>
              <w:jc w:val="both"/>
              <w:rPr>
                <w:rFonts w:ascii="Times New Roman" w:hAnsi="Times New Roman" w:cs="Times New Roman"/>
                <w:sz w:val="18"/>
                <w:szCs w:val="18"/>
              </w:rPr>
            </w:pPr>
            <w:r w:rsidRPr="007A44A5">
              <w:rPr>
                <w:rFonts w:ascii="Times New Roman" w:hAnsi="Times New Roman" w:cs="Times New Roman"/>
                <w:sz w:val="18"/>
                <w:szCs w:val="18"/>
              </w:rPr>
              <w:t xml:space="preserve">Q4 2024 </w:t>
            </w:r>
          </w:p>
          <w:p w14:paraId="77D3F071" w14:textId="77777777" w:rsidR="00DE4E5A" w:rsidRPr="007A44A5" w:rsidRDefault="00DE4E5A" w:rsidP="0050161B">
            <w:pPr>
              <w:jc w:val="both"/>
              <w:rPr>
                <w:rFonts w:ascii="Times New Roman" w:hAnsi="Times New Roman" w:cs="Times New Roman"/>
                <w:sz w:val="18"/>
                <w:szCs w:val="18"/>
              </w:rPr>
            </w:pPr>
            <w:r w:rsidRPr="007A44A5">
              <w:rPr>
                <w:rFonts w:ascii="Times New Roman" w:hAnsi="Times New Roman" w:cs="Times New Roman"/>
                <w:sz w:val="18"/>
                <w:szCs w:val="18"/>
              </w:rPr>
              <w:t>Q4 2025</w:t>
            </w:r>
          </w:p>
          <w:p w14:paraId="18BC0CAC" w14:textId="77777777" w:rsidR="00DE4E5A" w:rsidRPr="007A44A5" w:rsidRDefault="00DE4E5A" w:rsidP="0050161B">
            <w:pPr>
              <w:jc w:val="both"/>
              <w:rPr>
                <w:rFonts w:ascii="Times New Roman" w:hAnsi="Times New Roman" w:cs="Times New Roman"/>
                <w:sz w:val="18"/>
                <w:szCs w:val="18"/>
              </w:rPr>
            </w:pPr>
            <w:r w:rsidRPr="007A44A5">
              <w:rPr>
                <w:rFonts w:ascii="Times New Roman" w:hAnsi="Times New Roman" w:cs="Times New Roman"/>
                <w:sz w:val="18"/>
                <w:szCs w:val="18"/>
              </w:rPr>
              <w:t>Q4 2026</w:t>
            </w:r>
          </w:p>
          <w:p w14:paraId="013EF270" w14:textId="77777777" w:rsidR="00DE4E5A" w:rsidRPr="007A44A5" w:rsidRDefault="00DE4E5A" w:rsidP="0050161B">
            <w:pPr>
              <w:jc w:val="both"/>
              <w:rPr>
                <w:rFonts w:ascii="Times New Roman" w:hAnsi="Times New Roman" w:cs="Times New Roman"/>
                <w:sz w:val="18"/>
                <w:szCs w:val="18"/>
              </w:rPr>
            </w:pPr>
            <w:r w:rsidRPr="007A44A5">
              <w:rPr>
                <w:rFonts w:ascii="Times New Roman" w:hAnsi="Times New Roman" w:cs="Times New Roman"/>
                <w:sz w:val="18"/>
                <w:szCs w:val="18"/>
              </w:rPr>
              <w:t>Q4 2027</w:t>
            </w:r>
          </w:p>
          <w:p w14:paraId="66E75EE5" w14:textId="7899089A" w:rsidR="00DE4E5A" w:rsidRPr="007A44A5" w:rsidRDefault="00DE4E5A" w:rsidP="00416311">
            <w:pPr>
              <w:jc w:val="both"/>
              <w:rPr>
                <w:rFonts w:ascii="Times New Roman" w:hAnsi="Times New Roman" w:cs="Times New Roman"/>
                <w:sz w:val="18"/>
                <w:szCs w:val="18"/>
              </w:rPr>
            </w:pPr>
            <w:r w:rsidRPr="007A44A5">
              <w:rPr>
                <w:rFonts w:ascii="Times New Roman" w:hAnsi="Times New Roman" w:cs="Times New Roman"/>
                <w:sz w:val="18"/>
                <w:szCs w:val="18"/>
              </w:rPr>
              <w:t xml:space="preserve">Q4 2028 </w:t>
            </w:r>
          </w:p>
        </w:tc>
        <w:tc>
          <w:tcPr>
            <w:tcW w:w="5234" w:type="dxa"/>
            <w:vAlign w:val="center"/>
          </w:tcPr>
          <w:p w14:paraId="368DDD25" w14:textId="77777777" w:rsidR="00DE4E5A" w:rsidRPr="007A44A5" w:rsidRDefault="00DE4E5A" w:rsidP="00FA4C72">
            <w:pPr>
              <w:jc w:val="both"/>
              <w:rPr>
                <w:rFonts w:ascii="Times New Roman" w:hAnsi="Times New Roman" w:cs="Times New Roman"/>
                <w:sz w:val="18"/>
                <w:szCs w:val="18"/>
              </w:rPr>
            </w:pPr>
            <w:r w:rsidRPr="007A44A5">
              <w:rPr>
                <w:rFonts w:ascii="Times New Roman" w:hAnsi="Times New Roman" w:cs="Times New Roman"/>
                <w:sz w:val="18"/>
                <w:szCs w:val="18"/>
              </w:rPr>
              <w:t>800 646,00</w:t>
            </w:r>
          </w:p>
          <w:p w14:paraId="346F79E1" w14:textId="77777777" w:rsidR="00DE4E5A" w:rsidRPr="007A44A5" w:rsidRDefault="00DE4E5A" w:rsidP="00FA4C72">
            <w:pPr>
              <w:jc w:val="both"/>
              <w:rPr>
                <w:rFonts w:ascii="Times New Roman" w:hAnsi="Times New Roman" w:cs="Times New Roman"/>
                <w:sz w:val="18"/>
                <w:szCs w:val="18"/>
              </w:rPr>
            </w:pPr>
            <w:r w:rsidRPr="007A44A5">
              <w:rPr>
                <w:rFonts w:ascii="Times New Roman" w:hAnsi="Times New Roman" w:cs="Times New Roman"/>
                <w:sz w:val="18"/>
                <w:szCs w:val="18"/>
              </w:rPr>
              <w:t>800 646,00</w:t>
            </w:r>
          </w:p>
          <w:p w14:paraId="1E9AB987" w14:textId="77777777" w:rsidR="00DE4E5A" w:rsidRPr="007A44A5" w:rsidRDefault="00DE4E5A" w:rsidP="00FA4C72">
            <w:pPr>
              <w:jc w:val="both"/>
              <w:rPr>
                <w:rFonts w:ascii="Times New Roman" w:hAnsi="Times New Roman" w:cs="Times New Roman"/>
                <w:sz w:val="18"/>
                <w:szCs w:val="18"/>
              </w:rPr>
            </w:pPr>
            <w:r w:rsidRPr="007A44A5">
              <w:rPr>
                <w:rFonts w:ascii="Times New Roman" w:hAnsi="Times New Roman" w:cs="Times New Roman"/>
                <w:sz w:val="18"/>
                <w:szCs w:val="18"/>
              </w:rPr>
              <w:t>800 646,00</w:t>
            </w:r>
          </w:p>
          <w:p w14:paraId="7F192DD8" w14:textId="77777777" w:rsidR="00DE4E5A" w:rsidRPr="007A44A5" w:rsidRDefault="00DE4E5A" w:rsidP="00FA4C72">
            <w:pPr>
              <w:jc w:val="both"/>
              <w:rPr>
                <w:rFonts w:ascii="Times New Roman" w:hAnsi="Times New Roman" w:cs="Times New Roman"/>
                <w:sz w:val="18"/>
                <w:szCs w:val="18"/>
              </w:rPr>
            </w:pPr>
            <w:r w:rsidRPr="007A44A5">
              <w:rPr>
                <w:rFonts w:ascii="Times New Roman" w:hAnsi="Times New Roman" w:cs="Times New Roman"/>
                <w:sz w:val="18"/>
                <w:szCs w:val="18"/>
              </w:rPr>
              <w:t>800 646,00</w:t>
            </w:r>
          </w:p>
          <w:p w14:paraId="4B0C6147" w14:textId="77777777" w:rsidR="00DE4E5A" w:rsidRPr="007A44A5" w:rsidRDefault="00DE4E5A" w:rsidP="00FA4C72">
            <w:pPr>
              <w:jc w:val="both"/>
              <w:rPr>
                <w:rFonts w:ascii="Times New Roman" w:hAnsi="Times New Roman" w:cs="Times New Roman"/>
                <w:sz w:val="18"/>
                <w:szCs w:val="18"/>
              </w:rPr>
            </w:pPr>
            <w:r w:rsidRPr="007A44A5">
              <w:rPr>
                <w:rFonts w:ascii="Times New Roman" w:hAnsi="Times New Roman" w:cs="Times New Roman"/>
                <w:sz w:val="18"/>
                <w:szCs w:val="18"/>
              </w:rPr>
              <w:t>800 646,00</w:t>
            </w:r>
          </w:p>
          <w:p w14:paraId="1A840AF9" w14:textId="34BBDAB9" w:rsidR="00DE4E5A" w:rsidRPr="007A44A5" w:rsidRDefault="00DE4E5A" w:rsidP="00FA4C72">
            <w:pPr>
              <w:jc w:val="both"/>
              <w:rPr>
                <w:rFonts w:ascii="Times New Roman" w:hAnsi="Times New Roman" w:cs="Times New Roman"/>
                <w:sz w:val="18"/>
                <w:szCs w:val="18"/>
              </w:rPr>
            </w:pPr>
            <w:r w:rsidRPr="007A44A5">
              <w:rPr>
                <w:rFonts w:ascii="Times New Roman" w:hAnsi="Times New Roman" w:cs="Times New Roman"/>
                <w:sz w:val="18"/>
                <w:szCs w:val="18"/>
              </w:rPr>
              <w:t>800 646,00</w:t>
            </w:r>
          </w:p>
        </w:tc>
      </w:tr>
      <w:tr w:rsidR="00DE4E5A" w:rsidRPr="007A44A5" w14:paraId="3979307B" w14:textId="77777777" w:rsidTr="00DE4E5A">
        <w:trPr>
          <w:trHeight w:val="227"/>
        </w:trPr>
        <w:tc>
          <w:tcPr>
            <w:tcW w:w="3304" w:type="dxa"/>
            <w:vMerge/>
            <w:shd w:val="clear" w:color="auto" w:fill="auto"/>
            <w:noWrap/>
            <w:vAlign w:val="center"/>
          </w:tcPr>
          <w:p w14:paraId="6C1342FD" w14:textId="77777777" w:rsidR="00DE4E5A" w:rsidRPr="007A44A5" w:rsidRDefault="00DE4E5A" w:rsidP="00155973">
            <w:pPr>
              <w:rPr>
                <w:rFonts w:ascii="Times New Roman" w:hAnsi="Times New Roman" w:cs="Times New Roman"/>
                <w:sz w:val="18"/>
                <w:szCs w:val="18"/>
              </w:rPr>
            </w:pPr>
          </w:p>
        </w:tc>
        <w:tc>
          <w:tcPr>
            <w:tcW w:w="3694" w:type="dxa"/>
            <w:vAlign w:val="center"/>
          </w:tcPr>
          <w:p w14:paraId="50EAB12D" w14:textId="5886C230" w:rsidR="00DE4E5A" w:rsidRPr="00F9321B" w:rsidRDefault="00DE4E5A" w:rsidP="00F9321B">
            <w:pPr>
              <w:rPr>
                <w:sz w:val="18"/>
                <w:szCs w:val="18"/>
              </w:rPr>
            </w:pPr>
          </w:p>
          <w:p w14:paraId="5F0397D8" w14:textId="4A75D8A0" w:rsidR="00DE4E5A" w:rsidRPr="007A44A5" w:rsidRDefault="00DE4E5A" w:rsidP="001C38F6">
            <w:pPr>
              <w:pStyle w:val="ListParagraph"/>
              <w:numPr>
                <w:ilvl w:val="0"/>
                <w:numId w:val="1"/>
              </w:numPr>
              <w:tabs>
                <w:tab w:val="clear" w:pos="705"/>
                <w:tab w:val="num" w:pos="181"/>
              </w:tabs>
              <w:ind w:left="181" w:hanging="181"/>
              <w:rPr>
                <w:sz w:val="18"/>
                <w:szCs w:val="18"/>
              </w:rPr>
            </w:pPr>
            <w:r w:rsidRPr="007A44A5">
              <w:rPr>
                <w:sz w:val="18"/>
                <w:szCs w:val="18"/>
              </w:rPr>
              <w:t>Функционални и технически спецификации на платформата, съгласувани с ЕК</w:t>
            </w:r>
          </w:p>
          <w:p w14:paraId="37F7E74B" w14:textId="77777777" w:rsidR="00DE4E5A" w:rsidRPr="00F9321B" w:rsidRDefault="00DE4E5A" w:rsidP="00F9321B">
            <w:pPr>
              <w:rPr>
                <w:sz w:val="18"/>
                <w:szCs w:val="18"/>
              </w:rPr>
            </w:pPr>
          </w:p>
          <w:p w14:paraId="6CD4A71F" w14:textId="175EF041" w:rsidR="00DE4E5A" w:rsidRDefault="00DE4E5A" w:rsidP="00F9321B">
            <w:pPr>
              <w:pStyle w:val="ListParagraph"/>
              <w:numPr>
                <w:ilvl w:val="0"/>
                <w:numId w:val="1"/>
              </w:numPr>
              <w:tabs>
                <w:tab w:val="clear" w:pos="705"/>
                <w:tab w:val="num" w:pos="181"/>
              </w:tabs>
              <w:ind w:left="181" w:hanging="181"/>
              <w:rPr>
                <w:sz w:val="18"/>
                <w:szCs w:val="18"/>
              </w:rPr>
            </w:pPr>
            <w:r>
              <w:rPr>
                <w:sz w:val="18"/>
                <w:szCs w:val="18"/>
                <w:lang w:val="bg-BG"/>
              </w:rPr>
              <w:t xml:space="preserve">Разработена и функционираща </w:t>
            </w:r>
            <w:r w:rsidRPr="007A44A5">
              <w:rPr>
                <w:sz w:val="18"/>
                <w:szCs w:val="18"/>
              </w:rPr>
              <w:t xml:space="preserve">ИТ </w:t>
            </w:r>
            <w:r>
              <w:rPr>
                <w:sz w:val="18"/>
                <w:szCs w:val="18"/>
                <w:lang w:val="bg-BG"/>
              </w:rPr>
              <w:t>платформа</w:t>
            </w:r>
            <w:r w:rsidRPr="007A44A5">
              <w:rPr>
                <w:sz w:val="18"/>
                <w:szCs w:val="18"/>
              </w:rPr>
              <w:t xml:space="preserve"> </w:t>
            </w:r>
          </w:p>
          <w:p w14:paraId="76A1C19A" w14:textId="77777777" w:rsidR="00DE4E5A" w:rsidRPr="00F9321B" w:rsidRDefault="00DE4E5A" w:rsidP="00F9321B">
            <w:pPr>
              <w:pStyle w:val="ListParagraph"/>
              <w:rPr>
                <w:sz w:val="18"/>
                <w:szCs w:val="18"/>
              </w:rPr>
            </w:pPr>
          </w:p>
          <w:p w14:paraId="1E008575" w14:textId="77777777" w:rsidR="00DE4E5A" w:rsidRPr="00F9321B" w:rsidRDefault="00DE4E5A" w:rsidP="00F9321B">
            <w:pPr>
              <w:pStyle w:val="ListParagraph"/>
              <w:ind w:left="181"/>
              <w:rPr>
                <w:sz w:val="18"/>
                <w:szCs w:val="18"/>
              </w:rPr>
            </w:pPr>
          </w:p>
          <w:p w14:paraId="39FDE72F" w14:textId="25C2C68C" w:rsidR="00DE4E5A" w:rsidRPr="007A44A5" w:rsidDel="00FA4C72" w:rsidRDefault="00DE4E5A" w:rsidP="001C38F6">
            <w:pPr>
              <w:pStyle w:val="ListParagraph"/>
              <w:numPr>
                <w:ilvl w:val="0"/>
                <w:numId w:val="1"/>
              </w:numPr>
              <w:tabs>
                <w:tab w:val="clear" w:pos="705"/>
                <w:tab w:val="num" w:pos="181"/>
              </w:tabs>
              <w:ind w:left="181" w:hanging="181"/>
              <w:rPr>
                <w:sz w:val="18"/>
                <w:szCs w:val="18"/>
              </w:rPr>
            </w:pPr>
            <w:r w:rsidRPr="007A44A5">
              <w:rPr>
                <w:sz w:val="18"/>
                <w:szCs w:val="18"/>
              </w:rPr>
              <w:t>Междинните резултати и сумите за разработване и експлоатация на платформата ще бъдат определени чрез изменението, след като горното условие бъде изпълнено.</w:t>
            </w:r>
          </w:p>
        </w:tc>
        <w:tc>
          <w:tcPr>
            <w:tcW w:w="1137" w:type="dxa"/>
            <w:vAlign w:val="center"/>
          </w:tcPr>
          <w:p w14:paraId="49E98B45" w14:textId="77777777" w:rsidR="00DE4E5A" w:rsidRDefault="00DE4E5A" w:rsidP="006C4C50">
            <w:pPr>
              <w:jc w:val="both"/>
              <w:rPr>
                <w:rFonts w:ascii="Times New Roman" w:hAnsi="Times New Roman" w:cs="Times New Roman"/>
                <w:sz w:val="18"/>
                <w:szCs w:val="18"/>
              </w:rPr>
            </w:pPr>
          </w:p>
          <w:p w14:paraId="38237FF5" w14:textId="41D600CD" w:rsidR="00DE4E5A" w:rsidRPr="007A44A5" w:rsidRDefault="00DE4E5A" w:rsidP="006C4C50">
            <w:pPr>
              <w:jc w:val="both"/>
              <w:rPr>
                <w:rFonts w:ascii="Times New Roman" w:hAnsi="Times New Roman" w:cs="Times New Roman"/>
                <w:sz w:val="18"/>
                <w:szCs w:val="18"/>
              </w:rPr>
            </w:pPr>
            <w:r w:rsidRPr="007A44A5">
              <w:rPr>
                <w:rFonts w:ascii="Times New Roman" w:hAnsi="Times New Roman" w:cs="Times New Roman"/>
                <w:sz w:val="18"/>
                <w:szCs w:val="18"/>
              </w:rPr>
              <w:t>Q1 2023</w:t>
            </w:r>
          </w:p>
          <w:p w14:paraId="04360C70" w14:textId="77777777" w:rsidR="00DE4E5A" w:rsidRPr="007A44A5" w:rsidRDefault="00DE4E5A" w:rsidP="00DB66E1">
            <w:pPr>
              <w:jc w:val="both"/>
              <w:rPr>
                <w:rFonts w:ascii="Times New Roman" w:hAnsi="Times New Roman" w:cs="Times New Roman"/>
                <w:sz w:val="18"/>
                <w:szCs w:val="18"/>
              </w:rPr>
            </w:pPr>
          </w:p>
          <w:p w14:paraId="61AC8926" w14:textId="4B70EE3D" w:rsidR="00DE4E5A" w:rsidRPr="007A44A5" w:rsidRDefault="00DE4E5A" w:rsidP="00DB66E1">
            <w:pPr>
              <w:jc w:val="both"/>
              <w:rPr>
                <w:rFonts w:ascii="Times New Roman" w:hAnsi="Times New Roman" w:cs="Times New Roman"/>
                <w:sz w:val="18"/>
                <w:szCs w:val="18"/>
              </w:rPr>
            </w:pPr>
            <w:r w:rsidRPr="007A44A5">
              <w:rPr>
                <w:rFonts w:ascii="Times New Roman" w:hAnsi="Times New Roman" w:cs="Times New Roman"/>
                <w:sz w:val="18"/>
                <w:szCs w:val="18"/>
              </w:rPr>
              <w:t>Q</w:t>
            </w:r>
            <w:r>
              <w:rPr>
                <w:rFonts w:ascii="Times New Roman" w:hAnsi="Times New Roman" w:cs="Times New Roman"/>
                <w:sz w:val="18"/>
                <w:szCs w:val="18"/>
                <w:lang w:val="bg-BG"/>
              </w:rPr>
              <w:t xml:space="preserve">4 </w:t>
            </w:r>
            <w:r w:rsidRPr="007A44A5">
              <w:rPr>
                <w:rFonts w:ascii="Times New Roman" w:hAnsi="Times New Roman" w:cs="Times New Roman"/>
                <w:sz w:val="18"/>
                <w:szCs w:val="18"/>
              </w:rPr>
              <w:t xml:space="preserve">2023 </w:t>
            </w:r>
          </w:p>
          <w:p w14:paraId="54A54CC0" w14:textId="77777777" w:rsidR="00DE4E5A" w:rsidRPr="007A44A5" w:rsidRDefault="00DE4E5A" w:rsidP="00DB66E1">
            <w:pPr>
              <w:jc w:val="both"/>
              <w:rPr>
                <w:rFonts w:ascii="Times New Roman" w:hAnsi="Times New Roman" w:cs="Times New Roman"/>
                <w:sz w:val="18"/>
                <w:szCs w:val="18"/>
              </w:rPr>
            </w:pPr>
          </w:p>
          <w:p w14:paraId="72C7747E" w14:textId="77777777" w:rsidR="00DE4E5A" w:rsidRDefault="00DE4E5A" w:rsidP="00DB66E1">
            <w:pPr>
              <w:jc w:val="both"/>
              <w:rPr>
                <w:rFonts w:ascii="Times New Roman" w:hAnsi="Times New Roman" w:cs="Times New Roman"/>
                <w:sz w:val="18"/>
                <w:szCs w:val="18"/>
              </w:rPr>
            </w:pPr>
          </w:p>
          <w:p w14:paraId="5C9AD8E7" w14:textId="4CF875AE" w:rsidR="00DE4E5A" w:rsidRPr="007A44A5" w:rsidRDefault="00DE4E5A" w:rsidP="00DB66E1">
            <w:pPr>
              <w:jc w:val="both"/>
              <w:rPr>
                <w:rFonts w:ascii="Times New Roman" w:hAnsi="Times New Roman" w:cs="Times New Roman"/>
                <w:sz w:val="18"/>
                <w:szCs w:val="18"/>
              </w:rPr>
            </w:pPr>
            <w:r w:rsidRPr="007A44A5">
              <w:rPr>
                <w:rFonts w:ascii="Times New Roman" w:hAnsi="Times New Roman" w:cs="Times New Roman"/>
                <w:sz w:val="18"/>
                <w:szCs w:val="18"/>
              </w:rPr>
              <w:t>Q2 2029</w:t>
            </w:r>
          </w:p>
        </w:tc>
        <w:tc>
          <w:tcPr>
            <w:tcW w:w="5234" w:type="dxa"/>
            <w:vAlign w:val="center"/>
          </w:tcPr>
          <w:p w14:paraId="06CCE66E" w14:textId="77777777" w:rsidR="00DE4E5A" w:rsidRDefault="00DE4E5A" w:rsidP="00DB66E1">
            <w:pPr>
              <w:jc w:val="both"/>
              <w:rPr>
                <w:rFonts w:ascii="Times New Roman" w:hAnsi="Times New Roman" w:cs="Times New Roman"/>
                <w:sz w:val="18"/>
                <w:szCs w:val="18"/>
              </w:rPr>
            </w:pPr>
          </w:p>
          <w:p w14:paraId="37FE4F6B" w14:textId="4C7D87BB" w:rsidR="00DE4E5A" w:rsidRPr="007A44A5" w:rsidRDefault="00DE4E5A" w:rsidP="00DB66E1">
            <w:pPr>
              <w:jc w:val="both"/>
              <w:rPr>
                <w:rFonts w:ascii="Times New Roman" w:hAnsi="Times New Roman" w:cs="Times New Roman"/>
                <w:sz w:val="18"/>
                <w:szCs w:val="18"/>
              </w:rPr>
            </w:pPr>
            <w:r w:rsidRPr="007A44A5">
              <w:rPr>
                <w:rFonts w:ascii="Times New Roman" w:hAnsi="Times New Roman" w:cs="Times New Roman"/>
                <w:sz w:val="18"/>
                <w:szCs w:val="18"/>
              </w:rPr>
              <w:t>329 400,00</w:t>
            </w:r>
          </w:p>
          <w:p w14:paraId="120DF68E" w14:textId="77777777" w:rsidR="00DE4E5A" w:rsidRPr="007A44A5" w:rsidRDefault="00DE4E5A" w:rsidP="00DB66E1">
            <w:pPr>
              <w:jc w:val="both"/>
              <w:rPr>
                <w:rFonts w:ascii="Times New Roman" w:hAnsi="Times New Roman" w:cs="Times New Roman"/>
                <w:sz w:val="18"/>
                <w:szCs w:val="18"/>
              </w:rPr>
            </w:pPr>
          </w:p>
          <w:p w14:paraId="2FAAD91B" w14:textId="4B38F7E4" w:rsidR="00DE4E5A" w:rsidRPr="007A44A5" w:rsidRDefault="00DE4E5A" w:rsidP="00DB66E1">
            <w:pPr>
              <w:jc w:val="both"/>
              <w:rPr>
                <w:rFonts w:ascii="Times New Roman" w:hAnsi="Times New Roman" w:cs="Times New Roman"/>
                <w:sz w:val="18"/>
                <w:szCs w:val="18"/>
              </w:rPr>
            </w:pPr>
            <w:r w:rsidRPr="007A44A5">
              <w:rPr>
                <w:rFonts w:ascii="Times New Roman" w:hAnsi="Times New Roman" w:cs="Times New Roman"/>
                <w:sz w:val="18"/>
                <w:szCs w:val="18"/>
              </w:rPr>
              <w:t>768 600,00</w:t>
            </w:r>
          </w:p>
          <w:p w14:paraId="05E61C0A" w14:textId="77777777" w:rsidR="00DE4E5A" w:rsidRPr="007A44A5" w:rsidRDefault="00DE4E5A" w:rsidP="00DB66E1">
            <w:pPr>
              <w:jc w:val="both"/>
              <w:rPr>
                <w:rFonts w:ascii="Times New Roman" w:hAnsi="Times New Roman" w:cs="Times New Roman"/>
                <w:sz w:val="18"/>
                <w:szCs w:val="18"/>
              </w:rPr>
            </w:pPr>
          </w:p>
          <w:p w14:paraId="55A06135" w14:textId="77777777" w:rsidR="00DE4E5A" w:rsidRDefault="00DE4E5A" w:rsidP="00DB66E1">
            <w:pPr>
              <w:jc w:val="both"/>
              <w:rPr>
                <w:rFonts w:ascii="Times New Roman" w:hAnsi="Times New Roman" w:cs="Times New Roman"/>
                <w:sz w:val="18"/>
                <w:szCs w:val="18"/>
              </w:rPr>
            </w:pPr>
          </w:p>
          <w:p w14:paraId="3B800629" w14:textId="36E3A0E6" w:rsidR="00DE4E5A" w:rsidRPr="007A44A5" w:rsidRDefault="00DE4E5A" w:rsidP="00DB66E1">
            <w:pPr>
              <w:jc w:val="both"/>
              <w:rPr>
                <w:rFonts w:ascii="Times New Roman" w:hAnsi="Times New Roman" w:cs="Times New Roman"/>
                <w:sz w:val="18"/>
                <w:szCs w:val="18"/>
              </w:rPr>
            </w:pPr>
            <w:r w:rsidRPr="007A44A5">
              <w:rPr>
                <w:rFonts w:ascii="Times New Roman" w:hAnsi="Times New Roman" w:cs="Times New Roman"/>
                <w:sz w:val="18"/>
                <w:szCs w:val="18"/>
              </w:rPr>
              <w:t>732 000,00</w:t>
            </w:r>
          </w:p>
        </w:tc>
      </w:tr>
      <w:tr w:rsidR="00DE4E5A" w:rsidRPr="007A44A5" w14:paraId="28596BEA" w14:textId="77777777" w:rsidTr="00DE4E5A">
        <w:trPr>
          <w:trHeight w:val="227"/>
        </w:trPr>
        <w:tc>
          <w:tcPr>
            <w:tcW w:w="3304" w:type="dxa"/>
            <w:vMerge/>
            <w:shd w:val="clear" w:color="auto" w:fill="auto"/>
            <w:noWrap/>
            <w:vAlign w:val="center"/>
          </w:tcPr>
          <w:p w14:paraId="2F200DDD" w14:textId="77777777" w:rsidR="00DE4E5A" w:rsidRPr="007A44A5" w:rsidRDefault="00DE4E5A" w:rsidP="00155973">
            <w:pPr>
              <w:rPr>
                <w:rFonts w:ascii="Times New Roman" w:hAnsi="Times New Roman" w:cs="Times New Roman"/>
                <w:sz w:val="18"/>
                <w:szCs w:val="18"/>
              </w:rPr>
            </w:pPr>
          </w:p>
        </w:tc>
        <w:tc>
          <w:tcPr>
            <w:tcW w:w="3694" w:type="dxa"/>
            <w:vAlign w:val="center"/>
          </w:tcPr>
          <w:p w14:paraId="06508CE9" w14:textId="23D6F0D7" w:rsidR="00DE4E5A" w:rsidRPr="007A44A5" w:rsidRDefault="00DE4E5A" w:rsidP="005A62D6">
            <w:pPr>
              <w:jc w:val="both"/>
              <w:rPr>
                <w:rFonts w:ascii="Times New Roman" w:hAnsi="Times New Roman" w:cs="Times New Roman"/>
                <w:sz w:val="18"/>
                <w:szCs w:val="18"/>
              </w:rPr>
            </w:pPr>
            <w:r w:rsidRPr="007A44A5">
              <w:rPr>
                <w:rFonts w:ascii="Times New Roman" w:hAnsi="Times New Roman" w:cs="Times New Roman"/>
                <w:sz w:val="18"/>
                <w:szCs w:val="18"/>
              </w:rPr>
              <w:t>6. Проведени анализи за оценка на състоянието на информираност, капацитет и удовлетвореност на потенциалните бенефициенти и други заинтересовани страни:</w:t>
            </w:r>
          </w:p>
          <w:p w14:paraId="6C6632C4" w14:textId="20621479" w:rsidR="00DE4E5A" w:rsidRPr="007A44A5" w:rsidRDefault="00DE4E5A" w:rsidP="005A62D6">
            <w:pPr>
              <w:jc w:val="both"/>
              <w:rPr>
                <w:rFonts w:ascii="Times New Roman" w:hAnsi="Times New Roman" w:cs="Times New Roman"/>
                <w:sz w:val="18"/>
                <w:szCs w:val="18"/>
              </w:rPr>
            </w:pPr>
            <w:r w:rsidRPr="007A44A5">
              <w:rPr>
                <w:rFonts w:ascii="Times New Roman" w:hAnsi="Times New Roman" w:cs="Times New Roman"/>
                <w:sz w:val="18"/>
                <w:szCs w:val="18"/>
              </w:rPr>
              <w:t>- базов анализ за състоянието на осведомеността, нуждите от изграждане на капацитет и очакванията на заинтересованите страни</w:t>
            </w:r>
          </w:p>
          <w:p w14:paraId="5430E311" w14:textId="77777777" w:rsidR="00DE4E5A" w:rsidRPr="007A44A5" w:rsidRDefault="00DE4E5A" w:rsidP="005A62D6">
            <w:pPr>
              <w:jc w:val="both"/>
              <w:rPr>
                <w:rFonts w:ascii="Times New Roman" w:hAnsi="Times New Roman" w:cs="Times New Roman"/>
                <w:sz w:val="18"/>
                <w:szCs w:val="18"/>
              </w:rPr>
            </w:pPr>
            <w:r w:rsidRPr="007A44A5">
              <w:rPr>
                <w:rFonts w:ascii="Times New Roman" w:hAnsi="Times New Roman" w:cs="Times New Roman"/>
                <w:sz w:val="18"/>
                <w:szCs w:val="18"/>
              </w:rPr>
              <w:t>- средносрочна оценка на информираността, капацитета и удовлетвореността на заинтересованите страни</w:t>
            </w:r>
          </w:p>
          <w:p w14:paraId="7BC0A6B5" w14:textId="6BED8CFC" w:rsidR="00DE4E5A" w:rsidRPr="007A44A5" w:rsidRDefault="00DE4E5A" w:rsidP="005A62D6">
            <w:pPr>
              <w:jc w:val="both"/>
              <w:rPr>
                <w:rFonts w:ascii="Times New Roman" w:hAnsi="Times New Roman" w:cs="Times New Roman"/>
                <w:sz w:val="18"/>
                <w:szCs w:val="18"/>
                <w:lang w:val="en-US"/>
              </w:rPr>
            </w:pPr>
            <w:r w:rsidRPr="007A44A5">
              <w:rPr>
                <w:rFonts w:ascii="Times New Roman" w:hAnsi="Times New Roman" w:cs="Times New Roman"/>
                <w:sz w:val="18"/>
                <w:szCs w:val="18"/>
              </w:rPr>
              <w:lastRenderedPageBreak/>
              <w:t>- окончателна оценка на информираността, капацитета и удовлетвореността на заинтересованите страни</w:t>
            </w:r>
          </w:p>
        </w:tc>
        <w:tc>
          <w:tcPr>
            <w:tcW w:w="1137" w:type="dxa"/>
            <w:vAlign w:val="center"/>
          </w:tcPr>
          <w:p w14:paraId="54A72FF7" w14:textId="77777777" w:rsidR="00DE4E5A" w:rsidRPr="007A44A5" w:rsidRDefault="00DE4E5A" w:rsidP="0050161B">
            <w:pPr>
              <w:jc w:val="both"/>
              <w:rPr>
                <w:rFonts w:ascii="Times New Roman" w:hAnsi="Times New Roman" w:cs="Times New Roman"/>
                <w:sz w:val="18"/>
                <w:szCs w:val="18"/>
                <w:lang w:val="en-US"/>
              </w:rPr>
            </w:pPr>
          </w:p>
          <w:p w14:paraId="63DAE9D2" w14:textId="77777777" w:rsidR="00DE4E5A" w:rsidRPr="007A44A5" w:rsidRDefault="00DE4E5A" w:rsidP="0050161B">
            <w:pPr>
              <w:jc w:val="both"/>
              <w:rPr>
                <w:rFonts w:ascii="Times New Roman" w:hAnsi="Times New Roman" w:cs="Times New Roman"/>
                <w:sz w:val="18"/>
                <w:szCs w:val="18"/>
                <w:lang w:val="en-US"/>
              </w:rPr>
            </w:pPr>
          </w:p>
          <w:p w14:paraId="73B1DDAA" w14:textId="77777777" w:rsidR="00DE4E5A" w:rsidRPr="007A44A5" w:rsidRDefault="00DE4E5A" w:rsidP="0050161B">
            <w:pPr>
              <w:jc w:val="both"/>
              <w:rPr>
                <w:rFonts w:ascii="Times New Roman" w:hAnsi="Times New Roman" w:cs="Times New Roman"/>
                <w:sz w:val="18"/>
                <w:szCs w:val="18"/>
                <w:lang w:val="en-US"/>
              </w:rPr>
            </w:pPr>
          </w:p>
          <w:p w14:paraId="4E0B6FD7" w14:textId="4A9A25CD" w:rsidR="00DE4E5A" w:rsidRPr="007A44A5" w:rsidRDefault="00DE4E5A" w:rsidP="0050161B">
            <w:pPr>
              <w:jc w:val="both"/>
              <w:rPr>
                <w:rFonts w:ascii="Times New Roman" w:hAnsi="Times New Roman" w:cs="Times New Roman"/>
                <w:sz w:val="18"/>
                <w:szCs w:val="18"/>
                <w:lang w:val="en-US"/>
              </w:rPr>
            </w:pPr>
            <w:r w:rsidRPr="007A44A5">
              <w:rPr>
                <w:rFonts w:ascii="Times New Roman" w:hAnsi="Times New Roman" w:cs="Times New Roman"/>
                <w:sz w:val="18"/>
                <w:szCs w:val="18"/>
                <w:lang w:val="en-US"/>
              </w:rPr>
              <w:t>Q4</w:t>
            </w:r>
            <w:r>
              <w:rPr>
                <w:rFonts w:ascii="Times New Roman" w:hAnsi="Times New Roman" w:cs="Times New Roman"/>
                <w:sz w:val="18"/>
                <w:szCs w:val="18"/>
                <w:lang w:val="bg-BG"/>
              </w:rPr>
              <w:t xml:space="preserve"> </w:t>
            </w:r>
            <w:r w:rsidRPr="007A44A5">
              <w:rPr>
                <w:rFonts w:ascii="Times New Roman" w:hAnsi="Times New Roman" w:cs="Times New Roman"/>
                <w:sz w:val="18"/>
                <w:szCs w:val="18"/>
                <w:lang w:val="en-US"/>
              </w:rPr>
              <w:t xml:space="preserve">2023 </w:t>
            </w:r>
          </w:p>
          <w:p w14:paraId="3A69237E" w14:textId="3A54A6DF" w:rsidR="00DE4E5A" w:rsidRPr="007A44A5" w:rsidRDefault="00DE4E5A" w:rsidP="0050161B">
            <w:pPr>
              <w:jc w:val="both"/>
              <w:rPr>
                <w:rFonts w:ascii="Times New Roman" w:hAnsi="Times New Roman" w:cs="Times New Roman"/>
                <w:sz w:val="18"/>
                <w:szCs w:val="18"/>
                <w:lang w:val="en-US"/>
              </w:rPr>
            </w:pPr>
          </w:p>
          <w:p w14:paraId="5668F8E4" w14:textId="164067F3" w:rsidR="00DE4E5A" w:rsidRPr="007A44A5" w:rsidRDefault="00DE4E5A" w:rsidP="0050161B">
            <w:pPr>
              <w:jc w:val="both"/>
              <w:rPr>
                <w:rFonts w:ascii="Times New Roman" w:hAnsi="Times New Roman" w:cs="Times New Roman"/>
                <w:sz w:val="18"/>
                <w:szCs w:val="18"/>
                <w:lang w:val="en-US"/>
              </w:rPr>
            </w:pPr>
            <w:r w:rsidRPr="007A44A5">
              <w:rPr>
                <w:rFonts w:ascii="Times New Roman" w:hAnsi="Times New Roman" w:cs="Times New Roman"/>
                <w:sz w:val="18"/>
                <w:szCs w:val="18"/>
                <w:lang w:val="en-US"/>
              </w:rPr>
              <w:t>Q4 2025</w:t>
            </w:r>
          </w:p>
          <w:p w14:paraId="08DE7CD4" w14:textId="77777777" w:rsidR="00DE4E5A" w:rsidRPr="007A44A5" w:rsidRDefault="00DE4E5A" w:rsidP="0050161B">
            <w:pPr>
              <w:jc w:val="both"/>
              <w:rPr>
                <w:rFonts w:ascii="Times New Roman" w:hAnsi="Times New Roman" w:cs="Times New Roman"/>
                <w:sz w:val="18"/>
                <w:szCs w:val="18"/>
                <w:lang w:val="en-US"/>
              </w:rPr>
            </w:pPr>
          </w:p>
          <w:p w14:paraId="2988C046" w14:textId="613FF943" w:rsidR="00DE4E5A" w:rsidRPr="007A44A5" w:rsidRDefault="00DE4E5A" w:rsidP="0050161B">
            <w:pPr>
              <w:jc w:val="both"/>
              <w:rPr>
                <w:rFonts w:ascii="Times New Roman" w:hAnsi="Times New Roman" w:cs="Times New Roman"/>
                <w:sz w:val="18"/>
                <w:szCs w:val="18"/>
                <w:lang w:val="en-US"/>
              </w:rPr>
            </w:pPr>
            <w:r w:rsidRPr="007A44A5">
              <w:rPr>
                <w:rFonts w:ascii="Times New Roman" w:hAnsi="Times New Roman" w:cs="Times New Roman"/>
                <w:sz w:val="18"/>
                <w:szCs w:val="18"/>
                <w:lang w:val="en-US"/>
              </w:rPr>
              <w:t>Q2 2029</w:t>
            </w:r>
          </w:p>
        </w:tc>
        <w:tc>
          <w:tcPr>
            <w:tcW w:w="5234" w:type="dxa"/>
            <w:vAlign w:val="center"/>
          </w:tcPr>
          <w:p w14:paraId="44004D30" w14:textId="44E4432A" w:rsidR="00DE4E5A" w:rsidRPr="007A44A5" w:rsidRDefault="00DE4E5A" w:rsidP="0050161B">
            <w:pPr>
              <w:jc w:val="both"/>
              <w:rPr>
                <w:rFonts w:ascii="Times New Roman" w:hAnsi="Times New Roman" w:cs="Times New Roman"/>
                <w:sz w:val="18"/>
                <w:szCs w:val="18"/>
              </w:rPr>
            </w:pPr>
          </w:p>
          <w:p w14:paraId="03F17F9F" w14:textId="77777777" w:rsidR="00DE4E5A" w:rsidRPr="007A44A5" w:rsidRDefault="00DE4E5A" w:rsidP="0050161B">
            <w:pPr>
              <w:jc w:val="both"/>
              <w:rPr>
                <w:rFonts w:ascii="Times New Roman" w:hAnsi="Times New Roman" w:cs="Times New Roman"/>
                <w:sz w:val="18"/>
                <w:szCs w:val="18"/>
              </w:rPr>
            </w:pPr>
          </w:p>
          <w:p w14:paraId="4213E564" w14:textId="6833C861" w:rsidR="00DE4E5A" w:rsidRDefault="00DE4E5A" w:rsidP="00102350">
            <w:pPr>
              <w:spacing w:before="120"/>
              <w:jc w:val="both"/>
              <w:rPr>
                <w:rFonts w:ascii="Times New Roman" w:hAnsi="Times New Roman" w:cs="Times New Roman"/>
                <w:sz w:val="18"/>
                <w:szCs w:val="18"/>
              </w:rPr>
            </w:pPr>
          </w:p>
          <w:p w14:paraId="2BEDA79B" w14:textId="2ECE7965" w:rsidR="00DE4E5A" w:rsidRPr="007A44A5" w:rsidRDefault="00DE4E5A" w:rsidP="00102350">
            <w:pPr>
              <w:spacing w:before="120"/>
              <w:jc w:val="both"/>
              <w:rPr>
                <w:rFonts w:ascii="Times New Roman" w:hAnsi="Times New Roman" w:cs="Times New Roman"/>
                <w:sz w:val="18"/>
                <w:szCs w:val="18"/>
              </w:rPr>
            </w:pPr>
            <w:r w:rsidRPr="007A44A5">
              <w:rPr>
                <w:rFonts w:ascii="Times New Roman" w:hAnsi="Times New Roman" w:cs="Times New Roman"/>
                <w:sz w:val="18"/>
                <w:szCs w:val="18"/>
              </w:rPr>
              <w:t>146 666,76</w:t>
            </w:r>
          </w:p>
          <w:p w14:paraId="3A5FC6DE" w14:textId="77777777" w:rsidR="00DE4E5A" w:rsidRPr="007A44A5" w:rsidRDefault="00DE4E5A" w:rsidP="0050161B">
            <w:pPr>
              <w:jc w:val="both"/>
              <w:rPr>
                <w:rFonts w:ascii="Times New Roman" w:hAnsi="Times New Roman" w:cs="Times New Roman"/>
                <w:sz w:val="18"/>
                <w:szCs w:val="18"/>
              </w:rPr>
            </w:pPr>
          </w:p>
          <w:p w14:paraId="4C92FDA9" w14:textId="3FE095DE" w:rsidR="00DE4E5A" w:rsidRPr="007A44A5" w:rsidRDefault="00DE4E5A" w:rsidP="0050161B">
            <w:pPr>
              <w:jc w:val="both"/>
              <w:rPr>
                <w:rFonts w:ascii="Times New Roman" w:hAnsi="Times New Roman" w:cs="Times New Roman"/>
                <w:sz w:val="18"/>
                <w:szCs w:val="18"/>
              </w:rPr>
            </w:pPr>
            <w:r w:rsidRPr="007A44A5">
              <w:rPr>
                <w:rFonts w:ascii="Times New Roman" w:hAnsi="Times New Roman" w:cs="Times New Roman"/>
                <w:sz w:val="18"/>
                <w:szCs w:val="18"/>
              </w:rPr>
              <w:t>146 666,77</w:t>
            </w:r>
          </w:p>
          <w:p w14:paraId="518418F2" w14:textId="293A5652" w:rsidR="00DE4E5A" w:rsidRPr="007A44A5" w:rsidRDefault="00DE4E5A" w:rsidP="0050161B">
            <w:pPr>
              <w:jc w:val="both"/>
              <w:rPr>
                <w:rFonts w:ascii="Times New Roman" w:hAnsi="Times New Roman" w:cs="Times New Roman"/>
                <w:sz w:val="18"/>
                <w:szCs w:val="18"/>
              </w:rPr>
            </w:pPr>
          </w:p>
          <w:p w14:paraId="3E0E5723" w14:textId="25E22F28" w:rsidR="00DE4E5A" w:rsidRPr="007A44A5" w:rsidRDefault="00DE4E5A" w:rsidP="0050161B">
            <w:pPr>
              <w:jc w:val="both"/>
              <w:rPr>
                <w:rFonts w:ascii="Times New Roman" w:hAnsi="Times New Roman" w:cs="Times New Roman"/>
                <w:sz w:val="18"/>
                <w:szCs w:val="18"/>
              </w:rPr>
            </w:pPr>
            <w:r w:rsidRPr="007A44A5">
              <w:rPr>
                <w:rFonts w:ascii="Times New Roman" w:hAnsi="Times New Roman" w:cs="Times New Roman"/>
                <w:sz w:val="18"/>
                <w:szCs w:val="18"/>
              </w:rPr>
              <w:t>146 666,77</w:t>
            </w:r>
          </w:p>
          <w:p w14:paraId="38DA436D" w14:textId="0F6FBC2F" w:rsidR="00DE4E5A" w:rsidRPr="007A44A5" w:rsidRDefault="00DE4E5A" w:rsidP="0050161B">
            <w:pPr>
              <w:jc w:val="both"/>
              <w:rPr>
                <w:rFonts w:ascii="Times New Roman" w:hAnsi="Times New Roman" w:cs="Times New Roman"/>
                <w:sz w:val="18"/>
                <w:szCs w:val="18"/>
              </w:rPr>
            </w:pPr>
          </w:p>
        </w:tc>
      </w:tr>
      <w:tr w:rsidR="00DE4E5A" w:rsidRPr="007A44A5" w14:paraId="74DDF8F2" w14:textId="77777777" w:rsidTr="00DE4E5A">
        <w:trPr>
          <w:trHeight w:val="227"/>
        </w:trPr>
        <w:tc>
          <w:tcPr>
            <w:tcW w:w="3304" w:type="dxa"/>
            <w:vMerge/>
            <w:shd w:val="clear" w:color="auto" w:fill="auto"/>
            <w:noWrap/>
            <w:vAlign w:val="center"/>
          </w:tcPr>
          <w:p w14:paraId="6E237A58" w14:textId="77777777" w:rsidR="00DE4E5A" w:rsidRPr="007A44A5" w:rsidRDefault="00DE4E5A" w:rsidP="008B5F94">
            <w:pPr>
              <w:rPr>
                <w:rFonts w:ascii="Times New Roman" w:hAnsi="Times New Roman" w:cs="Times New Roman"/>
                <w:sz w:val="18"/>
                <w:szCs w:val="18"/>
              </w:rPr>
            </w:pPr>
          </w:p>
        </w:tc>
        <w:tc>
          <w:tcPr>
            <w:tcW w:w="3694" w:type="dxa"/>
            <w:vAlign w:val="center"/>
          </w:tcPr>
          <w:p w14:paraId="04FA6276" w14:textId="47395DB8" w:rsidR="00DE4E5A" w:rsidRPr="007A44A5" w:rsidRDefault="00DE4E5A">
            <w:pPr>
              <w:jc w:val="both"/>
              <w:rPr>
                <w:rFonts w:ascii="Times New Roman" w:hAnsi="Times New Roman" w:cs="Times New Roman"/>
                <w:sz w:val="18"/>
                <w:szCs w:val="18"/>
              </w:rPr>
            </w:pPr>
            <w:r w:rsidRPr="007A44A5">
              <w:rPr>
                <w:rFonts w:ascii="Times New Roman" w:hAnsi="Times New Roman" w:cs="Times New Roman"/>
                <w:sz w:val="18"/>
                <w:szCs w:val="18"/>
              </w:rPr>
              <w:t xml:space="preserve">7. Пилотни </w:t>
            </w:r>
            <w:r>
              <w:rPr>
                <w:rFonts w:ascii="Times New Roman" w:hAnsi="Times New Roman" w:cs="Times New Roman"/>
                <w:sz w:val="18"/>
                <w:szCs w:val="18"/>
                <w:lang w:val="bg-BG"/>
              </w:rPr>
              <w:t>инициативи</w:t>
            </w:r>
            <w:r w:rsidRPr="007A44A5">
              <w:rPr>
                <w:rFonts w:ascii="Times New Roman" w:hAnsi="Times New Roman" w:cs="Times New Roman"/>
                <w:sz w:val="18"/>
                <w:szCs w:val="18"/>
              </w:rPr>
              <w:t xml:space="preserve"> за насърчаване на ангажираността на заинтересованите страни в процеса на създаване и прилагане на политики със специален акцент върху НПО и младежките организации</w:t>
            </w:r>
          </w:p>
        </w:tc>
        <w:tc>
          <w:tcPr>
            <w:tcW w:w="1137" w:type="dxa"/>
          </w:tcPr>
          <w:p w14:paraId="411DAD70" w14:textId="77777777" w:rsidR="00DE4E5A" w:rsidRPr="007A44A5" w:rsidRDefault="00DE4E5A" w:rsidP="00236180">
            <w:pPr>
              <w:jc w:val="both"/>
              <w:rPr>
                <w:rFonts w:ascii="Times New Roman" w:hAnsi="Times New Roman" w:cs="Times New Roman"/>
                <w:sz w:val="18"/>
                <w:szCs w:val="18"/>
                <w:lang w:val="en-US"/>
              </w:rPr>
            </w:pPr>
          </w:p>
          <w:p w14:paraId="149FF514" w14:textId="0A879A72" w:rsidR="00DE4E5A" w:rsidRPr="007A44A5" w:rsidRDefault="00DE4E5A" w:rsidP="00236180">
            <w:pPr>
              <w:jc w:val="both"/>
              <w:rPr>
                <w:rFonts w:ascii="Times New Roman" w:hAnsi="Times New Roman" w:cs="Times New Roman"/>
                <w:sz w:val="18"/>
                <w:szCs w:val="18"/>
                <w:lang w:val="en-US"/>
              </w:rPr>
            </w:pPr>
            <w:r w:rsidRPr="007A44A5">
              <w:rPr>
                <w:rFonts w:ascii="Times New Roman" w:hAnsi="Times New Roman" w:cs="Times New Roman"/>
                <w:sz w:val="18"/>
                <w:szCs w:val="18"/>
                <w:lang w:val="en-US"/>
              </w:rPr>
              <w:t xml:space="preserve">Q4 2024 </w:t>
            </w:r>
          </w:p>
          <w:p w14:paraId="5FD9D88C" w14:textId="77777777" w:rsidR="00DE4E5A" w:rsidRPr="007A44A5" w:rsidRDefault="00DE4E5A" w:rsidP="009F3B14">
            <w:pPr>
              <w:rPr>
                <w:rFonts w:ascii="Times New Roman" w:hAnsi="Times New Roman" w:cs="Times New Roman"/>
                <w:sz w:val="18"/>
                <w:szCs w:val="18"/>
              </w:rPr>
            </w:pPr>
          </w:p>
        </w:tc>
        <w:tc>
          <w:tcPr>
            <w:tcW w:w="5234" w:type="dxa"/>
          </w:tcPr>
          <w:p w14:paraId="69174D12" w14:textId="77777777" w:rsidR="00DE4E5A" w:rsidRPr="007A44A5" w:rsidRDefault="00DE4E5A" w:rsidP="008B5F94">
            <w:pPr>
              <w:rPr>
                <w:rFonts w:ascii="Times New Roman" w:hAnsi="Times New Roman" w:cs="Times New Roman"/>
                <w:sz w:val="18"/>
                <w:szCs w:val="18"/>
              </w:rPr>
            </w:pPr>
          </w:p>
          <w:p w14:paraId="61BB98B3" w14:textId="5E3F7DB6" w:rsidR="00DE4E5A" w:rsidRPr="007A44A5" w:rsidRDefault="00DE4E5A" w:rsidP="008B5F94">
            <w:pPr>
              <w:rPr>
                <w:rFonts w:ascii="Times New Roman" w:hAnsi="Times New Roman" w:cs="Times New Roman"/>
                <w:sz w:val="18"/>
                <w:szCs w:val="18"/>
              </w:rPr>
            </w:pPr>
            <w:r w:rsidRPr="007A44A5">
              <w:rPr>
                <w:rFonts w:ascii="Times New Roman" w:hAnsi="Times New Roman" w:cs="Times New Roman"/>
                <w:sz w:val="18"/>
                <w:szCs w:val="18"/>
              </w:rPr>
              <w:t>213 840,00</w:t>
            </w:r>
          </w:p>
        </w:tc>
      </w:tr>
      <w:tr w:rsidR="00DE4E5A" w:rsidRPr="007A44A5" w14:paraId="1BEE52F8" w14:textId="77777777" w:rsidTr="00DE4E5A">
        <w:trPr>
          <w:trHeight w:val="227"/>
        </w:trPr>
        <w:tc>
          <w:tcPr>
            <w:tcW w:w="3304" w:type="dxa"/>
            <w:vMerge/>
            <w:shd w:val="clear" w:color="auto" w:fill="auto"/>
            <w:noWrap/>
            <w:vAlign w:val="center"/>
          </w:tcPr>
          <w:p w14:paraId="2CA58939" w14:textId="77777777" w:rsidR="00DE4E5A" w:rsidRPr="007A44A5" w:rsidRDefault="00DE4E5A" w:rsidP="008B5F94">
            <w:pPr>
              <w:rPr>
                <w:rFonts w:ascii="Times New Roman" w:hAnsi="Times New Roman" w:cs="Times New Roman"/>
                <w:sz w:val="18"/>
                <w:szCs w:val="18"/>
              </w:rPr>
            </w:pPr>
          </w:p>
        </w:tc>
        <w:tc>
          <w:tcPr>
            <w:tcW w:w="3694" w:type="dxa"/>
            <w:vAlign w:val="center"/>
          </w:tcPr>
          <w:p w14:paraId="1C44F360" w14:textId="0B12B8A9" w:rsidR="00DE4E5A" w:rsidRPr="007A44A5" w:rsidRDefault="00DE4E5A" w:rsidP="00102350">
            <w:pPr>
              <w:pStyle w:val="ListParagraph"/>
              <w:numPr>
                <w:ilvl w:val="0"/>
                <w:numId w:val="23"/>
              </w:numPr>
              <w:ind w:left="181" w:hanging="142"/>
              <w:rPr>
                <w:sz w:val="18"/>
                <w:szCs w:val="18"/>
              </w:rPr>
            </w:pPr>
            <w:r w:rsidRPr="007A44A5">
              <w:rPr>
                <w:sz w:val="18"/>
                <w:szCs w:val="18"/>
              </w:rPr>
              <w:t xml:space="preserve">Изготвяне на </w:t>
            </w:r>
            <w:proofErr w:type="spellStart"/>
            <w:r w:rsidRPr="007A44A5">
              <w:rPr>
                <w:sz w:val="18"/>
                <w:szCs w:val="18"/>
                <w:lang w:val="en-US"/>
              </w:rPr>
              <w:t>тригодишни</w:t>
            </w:r>
            <w:proofErr w:type="spellEnd"/>
            <w:r w:rsidRPr="007A44A5">
              <w:rPr>
                <w:sz w:val="18"/>
                <w:szCs w:val="18"/>
                <w:lang w:val="en-US"/>
              </w:rPr>
              <w:t xml:space="preserve"> </w:t>
            </w:r>
            <w:r w:rsidRPr="007A44A5">
              <w:rPr>
                <w:sz w:val="18"/>
                <w:szCs w:val="18"/>
              </w:rPr>
              <w:t>планове за действие за повишаване на осведомеността, обществени консултации, ангажиране на заинтересованите страни:</w:t>
            </w:r>
          </w:p>
          <w:p w14:paraId="5B8D43F0" w14:textId="5D698D1F" w:rsidR="00DE4E5A" w:rsidRPr="007A44A5" w:rsidRDefault="00DE4E5A" w:rsidP="00236180">
            <w:pPr>
              <w:pStyle w:val="ListParagraph"/>
              <w:numPr>
                <w:ilvl w:val="0"/>
                <w:numId w:val="14"/>
              </w:numPr>
              <w:rPr>
                <w:sz w:val="18"/>
                <w:szCs w:val="18"/>
              </w:rPr>
            </w:pPr>
            <w:proofErr w:type="spellStart"/>
            <w:r w:rsidRPr="007A44A5">
              <w:rPr>
                <w:sz w:val="18"/>
                <w:szCs w:val="18"/>
                <w:lang w:val="en-US"/>
              </w:rPr>
              <w:t>Тригодишен</w:t>
            </w:r>
            <w:proofErr w:type="spellEnd"/>
            <w:r w:rsidRPr="007A44A5">
              <w:rPr>
                <w:sz w:val="18"/>
                <w:szCs w:val="18"/>
                <w:lang w:val="en-US"/>
              </w:rPr>
              <w:t xml:space="preserve"> </w:t>
            </w:r>
            <w:r w:rsidRPr="007A44A5">
              <w:rPr>
                <w:sz w:val="18"/>
                <w:szCs w:val="18"/>
              </w:rPr>
              <w:t>план за действие за периода 2024-2026 г</w:t>
            </w:r>
          </w:p>
          <w:p w14:paraId="658E14B7" w14:textId="3DA09E35" w:rsidR="00DE4E5A" w:rsidRPr="007A44A5" w:rsidRDefault="00DE4E5A" w:rsidP="00236180">
            <w:pPr>
              <w:pStyle w:val="ListParagraph"/>
              <w:numPr>
                <w:ilvl w:val="0"/>
                <w:numId w:val="14"/>
              </w:numPr>
              <w:rPr>
                <w:sz w:val="18"/>
                <w:szCs w:val="18"/>
              </w:rPr>
            </w:pPr>
            <w:proofErr w:type="spellStart"/>
            <w:r w:rsidRPr="007A44A5">
              <w:rPr>
                <w:sz w:val="18"/>
                <w:szCs w:val="18"/>
                <w:lang w:val="en-US"/>
              </w:rPr>
              <w:t>Тригодишен</w:t>
            </w:r>
            <w:proofErr w:type="spellEnd"/>
            <w:r w:rsidRPr="007A44A5">
              <w:rPr>
                <w:sz w:val="18"/>
                <w:szCs w:val="18"/>
                <w:lang w:val="en-US"/>
              </w:rPr>
              <w:t xml:space="preserve"> </w:t>
            </w:r>
            <w:r w:rsidRPr="007A44A5">
              <w:rPr>
                <w:sz w:val="18"/>
                <w:szCs w:val="18"/>
              </w:rPr>
              <w:t>план за действие за периода 2027-2029 г</w:t>
            </w:r>
          </w:p>
        </w:tc>
        <w:tc>
          <w:tcPr>
            <w:tcW w:w="1137" w:type="dxa"/>
          </w:tcPr>
          <w:p w14:paraId="61EB8960" w14:textId="77777777" w:rsidR="00DE4E5A" w:rsidRPr="007A44A5" w:rsidRDefault="00DE4E5A" w:rsidP="008B5F94">
            <w:pPr>
              <w:rPr>
                <w:rFonts w:ascii="Times New Roman" w:hAnsi="Times New Roman" w:cs="Times New Roman"/>
                <w:sz w:val="18"/>
                <w:szCs w:val="18"/>
              </w:rPr>
            </w:pPr>
          </w:p>
          <w:p w14:paraId="7BCB667E" w14:textId="77777777" w:rsidR="00DE4E5A" w:rsidRDefault="00DE4E5A" w:rsidP="00236180">
            <w:pPr>
              <w:jc w:val="both"/>
              <w:rPr>
                <w:rFonts w:ascii="Times New Roman" w:hAnsi="Times New Roman" w:cs="Times New Roman"/>
                <w:sz w:val="18"/>
                <w:szCs w:val="18"/>
                <w:lang w:val="en-US"/>
              </w:rPr>
            </w:pPr>
          </w:p>
          <w:p w14:paraId="29CC93C3" w14:textId="77777777" w:rsidR="00DE4E5A" w:rsidRDefault="00DE4E5A" w:rsidP="00236180">
            <w:pPr>
              <w:jc w:val="both"/>
              <w:rPr>
                <w:rFonts w:ascii="Times New Roman" w:hAnsi="Times New Roman" w:cs="Times New Roman"/>
                <w:sz w:val="18"/>
                <w:szCs w:val="18"/>
                <w:lang w:val="en-US"/>
              </w:rPr>
            </w:pPr>
          </w:p>
          <w:p w14:paraId="73D206AD" w14:textId="64A50563" w:rsidR="00DE4E5A" w:rsidRPr="007A44A5" w:rsidRDefault="00DE4E5A" w:rsidP="00236180">
            <w:pPr>
              <w:jc w:val="both"/>
              <w:rPr>
                <w:rFonts w:ascii="Times New Roman" w:hAnsi="Times New Roman" w:cs="Times New Roman"/>
                <w:sz w:val="18"/>
                <w:szCs w:val="18"/>
                <w:lang w:val="en-US"/>
              </w:rPr>
            </w:pPr>
            <w:r w:rsidRPr="007A44A5">
              <w:rPr>
                <w:rFonts w:ascii="Times New Roman" w:hAnsi="Times New Roman" w:cs="Times New Roman"/>
                <w:sz w:val="18"/>
                <w:szCs w:val="18"/>
                <w:lang w:val="en-US"/>
              </w:rPr>
              <w:t>Q2 2024</w:t>
            </w:r>
          </w:p>
          <w:p w14:paraId="0DA2281C" w14:textId="08574546" w:rsidR="00DE4E5A" w:rsidRPr="007A44A5" w:rsidRDefault="00DE4E5A" w:rsidP="00236180">
            <w:pPr>
              <w:jc w:val="both"/>
              <w:rPr>
                <w:rFonts w:ascii="Times New Roman" w:hAnsi="Times New Roman" w:cs="Times New Roman"/>
                <w:sz w:val="18"/>
                <w:szCs w:val="18"/>
              </w:rPr>
            </w:pPr>
            <w:r w:rsidRPr="007A44A5">
              <w:rPr>
                <w:rFonts w:ascii="Times New Roman" w:hAnsi="Times New Roman" w:cs="Times New Roman"/>
                <w:sz w:val="18"/>
                <w:szCs w:val="18"/>
                <w:lang w:val="en-US"/>
              </w:rPr>
              <w:t>Q2 2027</w:t>
            </w:r>
          </w:p>
          <w:p w14:paraId="16BD957D" w14:textId="61802F44" w:rsidR="00DE4E5A" w:rsidRPr="007A44A5" w:rsidRDefault="00DE4E5A" w:rsidP="008B5F94">
            <w:pPr>
              <w:rPr>
                <w:rFonts w:ascii="Times New Roman" w:hAnsi="Times New Roman" w:cs="Times New Roman"/>
                <w:sz w:val="18"/>
                <w:szCs w:val="18"/>
              </w:rPr>
            </w:pPr>
          </w:p>
        </w:tc>
        <w:tc>
          <w:tcPr>
            <w:tcW w:w="5234" w:type="dxa"/>
          </w:tcPr>
          <w:p w14:paraId="7B41D69E" w14:textId="77777777" w:rsidR="00DE4E5A" w:rsidRPr="007A44A5" w:rsidRDefault="00DE4E5A" w:rsidP="00037A40">
            <w:pPr>
              <w:rPr>
                <w:rFonts w:ascii="Times New Roman" w:hAnsi="Times New Roman" w:cs="Times New Roman"/>
                <w:sz w:val="18"/>
                <w:szCs w:val="18"/>
              </w:rPr>
            </w:pPr>
          </w:p>
          <w:p w14:paraId="5C0E810B" w14:textId="77777777" w:rsidR="00DE4E5A" w:rsidRDefault="00DE4E5A" w:rsidP="00236180">
            <w:pPr>
              <w:jc w:val="both"/>
              <w:rPr>
                <w:rFonts w:ascii="Times New Roman" w:hAnsi="Times New Roman" w:cs="Times New Roman"/>
                <w:sz w:val="18"/>
                <w:szCs w:val="18"/>
                <w:lang w:val="en-US"/>
              </w:rPr>
            </w:pPr>
          </w:p>
          <w:p w14:paraId="42D5D97A" w14:textId="77777777" w:rsidR="00DE4E5A" w:rsidRDefault="00DE4E5A" w:rsidP="00236180">
            <w:pPr>
              <w:jc w:val="both"/>
              <w:rPr>
                <w:rFonts w:ascii="Times New Roman" w:hAnsi="Times New Roman" w:cs="Times New Roman"/>
                <w:sz w:val="18"/>
                <w:szCs w:val="18"/>
                <w:lang w:val="en-US"/>
              </w:rPr>
            </w:pPr>
          </w:p>
          <w:p w14:paraId="7EB3D3CF" w14:textId="39F9E513" w:rsidR="00DE4E5A" w:rsidRPr="007A44A5" w:rsidRDefault="00DE4E5A" w:rsidP="00236180">
            <w:pPr>
              <w:jc w:val="both"/>
              <w:rPr>
                <w:rFonts w:ascii="Times New Roman" w:hAnsi="Times New Roman" w:cs="Times New Roman"/>
                <w:sz w:val="18"/>
                <w:szCs w:val="18"/>
                <w:lang w:val="en-US"/>
              </w:rPr>
            </w:pPr>
            <w:r w:rsidRPr="007A44A5">
              <w:rPr>
                <w:rFonts w:ascii="Times New Roman" w:hAnsi="Times New Roman" w:cs="Times New Roman"/>
                <w:sz w:val="18"/>
                <w:szCs w:val="18"/>
                <w:lang w:val="en-US"/>
              </w:rPr>
              <w:t>5,673,200.68</w:t>
            </w:r>
          </w:p>
          <w:p w14:paraId="021C8A32" w14:textId="129D2CDB" w:rsidR="00DE4E5A" w:rsidRPr="007A44A5" w:rsidRDefault="00DE4E5A" w:rsidP="00236180">
            <w:pPr>
              <w:jc w:val="both"/>
              <w:rPr>
                <w:rFonts w:ascii="Times New Roman" w:hAnsi="Times New Roman" w:cs="Times New Roman"/>
                <w:sz w:val="18"/>
                <w:szCs w:val="18"/>
              </w:rPr>
            </w:pPr>
            <w:r w:rsidRPr="007A44A5">
              <w:rPr>
                <w:rFonts w:ascii="Times New Roman" w:hAnsi="Times New Roman" w:cs="Times New Roman"/>
                <w:sz w:val="18"/>
                <w:szCs w:val="18"/>
                <w:lang w:val="en-US"/>
              </w:rPr>
              <w:t>5,673,200.68</w:t>
            </w:r>
          </w:p>
        </w:tc>
      </w:tr>
      <w:tr w:rsidR="008B5F94" w:rsidRPr="007A44A5" w14:paraId="7833DA05" w14:textId="77777777" w:rsidTr="00B710E5">
        <w:trPr>
          <w:trHeight w:val="227"/>
        </w:trPr>
        <w:tc>
          <w:tcPr>
            <w:tcW w:w="3304" w:type="dxa"/>
            <w:shd w:val="clear" w:color="auto" w:fill="auto"/>
            <w:noWrap/>
            <w:vAlign w:val="center"/>
          </w:tcPr>
          <w:p w14:paraId="02A447AA" w14:textId="7B24A415" w:rsidR="008B5F94" w:rsidRPr="007A44A5" w:rsidRDefault="008B5F94" w:rsidP="008B5F94">
            <w:pPr>
              <w:rPr>
                <w:rFonts w:ascii="Times New Roman" w:hAnsi="Times New Roman" w:cs="Times New Roman"/>
                <w:sz w:val="18"/>
                <w:szCs w:val="18"/>
              </w:rPr>
            </w:pPr>
            <w:r w:rsidRPr="007A44A5">
              <w:rPr>
                <w:rFonts w:ascii="Times New Roman" w:hAnsi="Times New Roman" w:cs="Times New Roman"/>
                <w:sz w:val="18"/>
                <w:szCs w:val="18"/>
              </w:rPr>
              <w:t xml:space="preserve">8. </w:t>
            </w:r>
            <w:r w:rsidR="00C51147" w:rsidRPr="00C51147">
              <w:rPr>
                <w:rFonts w:ascii="Times New Roman" w:hAnsi="Times New Roman" w:cs="Times New Roman"/>
                <w:sz w:val="18"/>
                <w:szCs w:val="18"/>
              </w:rPr>
              <w:t>Обща сума (включително финансиране от Съюза и национално финансиране)</w:t>
            </w:r>
          </w:p>
        </w:tc>
        <w:tc>
          <w:tcPr>
            <w:tcW w:w="10065" w:type="dxa"/>
            <w:gridSpan w:val="3"/>
            <w:vAlign w:val="center"/>
          </w:tcPr>
          <w:p w14:paraId="2C5753C4" w14:textId="78A5BBC9" w:rsidR="0006418D" w:rsidRPr="007A44A5" w:rsidRDefault="0006418D" w:rsidP="008B5F94">
            <w:pPr>
              <w:rPr>
                <w:rFonts w:ascii="Times New Roman" w:hAnsi="Times New Roman" w:cs="Times New Roman"/>
                <w:sz w:val="18"/>
                <w:szCs w:val="18"/>
              </w:rPr>
            </w:pPr>
            <w:r w:rsidRPr="007A44A5">
              <w:rPr>
                <w:rFonts w:ascii="Times New Roman" w:hAnsi="Times New Roman" w:cs="Times New Roman"/>
                <w:sz w:val="18"/>
                <w:szCs w:val="18"/>
              </w:rPr>
              <w:t>19 290 000,00 евро ЕФРР</w:t>
            </w:r>
          </w:p>
          <w:p w14:paraId="0921FEDD" w14:textId="1E26FD5F" w:rsidR="0006418D" w:rsidRPr="007A44A5" w:rsidRDefault="0006418D" w:rsidP="008B5F94">
            <w:pPr>
              <w:rPr>
                <w:rFonts w:ascii="Times New Roman" w:hAnsi="Times New Roman" w:cs="Times New Roman"/>
                <w:sz w:val="18"/>
                <w:szCs w:val="18"/>
              </w:rPr>
            </w:pPr>
            <w:r w:rsidRPr="007A44A5">
              <w:rPr>
                <w:rFonts w:ascii="Times New Roman" w:hAnsi="Times New Roman" w:cs="Times New Roman"/>
                <w:sz w:val="18"/>
                <w:szCs w:val="18"/>
              </w:rPr>
              <w:t>3 404 117,65 евро национален принос</w:t>
            </w:r>
          </w:p>
          <w:p w14:paraId="26773A74" w14:textId="17095397" w:rsidR="008B5F94" w:rsidRPr="007A44A5" w:rsidRDefault="008B5F94" w:rsidP="008B5F94">
            <w:pPr>
              <w:rPr>
                <w:rFonts w:ascii="Times New Roman" w:hAnsi="Times New Roman" w:cs="Times New Roman"/>
                <w:sz w:val="18"/>
                <w:szCs w:val="18"/>
              </w:rPr>
            </w:pPr>
            <w:r w:rsidRPr="007A44A5">
              <w:rPr>
                <w:rFonts w:ascii="Times New Roman" w:hAnsi="Times New Roman" w:cs="Times New Roman"/>
                <w:sz w:val="18"/>
                <w:szCs w:val="18"/>
              </w:rPr>
              <w:t>22 694 117,65 евро общо (ЕФРР и национален принос)</w:t>
            </w:r>
          </w:p>
          <w:p w14:paraId="735E0006" w14:textId="47B0F81B" w:rsidR="00521EBC" w:rsidRPr="00B710E5" w:rsidRDefault="00D11416" w:rsidP="00D11416">
            <w:pPr>
              <w:rPr>
                <w:rFonts w:ascii="Times New Roman" w:hAnsi="Times New Roman" w:cs="Times New Roman"/>
                <w:sz w:val="18"/>
                <w:szCs w:val="18"/>
              </w:rPr>
            </w:pPr>
            <w:r>
              <w:rPr>
                <w:rFonts w:ascii="Times New Roman" w:hAnsi="Times New Roman" w:cs="Times New Roman"/>
                <w:sz w:val="18"/>
                <w:szCs w:val="18"/>
                <w:lang w:val="bg-BG"/>
              </w:rPr>
              <w:t>П</w:t>
            </w:r>
            <w:proofErr w:type="spellStart"/>
            <w:r w:rsidR="0006418D" w:rsidRPr="00B710E5">
              <w:rPr>
                <w:rFonts w:ascii="Times New Roman" w:hAnsi="Times New Roman" w:cs="Times New Roman"/>
                <w:sz w:val="18"/>
                <w:szCs w:val="18"/>
              </w:rPr>
              <w:t>одробн</w:t>
            </w:r>
            <w:proofErr w:type="spellEnd"/>
            <w:r>
              <w:rPr>
                <w:rFonts w:ascii="Times New Roman" w:hAnsi="Times New Roman" w:cs="Times New Roman"/>
                <w:sz w:val="18"/>
                <w:szCs w:val="18"/>
                <w:lang w:val="bg-BG"/>
              </w:rPr>
              <w:t xml:space="preserve">а разбивка на разходите в </w:t>
            </w:r>
            <w:r w:rsidR="0006418D" w:rsidRPr="00B710E5">
              <w:rPr>
                <w:rFonts w:ascii="Times New Roman" w:hAnsi="Times New Roman" w:cs="Times New Roman"/>
                <w:sz w:val="18"/>
                <w:szCs w:val="18"/>
              </w:rPr>
              <w:t xml:space="preserve">Приложение 1 „ </w:t>
            </w:r>
            <w:r w:rsidR="00B710E5" w:rsidRPr="00B710E5">
              <w:rPr>
                <w:rFonts w:ascii="Times New Roman" w:hAnsi="Times New Roman" w:cs="Times New Roman"/>
                <w:sz w:val="18"/>
                <w:szCs w:val="18"/>
              </w:rPr>
              <w:t>Информация за разходите“.</w:t>
            </w:r>
          </w:p>
        </w:tc>
      </w:tr>
      <w:tr w:rsidR="008B5F94" w:rsidRPr="007A44A5" w14:paraId="1CC6D8FD" w14:textId="77777777" w:rsidTr="00B710E5">
        <w:trPr>
          <w:trHeight w:val="227"/>
        </w:trPr>
        <w:tc>
          <w:tcPr>
            <w:tcW w:w="3304" w:type="dxa"/>
            <w:shd w:val="clear" w:color="auto" w:fill="auto"/>
            <w:noWrap/>
            <w:vAlign w:val="center"/>
          </w:tcPr>
          <w:p w14:paraId="783FDBB0" w14:textId="41E4A09A" w:rsidR="008B5F94" w:rsidRPr="007A44A5" w:rsidRDefault="008B5F94" w:rsidP="008B5F94">
            <w:pPr>
              <w:rPr>
                <w:rFonts w:ascii="Times New Roman" w:hAnsi="Times New Roman" w:cs="Times New Roman"/>
                <w:sz w:val="18"/>
                <w:szCs w:val="18"/>
              </w:rPr>
            </w:pPr>
            <w:r w:rsidRPr="007A44A5">
              <w:rPr>
                <w:rFonts w:ascii="Times New Roman" w:hAnsi="Times New Roman" w:cs="Times New Roman"/>
                <w:sz w:val="18"/>
                <w:szCs w:val="18"/>
              </w:rPr>
              <w:t xml:space="preserve">9. </w:t>
            </w:r>
            <w:r w:rsidR="00C51147" w:rsidRPr="00C51147">
              <w:rPr>
                <w:rFonts w:ascii="Times New Roman" w:hAnsi="Times New Roman" w:cs="Times New Roman"/>
                <w:sz w:val="18"/>
                <w:szCs w:val="18"/>
              </w:rPr>
              <w:t>Метод на корекция(и)</w:t>
            </w:r>
          </w:p>
        </w:tc>
        <w:tc>
          <w:tcPr>
            <w:tcW w:w="10065" w:type="dxa"/>
            <w:gridSpan w:val="3"/>
            <w:vAlign w:val="center"/>
          </w:tcPr>
          <w:p w14:paraId="35AA00A8" w14:textId="77777777" w:rsidR="001B2524" w:rsidRPr="001B2524" w:rsidRDefault="001B2524" w:rsidP="001B2524">
            <w:pPr>
              <w:jc w:val="both"/>
              <w:rPr>
                <w:rFonts w:ascii="Times New Roman" w:hAnsi="Times New Roman" w:cs="Times New Roman"/>
                <w:sz w:val="18"/>
                <w:szCs w:val="18"/>
              </w:rPr>
            </w:pPr>
            <w:r w:rsidRPr="001B2524">
              <w:rPr>
                <w:rFonts w:ascii="Times New Roman" w:hAnsi="Times New Roman" w:cs="Times New Roman"/>
                <w:sz w:val="18"/>
                <w:szCs w:val="18"/>
              </w:rPr>
              <w:t xml:space="preserve">Автоматична корекция в рамките на фиксиран годишен процент на инфлация на услугите от 3 % [таван], ако са официални данни на Евростат за въпросната година [година Y]; </w:t>
            </w:r>
          </w:p>
          <w:p w14:paraId="55E7FD81" w14:textId="77777777" w:rsidR="001B2524" w:rsidRPr="001B2524" w:rsidRDefault="001B2524" w:rsidP="001B2524">
            <w:pPr>
              <w:jc w:val="both"/>
              <w:rPr>
                <w:rFonts w:ascii="Times New Roman" w:hAnsi="Times New Roman" w:cs="Times New Roman"/>
                <w:sz w:val="18"/>
                <w:szCs w:val="18"/>
              </w:rPr>
            </w:pPr>
            <w:r w:rsidRPr="001B2524">
              <w:rPr>
                <w:rFonts w:ascii="Times New Roman" w:hAnsi="Times New Roman" w:cs="Times New Roman"/>
                <w:sz w:val="18"/>
                <w:szCs w:val="18"/>
              </w:rPr>
              <w:t>индекс на цените на производителите на услуги, SPPI] надхвърля 3% в ЕС и България. Базовата година е 2022 г. за всички разходи. Използваният валутен курс е фиксираният 1 евро = 1,95583 лева.</w:t>
            </w:r>
          </w:p>
          <w:p w14:paraId="3FF51ADA" w14:textId="77777777" w:rsidR="001B2524" w:rsidRPr="001B2524" w:rsidRDefault="001B2524" w:rsidP="001B2524">
            <w:pPr>
              <w:jc w:val="both"/>
              <w:rPr>
                <w:rFonts w:ascii="Times New Roman" w:hAnsi="Times New Roman" w:cs="Times New Roman"/>
                <w:sz w:val="18"/>
                <w:szCs w:val="18"/>
              </w:rPr>
            </w:pPr>
            <w:r w:rsidRPr="001B2524">
              <w:rPr>
                <w:rFonts w:ascii="Times New Roman" w:hAnsi="Times New Roman" w:cs="Times New Roman"/>
                <w:sz w:val="18"/>
                <w:szCs w:val="18"/>
              </w:rPr>
              <w:lastRenderedPageBreak/>
              <w:t>Всякакви други корекции подлежат на предварително съгласие както от страна на Управляващия орган, така и на Европейската комисия и се извършват чрез изменение на програмата.</w:t>
            </w:r>
          </w:p>
          <w:p w14:paraId="13E3948E" w14:textId="3913E0A2" w:rsidR="008B5F94" w:rsidRPr="007A44A5" w:rsidRDefault="001B2524" w:rsidP="001B2524">
            <w:pPr>
              <w:jc w:val="both"/>
              <w:rPr>
                <w:rFonts w:ascii="Times New Roman" w:hAnsi="Times New Roman" w:cs="Times New Roman"/>
                <w:sz w:val="18"/>
                <w:szCs w:val="18"/>
              </w:rPr>
            </w:pPr>
            <w:r w:rsidRPr="001B2524">
              <w:rPr>
                <w:rFonts w:ascii="Times New Roman" w:hAnsi="Times New Roman" w:cs="Times New Roman"/>
                <w:sz w:val="18"/>
                <w:szCs w:val="18"/>
              </w:rPr>
              <w:t>Ежегодно ще се извършва вътрешен анализ на извършените дейности въз основа на утвърдения план за изпълнение и финансовото разпределение на средствата. Съответната информация ще бъде представена във всеки годишен доклад за изпълнението на ПРР 2021-2027.</w:t>
            </w:r>
          </w:p>
        </w:tc>
      </w:tr>
      <w:tr w:rsidR="008B5F94" w:rsidRPr="007A44A5" w14:paraId="6FBBD5CA" w14:textId="77777777" w:rsidTr="00B710E5">
        <w:trPr>
          <w:trHeight w:val="227"/>
        </w:trPr>
        <w:tc>
          <w:tcPr>
            <w:tcW w:w="3304" w:type="dxa"/>
            <w:shd w:val="clear" w:color="auto" w:fill="auto"/>
            <w:noWrap/>
            <w:vAlign w:val="center"/>
          </w:tcPr>
          <w:p w14:paraId="07DD90E9" w14:textId="77777777" w:rsidR="00C51147" w:rsidRPr="00DF70D8" w:rsidRDefault="008B5F94" w:rsidP="00C51147">
            <w:pPr>
              <w:spacing w:before="120"/>
              <w:jc w:val="both"/>
              <w:rPr>
                <w:rFonts w:ascii="inherit" w:hAnsi="inherit"/>
                <w:sz w:val="18"/>
                <w:szCs w:val="18"/>
                <w:lang w:val="bg-BG" w:eastAsia="bg-BG"/>
              </w:rPr>
            </w:pPr>
            <w:r w:rsidRPr="00DF70D8">
              <w:rPr>
                <w:rFonts w:ascii="Times New Roman" w:hAnsi="Times New Roman" w:cs="Times New Roman"/>
                <w:sz w:val="18"/>
                <w:szCs w:val="18"/>
                <w:lang w:val="bg-BG"/>
              </w:rPr>
              <w:lastRenderedPageBreak/>
              <w:t xml:space="preserve">10. </w:t>
            </w:r>
            <w:r w:rsidR="00C51147" w:rsidRPr="00DF70D8">
              <w:rPr>
                <w:rFonts w:ascii="inherit" w:hAnsi="inherit"/>
                <w:sz w:val="18"/>
                <w:szCs w:val="18"/>
                <w:lang w:val="bg-BG" w:eastAsia="bg-BG"/>
              </w:rPr>
              <w:t>Проверка на постигането на резултата или условието (и, когато е приложимо, на междинните конкретни резултати):</w:t>
            </w:r>
          </w:p>
          <w:tbl>
            <w:tblPr>
              <w:tblW w:w="5000" w:type="pct"/>
              <w:tblCellMar>
                <w:left w:w="0" w:type="dxa"/>
                <w:right w:w="0" w:type="dxa"/>
              </w:tblCellMar>
              <w:tblLook w:val="04A0" w:firstRow="1" w:lastRow="0" w:firstColumn="1" w:lastColumn="0" w:noHBand="0" w:noVBand="1"/>
            </w:tblPr>
            <w:tblGrid>
              <w:gridCol w:w="180"/>
              <w:gridCol w:w="2908"/>
            </w:tblGrid>
            <w:tr w:rsidR="00C51147" w:rsidRPr="00DF70D8" w14:paraId="30FFC805" w14:textId="77777777" w:rsidTr="009A03ED">
              <w:tc>
                <w:tcPr>
                  <w:tcW w:w="0" w:type="auto"/>
                  <w:shd w:val="clear" w:color="auto" w:fill="auto"/>
                  <w:hideMark/>
                </w:tcPr>
                <w:p w14:paraId="5A0CDC70" w14:textId="77777777" w:rsidR="00C51147" w:rsidRPr="00DF70D8" w:rsidRDefault="00C51147" w:rsidP="00C51147">
                  <w:pPr>
                    <w:spacing w:before="120"/>
                    <w:jc w:val="both"/>
                    <w:rPr>
                      <w:rFonts w:ascii="inherit" w:hAnsi="inherit"/>
                      <w:sz w:val="18"/>
                      <w:szCs w:val="18"/>
                      <w:lang w:val="bg-BG" w:eastAsia="bg-BG"/>
                    </w:rPr>
                  </w:pPr>
                  <w:r w:rsidRPr="00DF70D8">
                    <w:rPr>
                      <w:rFonts w:ascii="inherit" w:hAnsi="inherit"/>
                      <w:sz w:val="18"/>
                      <w:szCs w:val="18"/>
                      <w:lang w:val="bg-BG" w:eastAsia="bg-BG"/>
                    </w:rPr>
                    <w:t>—</w:t>
                  </w:r>
                </w:p>
              </w:tc>
              <w:tc>
                <w:tcPr>
                  <w:tcW w:w="0" w:type="auto"/>
                  <w:shd w:val="clear" w:color="auto" w:fill="auto"/>
                  <w:hideMark/>
                </w:tcPr>
                <w:p w14:paraId="3A718B75" w14:textId="77777777" w:rsidR="00C51147" w:rsidRPr="00DF70D8" w:rsidRDefault="00C51147" w:rsidP="00C51147">
                  <w:pPr>
                    <w:spacing w:before="120"/>
                    <w:jc w:val="both"/>
                    <w:rPr>
                      <w:rFonts w:ascii="inherit" w:hAnsi="inherit"/>
                      <w:sz w:val="18"/>
                      <w:szCs w:val="18"/>
                      <w:lang w:val="bg-BG" w:eastAsia="bg-BG"/>
                    </w:rPr>
                  </w:pPr>
                  <w:r w:rsidRPr="00DF70D8">
                    <w:rPr>
                      <w:rFonts w:ascii="inherit" w:hAnsi="inherit"/>
                      <w:sz w:val="18"/>
                      <w:szCs w:val="18"/>
                      <w:lang w:val="bg-BG" w:eastAsia="bg-BG"/>
                    </w:rPr>
                    <w:t>опишете какъв(и) документ(и)/система ще се използва(т) за проверка на постигането на резултата или условието (и, когато е приложимо, на всеки от междинните конкретни резултати);</w:t>
                  </w:r>
                </w:p>
              </w:tc>
            </w:tr>
            <w:tr w:rsidR="00C51147" w:rsidRPr="00DF70D8" w14:paraId="6B8954F8" w14:textId="77777777" w:rsidTr="009A03ED">
              <w:tc>
                <w:tcPr>
                  <w:tcW w:w="0" w:type="auto"/>
                  <w:shd w:val="clear" w:color="auto" w:fill="auto"/>
                  <w:hideMark/>
                </w:tcPr>
                <w:p w14:paraId="77CAA3EC" w14:textId="77777777" w:rsidR="00C51147" w:rsidRPr="00DF70D8" w:rsidRDefault="00C51147" w:rsidP="00C51147">
                  <w:pPr>
                    <w:spacing w:before="120"/>
                    <w:jc w:val="both"/>
                    <w:rPr>
                      <w:rFonts w:ascii="inherit" w:hAnsi="inherit"/>
                      <w:sz w:val="18"/>
                      <w:szCs w:val="18"/>
                      <w:lang w:val="bg-BG" w:eastAsia="bg-BG"/>
                    </w:rPr>
                  </w:pPr>
                  <w:r w:rsidRPr="00DF70D8">
                    <w:rPr>
                      <w:rFonts w:ascii="inherit" w:hAnsi="inherit"/>
                      <w:sz w:val="18"/>
                      <w:szCs w:val="18"/>
                      <w:lang w:val="bg-BG" w:eastAsia="bg-BG"/>
                    </w:rPr>
                    <w:t>—</w:t>
                  </w:r>
                </w:p>
              </w:tc>
              <w:tc>
                <w:tcPr>
                  <w:tcW w:w="0" w:type="auto"/>
                  <w:shd w:val="clear" w:color="auto" w:fill="auto"/>
                  <w:hideMark/>
                </w:tcPr>
                <w:p w14:paraId="33FF7DC9" w14:textId="77777777" w:rsidR="00C51147" w:rsidRPr="00DF70D8" w:rsidRDefault="00C51147" w:rsidP="00C51147">
                  <w:pPr>
                    <w:spacing w:before="120"/>
                    <w:jc w:val="both"/>
                    <w:rPr>
                      <w:rFonts w:ascii="inherit" w:hAnsi="inherit"/>
                      <w:sz w:val="18"/>
                      <w:szCs w:val="18"/>
                      <w:lang w:val="bg-BG" w:eastAsia="bg-BG"/>
                    </w:rPr>
                  </w:pPr>
                  <w:r w:rsidRPr="00DF70D8">
                    <w:rPr>
                      <w:rFonts w:ascii="inherit" w:hAnsi="inherit"/>
                      <w:sz w:val="18"/>
                      <w:szCs w:val="18"/>
                      <w:lang w:val="bg-BG" w:eastAsia="bg-BG"/>
                    </w:rPr>
                    <w:t>опишете как ще се извършват проверките на управлението (включително на място) и от кого;</w:t>
                  </w:r>
                </w:p>
              </w:tc>
            </w:tr>
            <w:tr w:rsidR="00C51147" w:rsidRPr="00DF70D8" w14:paraId="63D8D79F" w14:textId="77777777" w:rsidTr="009A03ED">
              <w:tc>
                <w:tcPr>
                  <w:tcW w:w="0" w:type="auto"/>
                  <w:shd w:val="clear" w:color="auto" w:fill="auto"/>
                  <w:hideMark/>
                </w:tcPr>
                <w:p w14:paraId="69C6A990" w14:textId="77777777" w:rsidR="00C51147" w:rsidRPr="00DF70D8" w:rsidRDefault="00C51147" w:rsidP="00C51147">
                  <w:pPr>
                    <w:spacing w:before="120"/>
                    <w:jc w:val="both"/>
                    <w:rPr>
                      <w:rFonts w:ascii="inherit" w:hAnsi="inherit"/>
                      <w:sz w:val="18"/>
                      <w:szCs w:val="18"/>
                      <w:lang w:val="bg-BG" w:eastAsia="bg-BG"/>
                    </w:rPr>
                  </w:pPr>
                  <w:r w:rsidRPr="00DF70D8">
                    <w:rPr>
                      <w:rFonts w:ascii="inherit" w:hAnsi="inherit"/>
                      <w:sz w:val="18"/>
                      <w:szCs w:val="18"/>
                      <w:lang w:val="bg-BG" w:eastAsia="bg-BG"/>
                    </w:rPr>
                    <w:t>—</w:t>
                  </w:r>
                </w:p>
              </w:tc>
              <w:tc>
                <w:tcPr>
                  <w:tcW w:w="0" w:type="auto"/>
                  <w:shd w:val="clear" w:color="auto" w:fill="auto"/>
                  <w:hideMark/>
                </w:tcPr>
                <w:p w14:paraId="0563E1C4" w14:textId="77777777" w:rsidR="00C51147" w:rsidRPr="00DF70D8" w:rsidRDefault="00C51147" w:rsidP="00C51147">
                  <w:pPr>
                    <w:spacing w:before="120"/>
                    <w:jc w:val="both"/>
                    <w:rPr>
                      <w:rFonts w:ascii="inherit" w:hAnsi="inherit"/>
                      <w:sz w:val="18"/>
                      <w:szCs w:val="18"/>
                      <w:lang w:val="bg-BG" w:eastAsia="bg-BG"/>
                    </w:rPr>
                  </w:pPr>
                  <w:r w:rsidRPr="00DF70D8">
                    <w:rPr>
                      <w:rFonts w:ascii="inherit" w:hAnsi="inherit"/>
                      <w:sz w:val="18"/>
                      <w:szCs w:val="18"/>
                      <w:lang w:val="bg-BG" w:eastAsia="bg-BG"/>
                    </w:rPr>
                    <w:t>опишете какви мерки ще бъдат предприети за събиране и съхраняване на съответните данни/документи</w:t>
                  </w:r>
                </w:p>
              </w:tc>
            </w:tr>
          </w:tbl>
          <w:p w14:paraId="74D8D06E" w14:textId="48EB59B7" w:rsidR="008B5F94" w:rsidRPr="00F20344" w:rsidRDefault="008B5F94" w:rsidP="0050161B">
            <w:pPr>
              <w:jc w:val="both"/>
              <w:rPr>
                <w:rFonts w:ascii="Times New Roman" w:hAnsi="Times New Roman" w:cs="Times New Roman"/>
                <w:sz w:val="18"/>
                <w:szCs w:val="18"/>
                <w:lang w:val="bg-BG"/>
              </w:rPr>
            </w:pPr>
          </w:p>
        </w:tc>
        <w:tc>
          <w:tcPr>
            <w:tcW w:w="10065" w:type="dxa"/>
            <w:gridSpan w:val="3"/>
            <w:vAlign w:val="center"/>
          </w:tcPr>
          <w:p w14:paraId="666FA69E" w14:textId="497A82C5" w:rsidR="00635F7A" w:rsidRPr="00DF70D8" w:rsidRDefault="00635F7A" w:rsidP="00635F7A">
            <w:pPr>
              <w:jc w:val="both"/>
              <w:rPr>
                <w:rFonts w:ascii="Times New Roman" w:hAnsi="Times New Roman" w:cs="Times New Roman"/>
                <w:sz w:val="18"/>
                <w:szCs w:val="18"/>
                <w:lang w:val="bg-BG"/>
              </w:rPr>
            </w:pPr>
            <w:r w:rsidRPr="00F20344">
              <w:rPr>
                <w:rFonts w:ascii="Times New Roman" w:hAnsi="Times New Roman" w:cs="Times New Roman"/>
                <w:sz w:val="18"/>
                <w:szCs w:val="18"/>
                <w:lang w:val="bg-BG"/>
              </w:rPr>
              <w:t xml:space="preserve">УО има разработена собствена система за управление и контрол. УО на </w:t>
            </w:r>
            <w:r w:rsidR="0020646A" w:rsidRPr="00DF70D8">
              <w:rPr>
                <w:rFonts w:ascii="Times New Roman" w:hAnsi="Times New Roman" w:cs="Times New Roman"/>
                <w:sz w:val="18"/>
                <w:szCs w:val="18"/>
                <w:lang w:val="bg-BG"/>
              </w:rPr>
              <w:t>ПРР</w:t>
            </w:r>
            <w:r w:rsidRPr="00DF70D8">
              <w:rPr>
                <w:rFonts w:ascii="Times New Roman" w:hAnsi="Times New Roman" w:cs="Times New Roman"/>
                <w:sz w:val="18"/>
                <w:szCs w:val="18"/>
                <w:lang w:val="bg-BG"/>
              </w:rPr>
              <w:t xml:space="preserve"> </w:t>
            </w:r>
            <w:r w:rsidR="0020646A" w:rsidRPr="00DF70D8">
              <w:rPr>
                <w:rFonts w:ascii="Times New Roman" w:hAnsi="Times New Roman" w:cs="Times New Roman"/>
                <w:sz w:val="18"/>
                <w:szCs w:val="18"/>
                <w:lang w:val="bg-BG"/>
              </w:rPr>
              <w:t xml:space="preserve">отговаря </w:t>
            </w:r>
            <w:r w:rsidRPr="00DF70D8">
              <w:rPr>
                <w:rFonts w:ascii="Times New Roman" w:hAnsi="Times New Roman" w:cs="Times New Roman"/>
                <w:sz w:val="18"/>
                <w:szCs w:val="18"/>
                <w:lang w:val="bg-BG"/>
              </w:rPr>
              <w:t xml:space="preserve">за управление на изпълнението, мониторинг и контрол на извършената работа, включително проверки на място. УО на </w:t>
            </w:r>
            <w:r w:rsidR="0020646A" w:rsidRPr="00DF70D8">
              <w:rPr>
                <w:rFonts w:ascii="Times New Roman" w:hAnsi="Times New Roman" w:cs="Times New Roman"/>
                <w:sz w:val="18"/>
                <w:szCs w:val="18"/>
                <w:lang w:val="bg-BG"/>
              </w:rPr>
              <w:t>ПРР</w:t>
            </w:r>
            <w:r w:rsidRPr="00DF70D8">
              <w:rPr>
                <w:rFonts w:ascii="Times New Roman" w:hAnsi="Times New Roman" w:cs="Times New Roman"/>
                <w:sz w:val="18"/>
                <w:szCs w:val="18"/>
                <w:lang w:val="bg-BG"/>
              </w:rPr>
              <w:t xml:space="preserve"> ще има задължения да събира и съхранява данните/документите съвместно с МРРБ по изпълнението и отчитането на извършената работа, съгласно изискванията на националното законодателство и правилата за документооборота на МРРБ.</w:t>
            </w:r>
          </w:p>
          <w:p w14:paraId="5FE86EEC" w14:textId="2D6C71BB" w:rsidR="00682BD7" w:rsidRPr="00DF70D8" w:rsidRDefault="00635F7A" w:rsidP="00682BD7">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Всички операции ще</w:t>
            </w:r>
            <w:r w:rsidR="00AB56CC" w:rsidRPr="00DF70D8">
              <w:rPr>
                <w:rFonts w:ascii="Times New Roman" w:hAnsi="Times New Roman" w:cs="Times New Roman"/>
                <w:sz w:val="18"/>
                <w:szCs w:val="18"/>
                <w:lang w:val="bg-BG"/>
              </w:rPr>
              <w:t xml:space="preserve"> се изпълняват в съответствие с изискванията за</w:t>
            </w:r>
            <w:r w:rsidRPr="00DF70D8">
              <w:rPr>
                <w:rFonts w:ascii="Times New Roman" w:hAnsi="Times New Roman" w:cs="Times New Roman"/>
                <w:sz w:val="18"/>
                <w:szCs w:val="18"/>
                <w:lang w:val="bg-BG"/>
              </w:rPr>
              <w:t xml:space="preserve"> обществени поръчки, правила за държавна помощ, </w:t>
            </w:r>
            <w:r w:rsidR="00AB56CC" w:rsidRPr="00DF70D8">
              <w:rPr>
                <w:rFonts w:ascii="Times New Roman" w:hAnsi="Times New Roman" w:cs="Times New Roman"/>
                <w:sz w:val="18"/>
                <w:szCs w:val="18"/>
                <w:lang w:val="bg-BG"/>
              </w:rPr>
              <w:t>проверки за двойно финансиране</w:t>
            </w:r>
            <w:r w:rsidRPr="00DF70D8">
              <w:rPr>
                <w:rFonts w:ascii="Times New Roman" w:hAnsi="Times New Roman" w:cs="Times New Roman"/>
                <w:sz w:val="18"/>
                <w:szCs w:val="18"/>
                <w:lang w:val="bg-BG"/>
              </w:rPr>
              <w:t>, контрол на качеството, мерки за борба с измамите. Прилагането на правилата за държавна помощ ще се съгласува с компетентния орган - Министерство на финансите.</w:t>
            </w:r>
          </w:p>
          <w:p w14:paraId="61ACC9F9" w14:textId="61E4D1B5" w:rsidR="007420B4" w:rsidRPr="00DF70D8" w:rsidRDefault="00B807DD" w:rsidP="0050161B">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Цялата необходима информация и документи ще се събират и съхраняват в електронна система (ИСУН).</w:t>
            </w:r>
          </w:p>
          <w:p w14:paraId="0FF1EBC3" w14:textId="6978723E" w:rsidR="007420B4" w:rsidRPr="00DF70D8" w:rsidRDefault="007420B4" w:rsidP="0050161B">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Дирекция „Национален фонд“, Министерство на финансите – Основна отговорност на Националния фонд е изграждането и поддържането на ефективна и стабилна система за добро финансово управление и усвояване на средствата от фондовете, програмите, механизмите и инструментите на Европейския съюз.</w:t>
            </w:r>
          </w:p>
          <w:p w14:paraId="6C13CB46" w14:textId="2439808A"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xml:space="preserve">1. </w:t>
            </w:r>
            <w:r w:rsidR="00AB56CC" w:rsidRPr="00DF70D8">
              <w:rPr>
                <w:rFonts w:ascii="Times New Roman" w:hAnsi="Times New Roman" w:cs="Times New Roman"/>
                <w:sz w:val="18"/>
                <w:szCs w:val="18"/>
                <w:lang w:val="bg-BG"/>
              </w:rPr>
              <w:t>Пул</w:t>
            </w:r>
            <w:r w:rsidRPr="00DF70D8">
              <w:rPr>
                <w:rFonts w:ascii="Times New Roman" w:hAnsi="Times New Roman" w:cs="Times New Roman"/>
                <w:sz w:val="18"/>
                <w:szCs w:val="18"/>
                <w:lang w:val="bg-BG"/>
              </w:rPr>
              <w:t xml:space="preserve"> от експерти за консултантска подкрепа в специфични и нишови области и политики на ЕС, попадащи в обхвата на подкрепата на </w:t>
            </w:r>
            <w:r w:rsidR="00AB56CC" w:rsidRPr="00DF70D8">
              <w:rPr>
                <w:rFonts w:ascii="Times New Roman" w:hAnsi="Times New Roman" w:cs="Times New Roman"/>
                <w:sz w:val="18"/>
                <w:szCs w:val="18"/>
                <w:lang w:val="bg-BG"/>
              </w:rPr>
              <w:t>ПРР</w:t>
            </w:r>
            <w:r w:rsidRPr="00DF70D8">
              <w:rPr>
                <w:rFonts w:ascii="Times New Roman" w:hAnsi="Times New Roman" w:cs="Times New Roman"/>
                <w:sz w:val="18"/>
                <w:szCs w:val="18"/>
                <w:lang w:val="bg-BG"/>
              </w:rPr>
              <w:t xml:space="preserve"> за подобряване на ефикасността и ефикасността на заинтересованите страни за прилагане на политики</w:t>
            </w:r>
            <w:r w:rsidR="001A6551" w:rsidRPr="00DF70D8" w:rsidDel="001A6551">
              <w:rPr>
                <w:rFonts w:ascii="Times New Roman" w:hAnsi="Times New Roman" w:cs="Times New Roman"/>
                <w:sz w:val="18"/>
                <w:szCs w:val="18"/>
                <w:lang w:val="bg-BG"/>
              </w:rPr>
              <w:t xml:space="preserve"> </w:t>
            </w:r>
            <w:r w:rsidRPr="00DF70D8">
              <w:rPr>
                <w:rFonts w:ascii="Times New Roman" w:hAnsi="Times New Roman" w:cs="Times New Roman"/>
                <w:sz w:val="18"/>
                <w:szCs w:val="18"/>
                <w:lang w:val="bg-BG"/>
              </w:rPr>
              <w:t>- консултациите със специфична експертиза ще се извършват на база годишна отчетност, съгласно наличната документална отчетност. За всяка конкретна извършена експертиза ще се създава досие, състоящо се от следните документи по изпълнението на договорите/споразуменията:</w:t>
            </w:r>
          </w:p>
          <w:p w14:paraId="4E6A257B" w14:textId="4DE77D55"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Документиране на проведени процедури за подбор на специфични нишови експертизи/сключени договори с експерти с нишови познания за предоставяне на консултации и свързаните с тях административни документи (протоколи, фактури и др.);</w:t>
            </w:r>
          </w:p>
          <w:p w14:paraId="592CACA2" w14:textId="386C9D5E"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Доклади и изготвени материали от извършената работа;</w:t>
            </w:r>
          </w:p>
          <w:p w14:paraId="21E7B199" w14:textId="31ADC12A"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xml:space="preserve">УО на </w:t>
            </w:r>
            <w:r w:rsidR="00AB56CC" w:rsidRPr="00DF70D8">
              <w:rPr>
                <w:rFonts w:ascii="Times New Roman" w:hAnsi="Times New Roman" w:cs="Times New Roman"/>
                <w:sz w:val="18"/>
                <w:szCs w:val="18"/>
                <w:lang w:val="bg-BG"/>
              </w:rPr>
              <w:t>ПРР</w:t>
            </w:r>
            <w:r w:rsidRPr="00DF70D8">
              <w:rPr>
                <w:rFonts w:ascii="Times New Roman" w:hAnsi="Times New Roman" w:cs="Times New Roman"/>
                <w:sz w:val="18"/>
                <w:szCs w:val="18"/>
                <w:lang w:val="bg-BG"/>
              </w:rPr>
              <w:t xml:space="preserve"> носи отговорност за управление на изпълнението, мониторинг и контрол на извършената работа, включително проверки на място </w:t>
            </w:r>
            <w:r w:rsidR="00275263" w:rsidRPr="00DF70D8">
              <w:rPr>
                <w:rFonts w:ascii="Times New Roman" w:hAnsi="Times New Roman" w:cs="Times New Roman"/>
                <w:sz w:val="18"/>
                <w:szCs w:val="18"/>
                <w:lang w:val="bg-BG"/>
              </w:rPr>
              <w:t>;</w:t>
            </w:r>
          </w:p>
          <w:p w14:paraId="5094FFE4" w14:textId="42255396"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lastRenderedPageBreak/>
              <w:t xml:space="preserve">- УО на </w:t>
            </w:r>
            <w:r w:rsidR="00AB56CC" w:rsidRPr="00DF70D8">
              <w:rPr>
                <w:rFonts w:ascii="Times New Roman" w:hAnsi="Times New Roman" w:cs="Times New Roman"/>
                <w:sz w:val="18"/>
                <w:szCs w:val="18"/>
                <w:lang w:val="bg-BG"/>
              </w:rPr>
              <w:t>ПРР</w:t>
            </w:r>
            <w:r w:rsidRPr="00DF70D8">
              <w:rPr>
                <w:rFonts w:ascii="Times New Roman" w:hAnsi="Times New Roman" w:cs="Times New Roman"/>
                <w:sz w:val="18"/>
                <w:szCs w:val="18"/>
                <w:lang w:val="bg-BG"/>
              </w:rPr>
              <w:t xml:space="preserve"> </w:t>
            </w:r>
            <w:r w:rsidR="00AB56CC" w:rsidRPr="00DF70D8">
              <w:rPr>
                <w:rFonts w:ascii="Times New Roman" w:hAnsi="Times New Roman" w:cs="Times New Roman"/>
                <w:sz w:val="18"/>
                <w:szCs w:val="18"/>
                <w:lang w:val="bg-BG"/>
              </w:rPr>
              <w:t>и</w:t>
            </w:r>
            <w:r w:rsidRPr="00DF70D8">
              <w:rPr>
                <w:rFonts w:ascii="Times New Roman" w:hAnsi="Times New Roman" w:cs="Times New Roman"/>
                <w:sz w:val="18"/>
                <w:szCs w:val="18"/>
                <w:lang w:val="bg-BG"/>
              </w:rPr>
              <w:t>ма задължения да събира и съхранява данните/документите съвместно с МРРБ по изпълнението и отчитането на извършената работа, съгласно изискванията на националното законодателство и правилата за документооборота на МРРБ.</w:t>
            </w:r>
          </w:p>
          <w:p w14:paraId="7F29A857" w14:textId="6EFF84F4"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2. Тематични събития за трансфер на знания, насочени към широк кръг заинтересовани страни – проведените специализирани тематични събития ще се отчитат ежегодно. За всяко специализирано тематично събитие ще се събират следните документи:</w:t>
            </w:r>
          </w:p>
          <w:p w14:paraId="7C2BFBA0" w14:textId="7095D867"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Документиране на проведената(</w:t>
            </w:r>
            <w:proofErr w:type="spellStart"/>
            <w:r w:rsidRPr="00DF70D8">
              <w:rPr>
                <w:rFonts w:ascii="Times New Roman" w:hAnsi="Times New Roman" w:cs="Times New Roman"/>
                <w:sz w:val="18"/>
                <w:szCs w:val="18"/>
                <w:lang w:val="bg-BG"/>
              </w:rPr>
              <w:t>ите</w:t>
            </w:r>
            <w:proofErr w:type="spellEnd"/>
            <w:r w:rsidRPr="00DF70D8">
              <w:rPr>
                <w:rFonts w:ascii="Times New Roman" w:hAnsi="Times New Roman" w:cs="Times New Roman"/>
                <w:sz w:val="18"/>
                <w:szCs w:val="18"/>
                <w:lang w:val="bg-BG"/>
              </w:rPr>
              <w:t>) процедура(и) по изготвяне на план за провеждане на специализирани тематични събития и организиране и провеждане на събитията;</w:t>
            </w:r>
          </w:p>
          <w:p w14:paraId="3E612A3A" w14:textId="485B39DF"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Сключен/и договор/и за организиране и провеждане на събитията, вкл. административни документи, свързани с изпълнението на договори (протоколи, фактури и др.);</w:t>
            </w:r>
          </w:p>
          <w:p w14:paraId="309DCBB6" w14:textId="7387A8B6"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xml:space="preserve">- Управление и контрол на изпълнението, вкл. и ще се извършват проверки на място от УО на </w:t>
            </w:r>
            <w:r w:rsidR="001F3073" w:rsidRPr="00DF70D8">
              <w:rPr>
                <w:rFonts w:ascii="Times New Roman" w:hAnsi="Times New Roman" w:cs="Times New Roman"/>
                <w:sz w:val="18"/>
                <w:szCs w:val="18"/>
                <w:lang w:val="bg-BG"/>
              </w:rPr>
              <w:t>ПРР</w:t>
            </w:r>
            <w:r w:rsidRPr="00DF70D8">
              <w:rPr>
                <w:rFonts w:ascii="Times New Roman" w:hAnsi="Times New Roman" w:cs="Times New Roman"/>
                <w:sz w:val="18"/>
                <w:szCs w:val="18"/>
                <w:lang w:val="bg-BG"/>
              </w:rPr>
              <w:t>;</w:t>
            </w:r>
          </w:p>
          <w:p w14:paraId="309CDA63" w14:textId="19051E5A"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xml:space="preserve">- УО на </w:t>
            </w:r>
            <w:r w:rsidR="001F3073" w:rsidRPr="00DF70D8">
              <w:rPr>
                <w:rFonts w:ascii="Times New Roman" w:hAnsi="Times New Roman" w:cs="Times New Roman"/>
                <w:sz w:val="18"/>
                <w:szCs w:val="18"/>
                <w:lang w:val="bg-BG"/>
              </w:rPr>
              <w:t>ПРР</w:t>
            </w:r>
            <w:r w:rsidRPr="00DF70D8">
              <w:rPr>
                <w:rFonts w:ascii="Times New Roman" w:hAnsi="Times New Roman" w:cs="Times New Roman"/>
                <w:sz w:val="18"/>
                <w:szCs w:val="18"/>
                <w:lang w:val="bg-BG"/>
              </w:rPr>
              <w:t xml:space="preserve"> ще има задължения да събира и съхранява данните/документите съвместно с МРРБ по изпълнението и отчитането на извършената работа, съгласно изискванията на националното законодателство и правилата за документооборота на МРРБ.</w:t>
            </w:r>
          </w:p>
          <w:p w14:paraId="0C72D691" w14:textId="5F6A6C50"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xml:space="preserve">3. Анализи за оценка на състоянието на осведоменост, капацитет и удовлетвореност на потенциалните бенефициенти и други заинтересовани страни, служещи като механизъм за </w:t>
            </w:r>
            <w:r w:rsidR="001F3073" w:rsidRPr="00DF70D8">
              <w:rPr>
                <w:rFonts w:ascii="Times New Roman" w:hAnsi="Times New Roman" w:cs="Times New Roman"/>
                <w:sz w:val="18"/>
                <w:szCs w:val="18"/>
                <w:lang w:val="bg-BG"/>
              </w:rPr>
              <w:t xml:space="preserve">постоянна </w:t>
            </w:r>
            <w:r w:rsidRPr="00DF70D8">
              <w:rPr>
                <w:rFonts w:ascii="Times New Roman" w:hAnsi="Times New Roman" w:cs="Times New Roman"/>
                <w:sz w:val="18"/>
                <w:szCs w:val="18"/>
                <w:lang w:val="bg-BG"/>
              </w:rPr>
              <w:t>обратна връзка относно мерките за изграждане на капацитет, извършените операции и резултатите от приоритетите на програмата. За всеки анализ ще бъдат събрани следните документи:</w:t>
            </w:r>
          </w:p>
          <w:p w14:paraId="2C9E40E8" w14:textId="252CEBA3"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Документиране на извършената(</w:t>
            </w:r>
            <w:proofErr w:type="spellStart"/>
            <w:r w:rsidRPr="00DF70D8">
              <w:rPr>
                <w:rFonts w:ascii="Times New Roman" w:hAnsi="Times New Roman" w:cs="Times New Roman"/>
                <w:sz w:val="18"/>
                <w:szCs w:val="18"/>
                <w:lang w:val="bg-BG"/>
              </w:rPr>
              <w:t>ите</w:t>
            </w:r>
            <w:proofErr w:type="spellEnd"/>
            <w:r w:rsidRPr="00DF70D8">
              <w:rPr>
                <w:rFonts w:ascii="Times New Roman" w:hAnsi="Times New Roman" w:cs="Times New Roman"/>
                <w:sz w:val="18"/>
                <w:szCs w:val="18"/>
                <w:lang w:val="bg-BG"/>
              </w:rPr>
              <w:t>) процедура(и) за изготвяне на анализ</w:t>
            </w:r>
            <w:r w:rsidR="001F3073" w:rsidRPr="00DF70D8">
              <w:rPr>
                <w:rFonts w:ascii="Times New Roman" w:hAnsi="Times New Roman" w:cs="Times New Roman"/>
                <w:sz w:val="18"/>
                <w:szCs w:val="18"/>
                <w:lang w:val="bg-BG"/>
              </w:rPr>
              <w:t>и</w:t>
            </w:r>
            <w:r w:rsidRPr="00DF70D8">
              <w:rPr>
                <w:rFonts w:ascii="Times New Roman" w:hAnsi="Times New Roman" w:cs="Times New Roman"/>
                <w:sz w:val="18"/>
                <w:szCs w:val="18"/>
                <w:lang w:val="bg-BG"/>
              </w:rPr>
              <w:t>;</w:t>
            </w:r>
          </w:p>
          <w:p w14:paraId="4E2CE204" w14:textId="3DD7470B"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Сключен/и договор/и за извършване на анализи, вкл. административни документи, свързани с изпълнението на договори (протоколи, фактури и др.);</w:t>
            </w:r>
          </w:p>
          <w:p w14:paraId="2AE79636" w14:textId="0E25EA9B"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Доклади от проведените анализи;</w:t>
            </w:r>
          </w:p>
          <w:p w14:paraId="117A5888" w14:textId="47C40558"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Ръководството и контролът върху изпълнението на анализ</w:t>
            </w:r>
            <w:r w:rsidR="001F3073" w:rsidRPr="00DF70D8">
              <w:rPr>
                <w:rFonts w:ascii="Times New Roman" w:hAnsi="Times New Roman" w:cs="Times New Roman"/>
                <w:sz w:val="18"/>
                <w:szCs w:val="18"/>
                <w:lang w:val="bg-BG"/>
              </w:rPr>
              <w:t>ите</w:t>
            </w:r>
            <w:r w:rsidRPr="00DF70D8">
              <w:rPr>
                <w:rFonts w:ascii="Times New Roman" w:hAnsi="Times New Roman" w:cs="Times New Roman"/>
                <w:sz w:val="18"/>
                <w:szCs w:val="18"/>
                <w:lang w:val="bg-BG"/>
              </w:rPr>
              <w:t xml:space="preserve"> ще се осъществява от УО на </w:t>
            </w:r>
            <w:r w:rsidR="001F3073" w:rsidRPr="00DF70D8">
              <w:rPr>
                <w:rFonts w:ascii="Times New Roman" w:hAnsi="Times New Roman" w:cs="Times New Roman"/>
                <w:sz w:val="18"/>
                <w:szCs w:val="18"/>
                <w:lang w:val="bg-BG"/>
              </w:rPr>
              <w:t>ПРР</w:t>
            </w:r>
            <w:r w:rsidRPr="00DF70D8">
              <w:rPr>
                <w:rFonts w:ascii="Times New Roman" w:hAnsi="Times New Roman" w:cs="Times New Roman"/>
                <w:sz w:val="18"/>
                <w:szCs w:val="18"/>
                <w:lang w:val="bg-BG"/>
              </w:rPr>
              <w:t>.</w:t>
            </w:r>
          </w:p>
          <w:p w14:paraId="1DA314C0" w14:textId="77777777"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УО на ПДР ще има задължения да събира и съхранява данните/документите съвместно с МРРБ по изпълнението и отчитането на извършената работа, съгласно изискванията на националното законодателство и правилата за документооборота на МРРБ.</w:t>
            </w:r>
          </w:p>
          <w:p w14:paraId="145FDE32" w14:textId="77C6D9EC"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4. ИТ платформа, включваща мрежа от заинтересовани страни, обхващаща всички нива на управление, съдържаща. За извършване на дейността ще се събират следните документи:</w:t>
            </w:r>
          </w:p>
          <w:p w14:paraId="3CDBF2D7" w14:textId="22A339FB"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Документиране на процедура за избор на изпълнител за изготвяне на онлайн информационна платформа;</w:t>
            </w:r>
          </w:p>
          <w:p w14:paraId="5CFFF14E" w14:textId="0F75E555"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lastRenderedPageBreak/>
              <w:t>- Сключен е договор за изготвяне и поддръжка на онлайн информационната платформа, включително административни документи, свързани с изпълнението на договорите (протоколи, фактури и др.);</w:t>
            </w:r>
          </w:p>
          <w:p w14:paraId="61D916F3" w14:textId="6AF426C6"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Годишни отчети/информационни отчети за работата на платформата с данни за информационния ресурс, брой регистрации и посещаемост на платформата;</w:t>
            </w:r>
          </w:p>
          <w:p w14:paraId="60524B68" w14:textId="33D1B2C6"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xml:space="preserve">- Управлението и контролът по подготовката и поддръжката на онлайн информационната платформа ще се осъществява от УО на </w:t>
            </w:r>
            <w:r w:rsidR="001F3073" w:rsidRPr="00DF70D8">
              <w:rPr>
                <w:rFonts w:ascii="Times New Roman" w:hAnsi="Times New Roman" w:cs="Times New Roman"/>
                <w:sz w:val="18"/>
                <w:szCs w:val="18"/>
                <w:lang w:val="bg-BG"/>
              </w:rPr>
              <w:t>ПРР</w:t>
            </w:r>
            <w:r w:rsidRPr="00DF70D8">
              <w:rPr>
                <w:rFonts w:ascii="Times New Roman" w:hAnsi="Times New Roman" w:cs="Times New Roman"/>
                <w:sz w:val="18"/>
                <w:szCs w:val="18"/>
                <w:lang w:val="bg-BG"/>
              </w:rPr>
              <w:t>.</w:t>
            </w:r>
          </w:p>
          <w:p w14:paraId="75754193" w14:textId="08287775" w:rsidR="006736DA" w:rsidRPr="00DF70D8" w:rsidRDefault="006736DA"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xml:space="preserve">- УО на </w:t>
            </w:r>
            <w:r w:rsidR="001F3073" w:rsidRPr="00DF70D8">
              <w:rPr>
                <w:rFonts w:ascii="Times New Roman" w:hAnsi="Times New Roman" w:cs="Times New Roman"/>
                <w:sz w:val="18"/>
                <w:szCs w:val="18"/>
                <w:lang w:val="bg-BG"/>
              </w:rPr>
              <w:t>ПРР</w:t>
            </w:r>
            <w:r w:rsidRPr="00DF70D8">
              <w:rPr>
                <w:rFonts w:ascii="Times New Roman" w:hAnsi="Times New Roman" w:cs="Times New Roman"/>
                <w:sz w:val="18"/>
                <w:szCs w:val="18"/>
                <w:lang w:val="bg-BG"/>
              </w:rPr>
              <w:t xml:space="preserve"> ще има задължения да събира и съхранява данните/документите съвместно с МРРБ по изпълнението и отчитането на извършената работа, съгласно новото национално законодателство и правилата за документооборота на МРРБ.</w:t>
            </w:r>
          </w:p>
          <w:p w14:paraId="1A404D5E" w14:textId="7ECD4809" w:rsidR="00FB27E1" w:rsidRPr="00DF70D8" w:rsidRDefault="00FB27E1" w:rsidP="00FB27E1">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xml:space="preserve">5. Модел на многостепенно управление и екосистемен подход, който включва повишаване на осведомеността, обществени консултации, ангажиране на заинтересованите страни. Планиране и изпълнение на пилотни </w:t>
            </w:r>
            <w:r w:rsidR="00182EFE" w:rsidRPr="00DF70D8">
              <w:rPr>
                <w:rFonts w:ascii="Times New Roman" w:hAnsi="Times New Roman" w:cs="Times New Roman"/>
                <w:sz w:val="18"/>
                <w:szCs w:val="18"/>
                <w:lang w:val="bg-BG"/>
              </w:rPr>
              <w:t>инициативи</w:t>
            </w:r>
            <w:r w:rsidRPr="00DF70D8">
              <w:rPr>
                <w:rFonts w:ascii="Times New Roman" w:hAnsi="Times New Roman" w:cs="Times New Roman"/>
                <w:sz w:val="18"/>
                <w:szCs w:val="18"/>
                <w:lang w:val="bg-BG"/>
              </w:rPr>
              <w:t xml:space="preserve"> за насърчаване на ангажираността на заинтересованите страни в процеса на създаване и прилагане на политики със специален фокус върху НПО и младежките организации. Изготвяне на тригодишни планове за действие за повишаване на осведомеността, обществени консултации, ангажиране на заинтересованите страни:</w:t>
            </w:r>
          </w:p>
          <w:p w14:paraId="357C448A" w14:textId="59687BE6" w:rsidR="00FB27E1" w:rsidRPr="00DF70D8" w:rsidRDefault="00FB27E1" w:rsidP="00FB27E1">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xml:space="preserve">- Управлението и контролът на събитията за повишаване на осведомеността, обществените консултации, ангажирането на заинтересованите страни ще се осъществява от УО на </w:t>
            </w:r>
            <w:r w:rsidR="004306D0" w:rsidRPr="00DF70D8">
              <w:rPr>
                <w:rFonts w:ascii="Times New Roman" w:hAnsi="Times New Roman" w:cs="Times New Roman"/>
                <w:sz w:val="18"/>
                <w:szCs w:val="18"/>
                <w:lang w:val="bg-BG"/>
              </w:rPr>
              <w:t>ПРР</w:t>
            </w:r>
            <w:r w:rsidRPr="00DF70D8">
              <w:rPr>
                <w:rFonts w:ascii="Times New Roman" w:hAnsi="Times New Roman" w:cs="Times New Roman"/>
                <w:sz w:val="18"/>
                <w:szCs w:val="18"/>
                <w:lang w:val="bg-BG"/>
              </w:rPr>
              <w:t>;</w:t>
            </w:r>
          </w:p>
          <w:p w14:paraId="450701BF" w14:textId="4523101A" w:rsidR="00FB27E1" w:rsidRPr="00DF70D8" w:rsidRDefault="00FB27E1" w:rsidP="00FB27E1">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xml:space="preserve">- УО на </w:t>
            </w:r>
            <w:r w:rsidR="004306D0" w:rsidRPr="00DF70D8">
              <w:rPr>
                <w:rFonts w:ascii="Times New Roman" w:hAnsi="Times New Roman" w:cs="Times New Roman"/>
                <w:sz w:val="18"/>
                <w:szCs w:val="18"/>
                <w:lang w:val="bg-BG"/>
              </w:rPr>
              <w:t>ПРР</w:t>
            </w:r>
            <w:r w:rsidRPr="00DF70D8">
              <w:rPr>
                <w:rFonts w:ascii="Times New Roman" w:hAnsi="Times New Roman" w:cs="Times New Roman"/>
                <w:sz w:val="18"/>
                <w:szCs w:val="18"/>
                <w:lang w:val="bg-BG"/>
              </w:rPr>
              <w:t xml:space="preserve"> ще има задължения да събира и съхранява данните/документите съвместно с МРРБ по изпълнението и отчитането на извършената работа, съгласно новото национално законодателство и правилата за документооборота на МРРБ;</w:t>
            </w:r>
          </w:p>
          <w:p w14:paraId="23A43343" w14:textId="1328A4DB" w:rsidR="00C54721" w:rsidRPr="00DF70D8" w:rsidRDefault="00C54721" w:rsidP="00C54721">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В допълнение към собствената система за управление и контрол, УО разчита на следните компетентни органи на национално ниво, за да провери спазването на правилата на вътрешния пазар:</w:t>
            </w:r>
          </w:p>
          <w:p w14:paraId="6D4F693A" w14:textId="77777777" w:rsidR="00C54721" w:rsidRPr="00DF70D8" w:rsidRDefault="00C54721" w:rsidP="00C54721">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xml:space="preserve">- </w:t>
            </w:r>
            <w:r w:rsidRPr="00DF70D8">
              <w:rPr>
                <w:rFonts w:ascii="Times New Roman" w:hAnsi="Times New Roman" w:cs="Times New Roman"/>
                <w:sz w:val="18"/>
                <w:szCs w:val="18"/>
                <w:lang w:val="bg-BG"/>
              </w:rPr>
              <w:tab/>
              <w:t>за държавните помощи е дирекция „Държавни помощи и реален сектор” в Министерството на финансите;</w:t>
            </w:r>
          </w:p>
          <w:p w14:paraId="1A84D8BF" w14:textId="77777777" w:rsidR="00C54721" w:rsidRPr="00DF70D8" w:rsidRDefault="00C54721" w:rsidP="00C54721">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xml:space="preserve">- </w:t>
            </w:r>
            <w:r w:rsidRPr="00DF70D8">
              <w:rPr>
                <w:rFonts w:ascii="Times New Roman" w:hAnsi="Times New Roman" w:cs="Times New Roman"/>
                <w:sz w:val="18"/>
                <w:szCs w:val="18"/>
                <w:lang w:val="bg-BG"/>
              </w:rPr>
              <w:tab/>
              <w:t>като методическото ръководство на обществените поръчки се осъществява и от Агенцията за обществени поръчки към Министерството на финансите;</w:t>
            </w:r>
          </w:p>
          <w:p w14:paraId="757BE8D5" w14:textId="77777777" w:rsidR="00C54721" w:rsidRPr="00DF70D8" w:rsidRDefault="00C54721" w:rsidP="00C54721">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 xml:space="preserve">- </w:t>
            </w:r>
            <w:r w:rsidRPr="00DF70D8">
              <w:rPr>
                <w:rFonts w:ascii="Times New Roman" w:hAnsi="Times New Roman" w:cs="Times New Roman"/>
                <w:sz w:val="18"/>
                <w:szCs w:val="18"/>
                <w:lang w:val="bg-BG"/>
              </w:rPr>
              <w:tab/>
              <w:t xml:space="preserve">Освен това Комисията за защита на конкуренцията (КЗК) има за предмет на дейност всички искания за установяване на нарушения на свободната пазарна конкуренция, пряко прилагане на разпоредбите на чл. 81 и чл. 82 от Договора за ЕО, сътрудничество с ЕК и другите национални органи по конкуренцията на страните членки на ЕО в съответствие с Регламент № 1/2003 на ЕО и Регламент № 139/2004 на ЕО, извършване на секторни анализи и застъпничество на конкуренцията. По реда и правилата, предвидени в Закона за обществените поръчки и Закона за концесиите, Комисията разглежда жалбите за </w:t>
            </w:r>
            <w:r w:rsidRPr="00DF70D8">
              <w:rPr>
                <w:rFonts w:ascii="Times New Roman" w:hAnsi="Times New Roman" w:cs="Times New Roman"/>
                <w:sz w:val="18"/>
                <w:szCs w:val="18"/>
                <w:lang w:val="bg-BG"/>
              </w:rPr>
              <w:lastRenderedPageBreak/>
              <w:t>законосъобразност на решение, действия или бездействия/бездействия на възложителите или концесионерите в процедурата за възлагане на обществена поръчка или възлагане на концесия.</w:t>
            </w:r>
          </w:p>
          <w:p w14:paraId="37CA8778" w14:textId="54F3DBBF" w:rsidR="00C54721" w:rsidRPr="00DF70D8" w:rsidRDefault="00C54721" w:rsidP="006736DA">
            <w:pPr>
              <w:jc w:val="both"/>
              <w:rPr>
                <w:rFonts w:ascii="Times New Roman" w:hAnsi="Times New Roman" w:cs="Times New Roman"/>
                <w:sz w:val="18"/>
                <w:szCs w:val="18"/>
                <w:lang w:val="bg-BG"/>
              </w:rPr>
            </w:pPr>
            <w:r w:rsidRPr="00DF70D8">
              <w:rPr>
                <w:rFonts w:ascii="Times New Roman" w:hAnsi="Times New Roman" w:cs="Times New Roman"/>
                <w:sz w:val="18"/>
                <w:szCs w:val="18"/>
                <w:lang w:val="bg-BG"/>
              </w:rPr>
              <w:t>Те се отнасят конкретно и пряко до вътрешния пазар, докато други институции за финансов контрол и одит също могат да бъдат приложими в специфични случаи (напр. Агенция за държавна финансова инспекция, българска Сметна палата).</w:t>
            </w:r>
          </w:p>
        </w:tc>
      </w:tr>
      <w:tr w:rsidR="008B5F94" w:rsidRPr="007A44A5" w14:paraId="702BBBEB" w14:textId="77777777" w:rsidTr="00B710E5">
        <w:trPr>
          <w:trHeight w:val="227"/>
        </w:trPr>
        <w:tc>
          <w:tcPr>
            <w:tcW w:w="3304" w:type="dxa"/>
            <w:shd w:val="clear" w:color="auto" w:fill="auto"/>
            <w:noWrap/>
            <w:vAlign w:val="center"/>
          </w:tcPr>
          <w:p w14:paraId="23E066AE" w14:textId="77777777" w:rsidR="00C51147" w:rsidRPr="00A41BBD" w:rsidRDefault="008B5F94" w:rsidP="00C51147">
            <w:pPr>
              <w:spacing w:before="120"/>
              <w:jc w:val="both"/>
              <w:rPr>
                <w:rFonts w:ascii="inherit" w:hAnsi="inherit"/>
                <w:sz w:val="18"/>
                <w:szCs w:val="18"/>
                <w:lang w:val="bg-BG" w:eastAsia="bg-BG"/>
              </w:rPr>
            </w:pPr>
            <w:r w:rsidRPr="007A44A5">
              <w:rPr>
                <w:rFonts w:ascii="Times New Roman" w:hAnsi="Times New Roman" w:cs="Times New Roman"/>
                <w:sz w:val="18"/>
                <w:szCs w:val="18"/>
              </w:rPr>
              <w:lastRenderedPageBreak/>
              <w:t xml:space="preserve">11. </w:t>
            </w:r>
            <w:r w:rsidR="00C51147" w:rsidRPr="00A41BBD">
              <w:rPr>
                <w:rFonts w:ascii="inherit" w:hAnsi="inherit"/>
                <w:sz w:val="18"/>
                <w:szCs w:val="18"/>
                <w:lang w:val="bg-BG" w:eastAsia="bg-BG"/>
              </w:rPr>
              <w:t>Използване на безвъзмездни средства под формата на финансиране, което не е свързано с разходите</w:t>
            </w:r>
          </w:p>
          <w:p w14:paraId="37CBFA8E" w14:textId="72CFE5D8" w:rsidR="008B5F94" w:rsidRPr="007A44A5" w:rsidRDefault="00C51147" w:rsidP="00C51147">
            <w:pPr>
              <w:jc w:val="both"/>
              <w:rPr>
                <w:rFonts w:ascii="Times New Roman" w:hAnsi="Times New Roman" w:cs="Times New Roman"/>
                <w:sz w:val="18"/>
                <w:szCs w:val="18"/>
              </w:rPr>
            </w:pPr>
            <w:r w:rsidRPr="00A41BBD">
              <w:rPr>
                <w:rFonts w:ascii="inherit" w:hAnsi="inherit"/>
                <w:sz w:val="18"/>
                <w:szCs w:val="18"/>
                <w:lang w:val="bg-BG" w:eastAsia="bg-BG"/>
              </w:rPr>
              <w:t xml:space="preserve">Държавите членки предоставят ли на </w:t>
            </w:r>
            <w:proofErr w:type="spellStart"/>
            <w:r w:rsidRPr="00A41BBD">
              <w:rPr>
                <w:rFonts w:ascii="inherit" w:hAnsi="inherit"/>
                <w:sz w:val="18"/>
                <w:szCs w:val="18"/>
                <w:lang w:val="bg-BG" w:eastAsia="bg-BG"/>
              </w:rPr>
              <w:t>бенефициерите</w:t>
            </w:r>
            <w:proofErr w:type="spellEnd"/>
            <w:r w:rsidRPr="00A41BBD">
              <w:rPr>
                <w:rFonts w:ascii="inherit" w:hAnsi="inherit"/>
                <w:sz w:val="18"/>
                <w:szCs w:val="18"/>
                <w:lang w:val="bg-BG" w:eastAsia="bg-BG"/>
              </w:rPr>
              <w:t xml:space="preserve"> безвъзмездни средства под формата на финансиране, което не е свързано с разходите? Да/Не</w:t>
            </w:r>
          </w:p>
        </w:tc>
        <w:tc>
          <w:tcPr>
            <w:tcW w:w="10065" w:type="dxa"/>
            <w:gridSpan w:val="3"/>
            <w:vAlign w:val="center"/>
          </w:tcPr>
          <w:p w14:paraId="2757D8FA" w14:textId="47CF8831" w:rsidR="008B5F94" w:rsidRPr="007A44A5" w:rsidRDefault="00DF70D8" w:rsidP="0050161B">
            <w:pPr>
              <w:jc w:val="both"/>
              <w:rPr>
                <w:rFonts w:ascii="Times New Roman" w:hAnsi="Times New Roman" w:cs="Times New Roman"/>
                <w:sz w:val="18"/>
                <w:szCs w:val="18"/>
              </w:rPr>
            </w:pPr>
            <w:r>
              <w:rPr>
                <w:rFonts w:ascii="Times New Roman" w:hAnsi="Times New Roman" w:cs="Times New Roman"/>
                <w:sz w:val="18"/>
                <w:szCs w:val="18"/>
                <w:lang w:val="bg-BG"/>
              </w:rPr>
              <w:t>Да</w:t>
            </w:r>
          </w:p>
        </w:tc>
      </w:tr>
      <w:tr w:rsidR="008B5F94" w:rsidRPr="006F186F" w14:paraId="1536675F" w14:textId="77777777" w:rsidTr="00B710E5">
        <w:trPr>
          <w:trHeight w:val="227"/>
        </w:trPr>
        <w:tc>
          <w:tcPr>
            <w:tcW w:w="3304" w:type="dxa"/>
            <w:shd w:val="clear" w:color="auto" w:fill="auto"/>
            <w:noWrap/>
            <w:vAlign w:val="center"/>
          </w:tcPr>
          <w:p w14:paraId="1D2BD844" w14:textId="77777777" w:rsidR="00C51147" w:rsidRPr="00A41BBD" w:rsidRDefault="008B5F94" w:rsidP="00C51147">
            <w:pPr>
              <w:spacing w:before="120"/>
              <w:jc w:val="both"/>
              <w:rPr>
                <w:rFonts w:ascii="inherit" w:hAnsi="inherit"/>
                <w:sz w:val="18"/>
                <w:szCs w:val="18"/>
                <w:lang w:val="bg-BG" w:eastAsia="bg-BG"/>
              </w:rPr>
            </w:pPr>
            <w:r w:rsidRPr="007A44A5">
              <w:rPr>
                <w:rFonts w:ascii="Times New Roman" w:hAnsi="Times New Roman" w:cs="Times New Roman"/>
                <w:sz w:val="18"/>
                <w:szCs w:val="18"/>
              </w:rPr>
              <w:t xml:space="preserve">12. </w:t>
            </w:r>
            <w:r w:rsidR="00C51147" w:rsidRPr="00A41BBD">
              <w:rPr>
                <w:rFonts w:ascii="inherit" w:hAnsi="inherit"/>
                <w:sz w:val="18"/>
                <w:szCs w:val="18"/>
                <w:lang w:val="bg-BG" w:eastAsia="bg-BG"/>
              </w:rPr>
              <w:t>Мерки за осигуряване на одитна следа</w:t>
            </w:r>
          </w:p>
          <w:p w14:paraId="03AE8D28" w14:textId="36146BC4" w:rsidR="008B5F94" w:rsidRPr="007A44A5" w:rsidRDefault="00C51147" w:rsidP="00C51147">
            <w:pPr>
              <w:jc w:val="both"/>
              <w:rPr>
                <w:rFonts w:ascii="Times New Roman" w:hAnsi="Times New Roman" w:cs="Times New Roman"/>
                <w:sz w:val="18"/>
                <w:szCs w:val="18"/>
              </w:rPr>
            </w:pPr>
            <w:r w:rsidRPr="00A41BBD">
              <w:rPr>
                <w:rFonts w:ascii="inherit" w:hAnsi="inherit"/>
                <w:sz w:val="18"/>
                <w:szCs w:val="18"/>
                <w:lang w:val="bg-BG" w:eastAsia="bg-BG"/>
              </w:rPr>
              <w:t>Моля, посочете субекта/субектите, отговарящи за тези мерки.</w:t>
            </w:r>
          </w:p>
        </w:tc>
        <w:tc>
          <w:tcPr>
            <w:tcW w:w="10065" w:type="dxa"/>
            <w:gridSpan w:val="3"/>
            <w:vAlign w:val="center"/>
          </w:tcPr>
          <w:p w14:paraId="35ED26F2" w14:textId="6D4691D7" w:rsidR="00D57941" w:rsidRPr="007A44A5" w:rsidRDefault="00D57941" w:rsidP="00D57941">
            <w:pPr>
              <w:jc w:val="both"/>
              <w:rPr>
                <w:rFonts w:ascii="Times New Roman" w:hAnsi="Times New Roman" w:cs="Times New Roman"/>
                <w:sz w:val="18"/>
                <w:szCs w:val="18"/>
              </w:rPr>
            </w:pPr>
            <w:r w:rsidRPr="007A44A5">
              <w:rPr>
                <w:rFonts w:ascii="Times New Roman" w:hAnsi="Times New Roman" w:cs="Times New Roman"/>
                <w:sz w:val="18"/>
                <w:szCs w:val="18"/>
              </w:rPr>
              <w:t xml:space="preserve">При подготовката и изпълнението на всички дейности ще се спазват процедурите за осигуряване на адекватна одитна пътека съгласно Системите за финансово управление и контрол на </w:t>
            </w:r>
            <w:r w:rsidR="004306D0">
              <w:rPr>
                <w:rFonts w:ascii="Times New Roman" w:hAnsi="Times New Roman" w:cs="Times New Roman"/>
                <w:sz w:val="18"/>
                <w:szCs w:val="18"/>
                <w:lang w:val="bg-BG"/>
              </w:rPr>
              <w:t>ПРР</w:t>
            </w:r>
            <w:r w:rsidRPr="007A44A5">
              <w:rPr>
                <w:rFonts w:ascii="Times New Roman" w:hAnsi="Times New Roman" w:cs="Times New Roman"/>
                <w:sz w:val="18"/>
                <w:szCs w:val="18"/>
              </w:rPr>
              <w:t xml:space="preserve">. УО на </w:t>
            </w:r>
            <w:r w:rsidR="004306D0">
              <w:rPr>
                <w:rFonts w:ascii="Times New Roman" w:hAnsi="Times New Roman" w:cs="Times New Roman"/>
                <w:sz w:val="18"/>
                <w:szCs w:val="18"/>
                <w:lang w:val="bg-BG"/>
              </w:rPr>
              <w:t>ПРР</w:t>
            </w:r>
            <w:r w:rsidR="004306D0" w:rsidRPr="007A44A5">
              <w:rPr>
                <w:rFonts w:ascii="Times New Roman" w:hAnsi="Times New Roman" w:cs="Times New Roman"/>
                <w:sz w:val="18"/>
                <w:szCs w:val="18"/>
              </w:rPr>
              <w:t xml:space="preserve"> </w:t>
            </w:r>
            <w:r w:rsidRPr="007A44A5">
              <w:rPr>
                <w:rFonts w:ascii="Times New Roman" w:hAnsi="Times New Roman" w:cs="Times New Roman"/>
                <w:sz w:val="18"/>
                <w:szCs w:val="18"/>
              </w:rPr>
              <w:t>отговаря за изпълнението на тези процедури. По-специално ще се съхраняват всички документи, които:</w:t>
            </w:r>
          </w:p>
          <w:p w14:paraId="65FBD533" w14:textId="24518C90" w:rsidR="00D57941" w:rsidRPr="003F05B0" w:rsidRDefault="00D57941" w:rsidP="003F05B0">
            <w:pPr>
              <w:pStyle w:val="ListParagraph"/>
              <w:numPr>
                <w:ilvl w:val="0"/>
                <w:numId w:val="20"/>
              </w:numPr>
              <w:rPr>
                <w:sz w:val="18"/>
                <w:szCs w:val="18"/>
              </w:rPr>
            </w:pPr>
            <w:r w:rsidRPr="003F05B0">
              <w:rPr>
                <w:sz w:val="18"/>
                <w:szCs w:val="18"/>
              </w:rPr>
              <w:t>позволява проверка на прилагането на критериите за подбор, включително както и документация, свързана с тръжни процедури, проведени за избор на външни изпълнители (където е приложимо), и свързаните с тях административни документи (договори, протоколи, фактури и др.)</w:t>
            </w:r>
          </w:p>
          <w:p w14:paraId="2CA01AF1" w14:textId="44F69B3D" w:rsidR="008B5F94" w:rsidRPr="003F05B0" w:rsidRDefault="00D57941" w:rsidP="003F05B0">
            <w:pPr>
              <w:pStyle w:val="ListParagraph"/>
              <w:numPr>
                <w:ilvl w:val="0"/>
                <w:numId w:val="24"/>
              </w:numPr>
              <w:rPr>
                <w:sz w:val="18"/>
                <w:szCs w:val="18"/>
              </w:rPr>
            </w:pPr>
            <w:r w:rsidRPr="003F05B0">
              <w:rPr>
                <w:sz w:val="18"/>
                <w:szCs w:val="18"/>
              </w:rPr>
              <w:t>съдържа по отношение на всяко действие доклади и материали от извършената работа и доклади за извършени проверки и одити (където е приложимо).</w:t>
            </w:r>
          </w:p>
        </w:tc>
      </w:tr>
    </w:tbl>
    <w:p w14:paraId="6328567D" w14:textId="77777777" w:rsidR="00F27887" w:rsidRPr="006F186F" w:rsidRDefault="00F27887" w:rsidP="0050161B">
      <w:pPr>
        <w:jc w:val="both"/>
        <w:rPr>
          <w:rFonts w:ascii="Times New Roman" w:hAnsi="Times New Roman" w:cs="Times New Roman"/>
        </w:rPr>
      </w:pPr>
    </w:p>
    <w:p w14:paraId="3C4779E3" w14:textId="77777777" w:rsidR="00E152A5" w:rsidRPr="006F186F" w:rsidRDefault="00E152A5" w:rsidP="00236180">
      <w:pPr>
        <w:jc w:val="both"/>
        <w:rPr>
          <w:rFonts w:ascii="Times New Roman" w:hAnsi="Times New Roman" w:cs="Times New Roman"/>
          <w:sz w:val="18"/>
          <w:szCs w:val="18"/>
        </w:rPr>
      </w:pPr>
    </w:p>
    <w:sectPr w:rsidR="00E152A5" w:rsidRPr="006F186F" w:rsidSect="00C45BDC">
      <w:pgSz w:w="16838" w:h="11906" w:orient="landscape"/>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E012" w14:textId="77777777" w:rsidR="00B31689" w:rsidRDefault="00B31689" w:rsidP="00F27887">
      <w:pPr>
        <w:spacing w:after="0" w:line="240" w:lineRule="auto"/>
      </w:pPr>
      <w:r>
        <w:separator/>
      </w:r>
    </w:p>
  </w:endnote>
  <w:endnote w:type="continuationSeparator" w:id="0">
    <w:p w14:paraId="3F046BDC" w14:textId="77777777" w:rsidR="00B31689" w:rsidRDefault="00B31689" w:rsidP="00F2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2D02" w14:textId="6F41CF0D" w:rsidR="00B61FCA" w:rsidRPr="00F27887" w:rsidRDefault="00B61FCA" w:rsidP="00F27887">
    <w:r w:rsidRPr="00F27887">
      <w:fldChar w:fldCharType="begin"/>
    </w:r>
    <w:r w:rsidRPr="00F27887">
      <w:instrText xml:space="preserve"> PAGE   \* MERGEFORMAT </w:instrText>
    </w:r>
    <w:r w:rsidRPr="00F27887">
      <w:fldChar w:fldCharType="separate"/>
    </w:r>
    <w:r w:rsidR="00DF70D8">
      <w:rPr>
        <w:noProof/>
      </w:rPr>
      <w:t>1</w:t>
    </w:r>
    <w:r w:rsidRPr="00F27887">
      <w:fldChar w:fldCharType="end"/>
    </w:r>
  </w:p>
  <w:p w14:paraId="2D35A747" w14:textId="77777777" w:rsidR="00B61FCA" w:rsidRPr="00F27887" w:rsidRDefault="00B61FCA" w:rsidP="00F27887"/>
  <w:p w14:paraId="7E5F2AE0" w14:textId="77777777" w:rsidR="00B61FCA" w:rsidRPr="00F27887" w:rsidRDefault="00B61FCA" w:rsidP="00F27887"/>
  <w:p w14:paraId="23FCDCA5" w14:textId="77777777" w:rsidR="00B61FCA" w:rsidRPr="00F27887" w:rsidRDefault="00B61FCA" w:rsidP="00F27887"/>
  <w:p w14:paraId="36A976CA" w14:textId="77777777" w:rsidR="00B61FCA" w:rsidRPr="00F27887" w:rsidRDefault="00B61FCA" w:rsidP="00F278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24B2" w14:textId="72910641" w:rsidR="00B61FCA" w:rsidRPr="00F27887" w:rsidRDefault="00B61FCA" w:rsidP="00F9321B">
    <w:pPr>
      <w:jc w:val="right"/>
    </w:pPr>
    <w:r w:rsidRPr="00F27887">
      <w:fldChar w:fldCharType="begin"/>
    </w:r>
    <w:r w:rsidRPr="00F27887">
      <w:instrText xml:space="preserve"> PAGE   \* MERGEFORMAT </w:instrText>
    </w:r>
    <w:r w:rsidRPr="00F27887">
      <w:fldChar w:fldCharType="separate"/>
    </w:r>
    <w:r w:rsidR="00DF70D8">
      <w:rPr>
        <w:noProof/>
      </w:rPr>
      <w:t>14</w:t>
    </w:r>
    <w:r w:rsidRPr="00F27887">
      <w:fldChar w:fldCharType="end"/>
    </w:r>
  </w:p>
  <w:p w14:paraId="241EC477" w14:textId="77777777" w:rsidR="00B61FCA" w:rsidRPr="00F27887" w:rsidRDefault="00B61FCA" w:rsidP="00F27887"/>
  <w:p w14:paraId="4B63D030" w14:textId="77777777" w:rsidR="00B61FCA" w:rsidRPr="00F27887" w:rsidRDefault="00B61FCA" w:rsidP="00F27887"/>
  <w:p w14:paraId="4F369BCD" w14:textId="77777777" w:rsidR="00B61FCA" w:rsidRPr="00F27887" w:rsidRDefault="00B61FCA" w:rsidP="00F27887"/>
  <w:p w14:paraId="7D03E38E" w14:textId="77777777" w:rsidR="00B61FCA" w:rsidRPr="00F27887" w:rsidRDefault="00B61FCA" w:rsidP="00F27887"/>
  <w:p w14:paraId="193DC7DB" w14:textId="77777777" w:rsidR="00B61FCA" w:rsidRPr="00F27887" w:rsidRDefault="00B61FCA" w:rsidP="00F278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48855" w14:textId="77777777" w:rsidR="00B31689" w:rsidRDefault="00B31689" w:rsidP="00F27887">
      <w:pPr>
        <w:spacing w:after="0" w:line="240" w:lineRule="auto"/>
      </w:pPr>
      <w:r>
        <w:separator/>
      </w:r>
    </w:p>
  </w:footnote>
  <w:footnote w:type="continuationSeparator" w:id="0">
    <w:p w14:paraId="46AD8C66" w14:textId="77777777" w:rsidR="00B31689" w:rsidRDefault="00B31689" w:rsidP="00F27887">
      <w:pPr>
        <w:spacing w:after="0" w:line="240" w:lineRule="auto"/>
      </w:pPr>
      <w:r>
        <w:continuationSeparator/>
      </w:r>
    </w:p>
  </w:footnote>
  <w:footnote w:id="1">
    <w:p w14:paraId="58FFAE3B" w14:textId="46E99691" w:rsidR="00B61FCA" w:rsidRPr="00F27887" w:rsidRDefault="00B61FCA" w:rsidP="00F27887">
      <w:r w:rsidRPr="00F27887">
        <w:footnoteRef/>
      </w:r>
      <w:r w:rsidRPr="00F27887">
        <w:tab/>
      </w:r>
      <w:r w:rsidR="00C51147" w:rsidRPr="00C51147">
        <w:t>Това се отнася до кода за измерението на областта на интервенция в таблица 1 от приложение I към РОР и приложение IV към Регламента за ЕФМДРА</w:t>
      </w:r>
      <w:r w:rsidRPr="00F27887">
        <w:t>.</w:t>
      </w:r>
    </w:p>
  </w:footnote>
  <w:footnote w:id="2">
    <w:p w14:paraId="63CBE300" w14:textId="50D816F2" w:rsidR="00B61FCA" w:rsidRPr="00F27887" w:rsidRDefault="00B61FCA" w:rsidP="00F27887">
      <w:r w:rsidRPr="00F27887">
        <w:footnoteRef/>
      </w:r>
      <w:r w:rsidRPr="00F27887">
        <w:tab/>
      </w:r>
      <w:r w:rsidR="00C51147" w:rsidRPr="00C51147">
        <w:t>Това се отнася до кода на общия показател, ако е приложимо</w:t>
      </w:r>
      <w:r w:rsidRPr="00F2788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E606" w14:textId="77777777" w:rsidR="00B61FCA" w:rsidRPr="00F27887" w:rsidRDefault="00B61FCA" w:rsidP="00F278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1D2"/>
    <w:multiLevelType w:val="hybridMultilevel"/>
    <w:tmpl w:val="0896B0B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028856EC"/>
    <w:multiLevelType w:val="hybridMultilevel"/>
    <w:tmpl w:val="AC6660F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092C06FA"/>
    <w:multiLevelType w:val="hybridMultilevel"/>
    <w:tmpl w:val="8BA4B514"/>
    <w:lvl w:ilvl="0" w:tplc="0402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5439E"/>
    <w:multiLevelType w:val="hybridMultilevel"/>
    <w:tmpl w:val="A184C9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F44587A"/>
    <w:multiLevelType w:val="hybridMultilevel"/>
    <w:tmpl w:val="32D09E1E"/>
    <w:lvl w:ilvl="0" w:tplc="C1880F3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9306C"/>
    <w:multiLevelType w:val="hybridMultilevel"/>
    <w:tmpl w:val="D3AAB3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94C306B"/>
    <w:multiLevelType w:val="hybridMultilevel"/>
    <w:tmpl w:val="4CCCBAD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A557693"/>
    <w:multiLevelType w:val="hybridMultilevel"/>
    <w:tmpl w:val="C7909818"/>
    <w:lvl w:ilvl="0" w:tplc="0402000F">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ADD3D91"/>
    <w:multiLevelType w:val="hybridMultilevel"/>
    <w:tmpl w:val="C07AAF44"/>
    <w:lvl w:ilvl="0" w:tplc="F0660AE2">
      <w:start w:val="66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DE7559C"/>
    <w:multiLevelType w:val="hybridMultilevel"/>
    <w:tmpl w:val="856845E2"/>
    <w:lvl w:ilvl="0" w:tplc="A74EFB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66194"/>
    <w:multiLevelType w:val="hybridMultilevel"/>
    <w:tmpl w:val="FDDC91E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2ACF7E1B"/>
    <w:multiLevelType w:val="hybridMultilevel"/>
    <w:tmpl w:val="14625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845095"/>
    <w:multiLevelType w:val="hybridMultilevel"/>
    <w:tmpl w:val="369418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7144A2C"/>
    <w:multiLevelType w:val="hybridMultilevel"/>
    <w:tmpl w:val="5E16C4DE"/>
    <w:lvl w:ilvl="0" w:tplc="E18A25C6">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3322D6"/>
    <w:multiLevelType w:val="hybridMultilevel"/>
    <w:tmpl w:val="457E504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5" w15:restartNumberingAfterBreak="0">
    <w:nsid w:val="46C11311"/>
    <w:multiLevelType w:val="hybridMultilevel"/>
    <w:tmpl w:val="4ACCF69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B0E290D"/>
    <w:multiLevelType w:val="hybridMultilevel"/>
    <w:tmpl w:val="0FD8358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C9D5678"/>
    <w:multiLevelType w:val="hybridMultilevel"/>
    <w:tmpl w:val="634E37B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D84064E"/>
    <w:multiLevelType w:val="hybridMultilevel"/>
    <w:tmpl w:val="48F073DA"/>
    <w:lvl w:ilvl="0" w:tplc="0402000F">
      <w:start w:val="7"/>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9" w15:restartNumberingAfterBreak="0">
    <w:nsid w:val="50D24A51"/>
    <w:multiLevelType w:val="hybridMultilevel"/>
    <w:tmpl w:val="ADCE2BEA"/>
    <w:lvl w:ilvl="0" w:tplc="927E65D2">
      <w:start w:val="6"/>
      <w:numFmt w:val="decimal"/>
      <w:lvlText w:val="%1."/>
      <w:lvlJc w:val="left"/>
      <w:pPr>
        <w:tabs>
          <w:tab w:val="num" w:pos="705"/>
        </w:tabs>
        <w:ind w:left="705" w:hanging="705"/>
      </w:pPr>
      <w:rPr>
        <w:rFonts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F440D5B"/>
    <w:multiLevelType w:val="hybridMultilevel"/>
    <w:tmpl w:val="824AE056"/>
    <w:lvl w:ilvl="0" w:tplc="E18A25C6">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65EB3CF6"/>
    <w:multiLevelType w:val="hybridMultilevel"/>
    <w:tmpl w:val="D2E677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CBB04CB"/>
    <w:multiLevelType w:val="hybridMultilevel"/>
    <w:tmpl w:val="0DFE0E6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7B7D2B17"/>
    <w:multiLevelType w:val="hybridMultilevel"/>
    <w:tmpl w:val="AA283EE4"/>
    <w:lvl w:ilvl="0" w:tplc="A5B6B492">
      <w:start w:val="1"/>
      <w:numFmt w:val="decimal"/>
      <w:lvlText w:val="%1."/>
      <w:lvlJc w:val="left"/>
      <w:pPr>
        <w:tabs>
          <w:tab w:val="num" w:pos="705"/>
        </w:tabs>
        <w:ind w:left="705" w:hanging="705"/>
      </w:pPr>
      <w:rPr>
        <w:rFonts w:cs="Times New Roman" w:hint="default"/>
      </w:rPr>
    </w:lvl>
    <w:lvl w:ilvl="1" w:tplc="04020005">
      <w:start w:val="1"/>
      <w:numFmt w:val="bullet"/>
      <w:lvlText w:val=""/>
      <w:lvlJc w:val="left"/>
      <w:pPr>
        <w:tabs>
          <w:tab w:val="num" w:pos="1080"/>
        </w:tabs>
        <w:ind w:left="1080" w:hanging="360"/>
      </w:pPr>
      <w:rPr>
        <w:rFonts w:ascii="Wingdings" w:hAnsi="Wingdings" w:hint="default"/>
      </w:rPr>
    </w:lvl>
    <w:lvl w:ilvl="2" w:tplc="F5F2F43C">
      <w:start w:val="1"/>
      <w:numFmt w:val="decimal"/>
      <w:lvlText w:val="%3."/>
      <w:lvlJc w:val="left"/>
      <w:pPr>
        <w:tabs>
          <w:tab w:val="num" w:pos="360"/>
        </w:tabs>
        <w:ind w:left="360" w:hanging="360"/>
      </w:pPr>
      <w:rPr>
        <w:rFonts w:cs="Times New Roman" w:hint="default"/>
        <w:b/>
        <w:i w:val="0"/>
      </w:rPr>
    </w:lvl>
    <w:lvl w:ilvl="3" w:tplc="04020001">
      <w:start w:val="1"/>
      <w:numFmt w:val="bullet"/>
      <w:lvlText w:val=""/>
      <w:lvlJc w:val="left"/>
      <w:pPr>
        <w:ind w:left="502" w:hanging="360"/>
      </w:pPr>
      <w:rPr>
        <w:rFonts w:ascii="Symbol" w:hAnsi="Symbol" w:hint="default"/>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num w:numId="1" w16cid:durableId="52848676">
    <w:abstractNumId w:val="23"/>
  </w:num>
  <w:num w:numId="2" w16cid:durableId="91095969">
    <w:abstractNumId w:val="14"/>
  </w:num>
  <w:num w:numId="3" w16cid:durableId="117917228">
    <w:abstractNumId w:val="9"/>
  </w:num>
  <w:num w:numId="4" w16cid:durableId="1263686482">
    <w:abstractNumId w:val="12"/>
  </w:num>
  <w:num w:numId="5" w16cid:durableId="1974024133">
    <w:abstractNumId w:val="16"/>
  </w:num>
  <w:num w:numId="6" w16cid:durableId="1217931860">
    <w:abstractNumId w:val="11"/>
  </w:num>
  <w:num w:numId="7" w16cid:durableId="1891727099">
    <w:abstractNumId w:val="4"/>
  </w:num>
  <w:num w:numId="8" w16cid:durableId="1606881023">
    <w:abstractNumId w:val="15"/>
  </w:num>
  <w:num w:numId="9" w16cid:durableId="1994865583">
    <w:abstractNumId w:val="5"/>
  </w:num>
  <w:num w:numId="10" w16cid:durableId="2137332947">
    <w:abstractNumId w:val="17"/>
  </w:num>
  <w:num w:numId="11" w16cid:durableId="1210191718">
    <w:abstractNumId w:val="1"/>
  </w:num>
  <w:num w:numId="12" w16cid:durableId="852459201">
    <w:abstractNumId w:val="22"/>
  </w:num>
  <w:num w:numId="13" w16cid:durableId="877089056">
    <w:abstractNumId w:val="10"/>
  </w:num>
  <w:num w:numId="14" w16cid:durableId="97793153">
    <w:abstractNumId w:val="20"/>
  </w:num>
  <w:num w:numId="15" w16cid:durableId="535972290">
    <w:abstractNumId w:val="0"/>
  </w:num>
  <w:num w:numId="16" w16cid:durableId="987172633">
    <w:abstractNumId w:val="19"/>
  </w:num>
  <w:num w:numId="17" w16cid:durableId="1768113372">
    <w:abstractNumId w:val="13"/>
  </w:num>
  <w:num w:numId="18" w16cid:durableId="677316469">
    <w:abstractNumId w:val="18"/>
  </w:num>
  <w:num w:numId="19" w16cid:durableId="1462992033">
    <w:abstractNumId w:val="21"/>
  </w:num>
  <w:num w:numId="20" w16cid:durableId="290863374">
    <w:abstractNumId w:val="2"/>
  </w:num>
  <w:num w:numId="21" w16cid:durableId="2003048860">
    <w:abstractNumId w:val="6"/>
  </w:num>
  <w:num w:numId="22" w16cid:durableId="1396318713">
    <w:abstractNumId w:val="8"/>
  </w:num>
  <w:num w:numId="23" w16cid:durableId="1077168980">
    <w:abstractNumId w:val="7"/>
  </w:num>
  <w:num w:numId="24" w16cid:durableId="915169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27887"/>
    <w:rsid w:val="000005AF"/>
    <w:rsid w:val="00005666"/>
    <w:rsid w:val="0001054C"/>
    <w:rsid w:val="00013152"/>
    <w:rsid w:val="00015511"/>
    <w:rsid w:val="0003249E"/>
    <w:rsid w:val="00036A7B"/>
    <w:rsid w:val="00037A40"/>
    <w:rsid w:val="000413F5"/>
    <w:rsid w:val="00043506"/>
    <w:rsid w:val="0004548D"/>
    <w:rsid w:val="000618CF"/>
    <w:rsid w:val="000623FD"/>
    <w:rsid w:val="0006418D"/>
    <w:rsid w:val="00072D04"/>
    <w:rsid w:val="00095F6E"/>
    <w:rsid w:val="000C024A"/>
    <w:rsid w:val="000D5AA9"/>
    <w:rsid w:val="000D75BD"/>
    <w:rsid w:val="000E567E"/>
    <w:rsid w:val="00102350"/>
    <w:rsid w:val="00113AE0"/>
    <w:rsid w:val="00127BD9"/>
    <w:rsid w:val="00130EF6"/>
    <w:rsid w:val="00131611"/>
    <w:rsid w:val="001456EF"/>
    <w:rsid w:val="00146E60"/>
    <w:rsid w:val="00151C2A"/>
    <w:rsid w:val="00155973"/>
    <w:rsid w:val="00160706"/>
    <w:rsid w:val="001607DA"/>
    <w:rsid w:val="00164898"/>
    <w:rsid w:val="00173E97"/>
    <w:rsid w:val="00181FB7"/>
    <w:rsid w:val="00182EFE"/>
    <w:rsid w:val="001A6551"/>
    <w:rsid w:val="001A65FA"/>
    <w:rsid w:val="001A7909"/>
    <w:rsid w:val="001B1091"/>
    <w:rsid w:val="001B2524"/>
    <w:rsid w:val="001C10BF"/>
    <w:rsid w:val="001C38F6"/>
    <w:rsid w:val="001C520C"/>
    <w:rsid w:val="001C5A2A"/>
    <w:rsid w:val="001D7A1C"/>
    <w:rsid w:val="001D7CB2"/>
    <w:rsid w:val="001F0E05"/>
    <w:rsid w:val="001F27B3"/>
    <w:rsid w:val="001F3073"/>
    <w:rsid w:val="001F55A4"/>
    <w:rsid w:val="00201B3B"/>
    <w:rsid w:val="00201CBE"/>
    <w:rsid w:val="00205D8D"/>
    <w:rsid w:val="0020646A"/>
    <w:rsid w:val="0021014F"/>
    <w:rsid w:val="00211E77"/>
    <w:rsid w:val="00214CA2"/>
    <w:rsid w:val="0021728C"/>
    <w:rsid w:val="00225E1A"/>
    <w:rsid w:val="00227EB0"/>
    <w:rsid w:val="00236180"/>
    <w:rsid w:val="0024470A"/>
    <w:rsid w:val="002611A3"/>
    <w:rsid w:val="002707EC"/>
    <w:rsid w:val="0027206F"/>
    <w:rsid w:val="00275263"/>
    <w:rsid w:val="00275C18"/>
    <w:rsid w:val="0028761C"/>
    <w:rsid w:val="002A208C"/>
    <w:rsid w:val="002A7714"/>
    <w:rsid w:val="002B209E"/>
    <w:rsid w:val="002C768D"/>
    <w:rsid w:val="002D26E7"/>
    <w:rsid w:val="002E40CB"/>
    <w:rsid w:val="002F0B89"/>
    <w:rsid w:val="00302A80"/>
    <w:rsid w:val="003045F6"/>
    <w:rsid w:val="00322F64"/>
    <w:rsid w:val="00340139"/>
    <w:rsid w:val="00344C6E"/>
    <w:rsid w:val="00347C17"/>
    <w:rsid w:val="003528B3"/>
    <w:rsid w:val="00355C68"/>
    <w:rsid w:val="003637A1"/>
    <w:rsid w:val="0036517B"/>
    <w:rsid w:val="003740BC"/>
    <w:rsid w:val="00375CDE"/>
    <w:rsid w:val="003800E1"/>
    <w:rsid w:val="0039073E"/>
    <w:rsid w:val="0039119A"/>
    <w:rsid w:val="00391826"/>
    <w:rsid w:val="003A2756"/>
    <w:rsid w:val="003C68A1"/>
    <w:rsid w:val="003D6064"/>
    <w:rsid w:val="003D67B7"/>
    <w:rsid w:val="003D6E5F"/>
    <w:rsid w:val="003E0030"/>
    <w:rsid w:val="003E2AA6"/>
    <w:rsid w:val="003F00A6"/>
    <w:rsid w:val="003F05B0"/>
    <w:rsid w:val="00406D90"/>
    <w:rsid w:val="00413057"/>
    <w:rsid w:val="00416311"/>
    <w:rsid w:val="0041631A"/>
    <w:rsid w:val="00420B9F"/>
    <w:rsid w:val="004306D0"/>
    <w:rsid w:val="00431A3D"/>
    <w:rsid w:val="0044078C"/>
    <w:rsid w:val="00443943"/>
    <w:rsid w:val="00452F7F"/>
    <w:rsid w:val="004561E6"/>
    <w:rsid w:val="00457A7C"/>
    <w:rsid w:val="00472C0E"/>
    <w:rsid w:val="0047306A"/>
    <w:rsid w:val="00495D42"/>
    <w:rsid w:val="004A44E0"/>
    <w:rsid w:val="004A5CC3"/>
    <w:rsid w:val="004F401B"/>
    <w:rsid w:val="004F4226"/>
    <w:rsid w:val="0050161B"/>
    <w:rsid w:val="00515251"/>
    <w:rsid w:val="005157DE"/>
    <w:rsid w:val="00521E24"/>
    <w:rsid w:val="00521EBC"/>
    <w:rsid w:val="005263A9"/>
    <w:rsid w:val="005330C3"/>
    <w:rsid w:val="0053620D"/>
    <w:rsid w:val="00536553"/>
    <w:rsid w:val="00543F2D"/>
    <w:rsid w:val="005508B0"/>
    <w:rsid w:val="005910EE"/>
    <w:rsid w:val="00594496"/>
    <w:rsid w:val="0059608A"/>
    <w:rsid w:val="005A1707"/>
    <w:rsid w:val="005A3EC2"/>
    <w:rsid w:val="005A62D6"/>
    <w:rsid w:val="005B672D"/>
    <w:rsid w:val="005C4224"/>
    <w:rsid w:val="005C7504"/>
    <w:rsid w:val="005D6203"/>
    <w:rsid w:val="005E2E10"/>
    <w:rsid w:val="005E46AB"/>
    <w:rsid w:val="006001B2"/>
    <w:rsid w:val="00605EFD"/>
    <w:rsid w:val="00621753"/>
    <w:rsid w:val="006246ED"/>
    <w:rsid w:val="006319F2"/>
    <w:rsid w:val="006334B8"/>
    <w:rsid w:val="00635F7A"/>
    <w:rsid w:val="00640F73"/>
    <w:rsid w:val="006421C4"/>
    <w:rsid w:val="006656F4"/>
    <w:rsid w:val="006736DA"/>
    <w:rsid w:val="00682BD7"/>
    <w:rsid w:val="00684CFA"/>
    <w:rsid w:val="0069133D"/>
    <w:rsid w:val="006A0FBE"/>
    <w:rsid w:val="006B2DBE"/>
    <w:rsid w:val="006B78B3"/>
    <w:rsid w:val="006C4C50"/>
    <w:rsid w:val="006C58F3"/>
    <w:rsid w:val="006D124E"/>
    <w:rsid w:val="006D273F"/>
    <w:rsid w:val="006D37D9"/>
    <w:rsid w:val="006D4A94"/>
    <w:rsid w:val="006E3211"/>
    <w:rsid w:val="006F186F"/>
    <w:rsid w:val="006F4C07"/>
    <w:rsid w:val="006F76D9"/>
    <w:rsid w:val="0070436D"/>
    <w:rsid w:val="0071733D"/>
    <w:rsid w:val="00726D9D"/>
    <w:rsid w:val="00730DD5"/>
    <w:rsid w:val="007351B4"/>
    <w:rsid w:val="007420B4"/>
    <w:rsid w:val="00745554"/>
    <w:rsid w:val="00751EC0"/>
    <w:rsid w:val="007A44A5"/>
    <w:rsid w:val="007A666F"/>
    <w:rsid w:val="007D4042"/>
    <w:rsid w:val="007E1477"/>
    <w:rsid w:val="007E28A9"/>
    <w:rsid w:val="007E51A7"/>
    <w:rsid w:val="00801961"/>
    <w:rsid w:val="008066D6"/>
    <w:rsid w:val="00817B25"/>
    <w:rsid w:val="0082253F"/>
    <w:rsid w:val="008427B2"/>
    <w:rsid w:val="00880454"/>
    <w:rsid w:val="00883BD0"/>
    <w:rsid w:val="00895C89"/>
    <w:rsid w:val="008A4C94"/>
    <w:rsid w:val="008B5F94"/>
    <w:rsid w:val="008B6AB5"/>
    <w:rsid w:val="008C7962"/>
    <w:rsid w:val="008D2B58"/>
    <w:rsid w:val="008D3DC8"/>
    <w:rsid w:val="008D553C"/>
    <w:rsid w:val="008D699D"/>
    <w:rsid w:val="008D73BC"/>
    <w:rsid w:val="008E10DD"/>
    <w:rsid w:val="008E22E3"/>
    <w:rsid w:val="008E54EF"/>
    <w:rsid w:val="008E6F44"/>
    <w:rsid w:val="008F3113"/>
    <w:rsid w:val="009000FC"/>
    <w:rsid w:val="00901576"/>
    <w:rsid w:val="00905C35"/>
    <w:rsid w:val="00911007"/>
    <w:rsid w:val="00913BE1"/>
    <w:rsid w:val="009428A3"/>
    <w:rsid w:val="00942B36"/>
    <w:rsid w:val="00945B19"/>
    <w:rsid w:val="00951D0E"/>
    <w:rsid w:val="0096709C"/>
    <w:rsid w:val="00981176"/>
    <w:rsid w:val="00990AA6"/>
    <w:rsid w:val="009B23F6"/>
    <w:rsid w:val="009B4F35"/>
    <w:rsid w:val="009B58DD"/>
    <w:rsid w:val="009F3B14"/>
    <w:rsid w:val="00A12E8D"/>
    <w:rsid w:val="00A2099B"/>
    <w:rsid w:val="00A2141B"/>
    <w:rsid w:val="00A22E29"/>
    <w:rsid w:val="00A31E2A"/>
    <w:rsid w:val="00A404C7"/>
    <w:rsid w:val="00A448D5"/>
    <w:rsid w:val="00A455C2"/>
    <w:rsid w:val="00A53D47"/>
    <w:rsid w:val="00A566AE"/>
    <w:rsid w:val="00A57930"/>
    <w:rsid w:val="00A73830"/>
    <w:rsid w:val="00A74752"/>
    <w:rsid w:val="00A75D28"/>
    <w:rsid w:val="00A76026"/>
    <w:rsid w:val="00A77E20"/>
    <w:rsid w:val="00A83148"/>
    <w:rsid w:val="00A90D9C"/>
    <w:rsid w:val="00AA3685"/>
    <w:rsid w:val="00AA6E02"/>
    <w:rsid w:val="00AA7404"/>
    <w:rsid w:val="00AB56CC"/>
    <w:rsid w:val="00AB6F7A"/>
    <w:rsid w:val="00AE2952"/>
    <w:rsid w:val="00B17360"/>
    <w:rsid w:val="00B20DAD"/>
    <w:rsid w:val="00B22933"/>
    <w:rsid w:val="00B31689"/>
    <w:rsid w:val="00B32664"/>
    <w:rsid w:val="00B51819"/>
    <w:rsid w:val="00B61FCA"/>
    <w:rsid w:val="00B647D3"/>
    <w:rsid w:val="00B710E5"/>
    <w:rsid w:val="00B71E36"/>
    <w:rsid w:val="00B74D45"/>
    <w:rsid w:val="00B75D6B"/>
    <w:rsid w:val="00B76003"/>
    <w:rsid w:val="00B807DD"/>
    <w:rsid w:val="00B8257E"/>
    <w:rsid w:val="00B8392A"/>
    <w:rsid w:val="00B8574A"/>
    <w:rsid w:val="00B87D68"/>
    <w:rsid w:val="00BB0D00"/>
    <w:rsid w:val="00BC14E1"/>
    <w:rsid w:val="00BC3467"/>
    <w:rsid w:val="00BC666A"/>
    <w:rsid w:val="00BD6827"/>
    <w:rsid w:val="00BE2552"/>
    <w:rsid w:val="00BF1E79"/>
    <w:rsid w:val="00C00558"/>
    <w:rsid w:val="00C12782"/>
    <w:rsid w:val="00C25308"/>
    <w:rsid w:val="00C33FFC"/>
    <w:rsid w:val="00C3640F"/>
    <w:rsid w:val="00C45426"/>
    <w:rsid w:val="00C45BDC"/>
    <w:rsid w:val="00C45EEB"/>
    <w:rsid w:val="00C46E23"/>
    <w:rsid w:val="00C51147"/>
    <w:rsid w:val="00C52888"/>
    <w:rsid w:val="00C54721"/>
    <w:rsid w:val="00C62C76"/>
    <w:rsid w:val="00C72A8B"/>
    <w:rsid w:val="00C81394"/>
    <w:rsid w:val="00C8656F"/>
    <w:rsid w:val="00C94A9C"/>
    <w:rsid w:val="00C94D73"/>
    <w:rsid w:val="00CA39F0"/>
    <w:rsid w:val="00CB101E"/>
    <w:rsid w:val="00CB1F86"/>
    <w:rsid w:val="00CB47E5"/>
    <w:rsid w:val="00CB75EE"/>
    <w:rsid w:val="00CC0846"/>
    <w:rsid w:val="00CC0AA2"/>
    <w:rsid w:val="00CE0ED9"/>
    <w:rsid w:val="00CE50A2"/>
    <w:rsid w:val="00CF2EFD"/>
    <w:rsid w:val="00CF5EBB"/>
    <w:rsid w:val="00CF6F29"/>
    <w:rsid w:val="00D11416"/>
    <w:rsid w:val="00D313B4"/>
    <w:rsid w:val="00D36859"/>
    <w:rsid w:val="00D4257A"/>
    <w:rsid w:val="00D45239"/>
    <w:rsid w:val="00D477FE"/>
    <w:rsid w:val="00D57941"/>
    <w:rsid w:val="00D630C3"/>
    <w:rsid w:val="00D732B5"/>
    <w:rsid w:val="00D75652"/>
    <w:rsid w:val="00D85B5B"/>
    <w:rsid w:val="00D967AC"/>
    <w:rsid w:val="00DB26F5"/>
    <w:rsid w:val="00DB66E1"/>
    <w:rsid w:val="00DC1991"/>
    <w:rsid w:val="00DD2619"/>
    <w:rsid w:val="00DD41DC"/>
    <w:rsid w:val="00DD6AE1"/>
    <w:rsid w:val="00DD7E51"/>
    <w:rsid w:val="00DE4E5A"/>
    <w:rsid w:val="00DF70D8"/>
    <w:rsid w:val="00E14669"/>
    <w:rsid w:val="00E152A5"/>
    <w:rsid w:val="00E20A9A"/>
    <w:rsid w:val="00E22E4F"/>
    <w:rsid w:val="00E230F5"/>
    <w:rsid w:val="00E244BF"/>
    <w:rsid w:val="00E24C85"/>
    <w:rsid w:val="00E40337"/>
    <w:rsid w:val="00E44403"/>
    <w:rsid w:val="00E51D89"/>
    <w:rsid w:val="00E60442"/>
    <w:rsid w:val="00E70197"/>
    <w:rsid w:val="00E72284"/>
    <w:rsid w:val="00E772F0"/>
    <w:rsid w:val="00E871AF"/>
    <w:rsid w:val="00EA6004"/>
    <w:rsid w:val="00ED2F3B"/>
    <w:rsid w:val="00ED3936"/>
    <w:rsid w:val="00ED7CA7"/>
    <w:rsid w:val="00EE3BD1"/>
    <w:rsid w:val="00EE7ED7"/>
    <w:rsid w:val="00EF3DE7"/>
    <w:rsid w:val="00EF409D"/>
    <w:rsid w:val="00F04274"/>
    <w:rsid w:val="00F129AD"/>
    <w:rsid w:val="00F16D54"/>
    <w:rsid w:val="00F176B8"/>
    <w:rsid w:val="00F20344"/>
    <w:rsid w:val="00F27887"/>
    <w:rsid w:val="00F551C4"/>
    <w:rsid w:val="00F625AA"/>
    <w:rsid w:val="00F630C3"/>
    <w:rsid w:val="00F632B9"/>
    <w:rsid w:val="00F63531"/>
    <w:rsid w:val="00F7428C"/>
    <w:rsid w:val="00F9321B"/>
    <w:rsid w:val="00F971A8"/>
    <w:rsid w:val="00F97CF7"/>
    <w:rsid w:val="00FA160E"/>
    <w:rsid w:val="00FA4C72"/>
    <w:rsid w:val="00FB27E1"/>
    <w:rsid w:val="00FB4557"/>
    <w:rsid w:val="00FE1AC6"/>
    <w:rsid w:val="00FE354D"/>
    <w:rsid w:val="00FE3D9A"/>
    <w:rsid w:val="00FE7E2D"/>
    <w:rsid w:val="00FF1B5D"/>
    <w:rsid w:val="00FF71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1C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7E1"/>
  </w:style>
  <w:style w:type="paragraph" w:styleId="Heading1">
    <w:name w:val="heading 1"/>
    <w:basedOn w:val="Normal"/>
    <w:next w:val="Normal"/>
    <w:link w:val="Heading1Char"/>
    <w:qFormat/>
    <w:rsid w:val="00C51147"/>
    <w:pPr>
      <w:keepNext/>
      <w:spacing w:before="240" w:after="60" w:line="240" w:lineRule="auto"/>
      <w:outlineLvl w:val="0"/>
    </w:pPr>
    <w:rPr>
      <w:rFonts w:ascii="Arial" w:eastAsia="Times New Roman" w:hAnsi="Arial" w:cs="Arial"/>
      <w:b/>
      <w:bCs/>
      <w:noProof/>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qFormat/>
    <w:rsid w:val="00F27887"/>
    <w:pPr>
      <w:spacing w:after="0" w:line="240" w:lineRule="auto"/>
      <w:ind w:left="720"/>
      <w:contextualSpacing/>
      <w:jc w:val="both"/>
    </w:pPr>
    <w:rPr>
      <w:rFonts w:ascii="Times New Roman" w:hAnsi="Times New Roman" w:cs="Times New Roman"/>
      <w:sz w:val="24"/>
      <w:szCs w:val="24"/>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qFormat/>
    <w:locked/>
    <w:rsid w:val="00F27887"/>
    <w:rPr>
      <w:rFonts w:ascii="Times New Roman" w:hAnsi="Times New Roman" w:cs="Times New Roman"/>
      <w:sz w:val="24"/>
      <w:szCs w:val="24"/>
    </w:rPr>
  </w:style>
  <w:style w:type="table" w:styleId="TableGrid">
    <w:name w:val="Table Grid"/>
    <w:basedOn w:val="TableNormal"/>
    <w:uiPriority w:val="39"/>
    <w:rsid w:val="00E152A5"/>
    <w:pPr>
      <w:spacing w:after="0" w:line="240" w:lineRule="auto"/>
    </w:pPr>
    <w:rPr>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sid w:val="00E152A5"/>
    <w:rPr>
      <w:b/>
      <w:szCs w:val="20"/>
      <w:lang w:eastAsia="bg-BG"/>
    </w:rPr>
  </w:style>
  <w:style w:type="paragraph" w:styleId="FootnoteText">
    <w:name w:val="footnote text"/>
    <w:basedOn w:val="Normal"/>
    <w:link w:val="FootnoteTextChar"/>
    <w:uiPriority w:val="99"/>
    <w:semiHidden/>
    <w:unhideWhenUsed/>
    <w:rsid w:val="00375C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CDE"/>
    <w:rPr>
      <w:sz w:val="20"/>
      <w:szCs w:val="20"/>
    </w:rPr>
  </w:style>
  <w:style w:type="character" w:styleId="FootnoteReference">
    <w:name w:val="footnote reference"/>
    <w:basedOn w:val="DefaultParagraphFont"/>
    <w:uiPriority w:val="99"/>
    <w:semiHidden/>
    <w:unhideWhenUsed/>
    <w:rsid w:val="00375CDE"/>
    <w:rPr>
      <w:vertAlign w:val="superscript"/>
    </w:rPr>
  </w:style>
  <w:style w:type="character" w:styleId="CommentReference">
    <w:name w:val="annotation reference"/>
    <w:basedOn w:val="DefaultParagraphFont"/>
    <w:uiPriority w:val="99"/>
    <w:semiHidden/>
    <w:unhideWhenUsed/>
    <w:rsid w:val="00146E60"/>
    <w:rPr>
      <w:sz w:val="16"/>
      <w:szCs w:val="16"/>
    </w:rPr>
  </w:style>
  <w:style w:type="paragraph" w:styleId="CommentText">
    <w:name w:val="annotation text"/>
    <w:basedOn w:val="Normal"/>
    <w:link w:val="CommentTextChar"/>
    <w:uiPriority w:val="99"/>
    <w:unhideWhenUsed/>
    <w:rsid w:val="00146E60"/>
    <w:pPr>
      <w:spacing w:line="240" w:lineRule="auto"/>
    </w:pPr>
    <w:rPr>
      <w:sz w:val="20"/>
      <w:szCs w:val="20"/>
    </w:rPr>
  </w:style>
  <w:style w:type="character" w:customStyle="1" w:styleId="CommentTextChar">
    <w:name w:val="Comment Text Char"/>
    <w:basedOn w:val="DefaultParagraphFont"/>
    <w:link w:val="CommentText"/>
    <w:uiPriority w:val="99"/>
    <w:rsid w:val="00146E60"/>
    <w:rPr>
      <w:sz w:val="20"/>
      <w:szCs w:val="20"/>
    </w:rPr>
  </w:style>
  <w:style w:type="paragraph" w:styleId="CommentSubject">
    <w:name w:val="annotation subject"/>
    <w:basedOn w:val="CommentText"/>
    <w:next w:val="CommentText"/>
    <w:link w:val="CommentSubjectChar"/>
    <w:uiPriority w:val="99"/>
    <w:semiHidden/>
    <w:unhideWhenUsed/>
    <w:rsid w:val="00146E60"/>
    <w:rPr>
      <w:b/>
      <w:bCs/>
    </w:rPr>
  </w:style>
  <w:style w:type="character" w:customStyle="1" w:styleId="CommentSubjectChar">
    <w:name w:val="Comment Subject Char"/>
    <w:basedOn w:val="CommentTextChar"/>
    <w:link w:val="CommentSubject"/>
    <w:uiPriority w:val="99"/>
    <w:semiHidden/>
    <w:rsid w:val="00146E60"/>
    <w:rPr>
      <w:b/>
      <w:bCs/>
      <w:sz w:val="20"/>
      <w:szCs w:val="20"/>
    </w:rPr>
  </w:style>
  <w:style w:type="paragraph" w:styleId="BalloonText">
    <w:name w:val="Balloon Text"/>
    <w:basedOn w:val="Normal"/>
    <w:link w:val="BalloonTextChar"/>
    <w:uiPriority w:val="99"/>
    <w:semiHidden/>
    <w:unhideWhenUsed/>
    <w:rsid w:val="00146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E60"/>
    <w:rPr>
      <w:rFonts w:ascii="Segoe UI" w:hAnsi="Segoe UI" w:cs="Segoe UI"/>
      <w:sz w:val="18"/>
      <w:szCs w:val="18"/>
    </w:rPr>
  </w:style>
  <w:style w:type="paragraph" w:styleId="Revision">
    <w:name w:val="Revision"/>
    <w:hidden/>
    <w:uiPriority w:val="99"/>
    <w:semiHidden/>
    <w:rsid w:val="00ED2F3B"/>
    <w:pPr>
      <w:spacing w:after="0" w:line="240" w:lineRule="auto"/>
    </w:pPr>
  </w:style>
  <w:style w:type="paragraph" w:styleId="Header">
    <w:name w:val="header"/>
    <w:basedOn w:val="Normal"/>
    <w:link w:val="HeaderChar"/>
    <w:uiPriority w:val="99"/>
    <w:unhideWhenUsed/>
    <w:rsid w:val="005A3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EC2"/>
  </w:style>
  <w:style w:type="paragraph" w:styleId="Footer">
    <w:name w:val="footer"/>
    <w:basedOn w:val="Normal"/>
    <w:link w:val="FooterChar"/>
    <w:uiPriority w:val="99"/>
    <w:unhideWhenUsed/>
    <w:rsid w:val="005A3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EC2"/>
  </w:style>
  <w:style w:type="paragraph" w:styleId="HTMLPreformatted">
    <w:name w:val="HTML Preformatted"/>
    <w:basedOn w:val="Normal"/>
    <w:link w:val="HTMLPreformattedChar"/>
    <w:uiPriority w:val="99"/>
    <w:unhideWhenUsed/>
    <w:rsid w:val="003800E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800E1"/>
    <w:rPr>
      <w:rFonts w:ascii="Consolas" w:hAnsi="Consolas"/>
      <w:sz w:val="20"/>
      <w:szCs w:val="20"/>
    </w:rPr>
  </w:style>
  <w:style w:type="paragraph" w:customStyle="1" w:styleId="P68B1DB1-Normal4">
    <w:name w:val="P68B1DB1-Normal4"/>
    <w:basedOn w:val="Normal"/>
    <w:rsid w:val="00E22E4F"/>
    <w:rPr>
      <w:rFonts w:ascii="Times New Roman" w:eastAsia="Times New Roman" w:hAnsi="Times New Roman" w:cs="Times New Roman"/>
      <w:color w:val="000000"/>
      <w:sz w:val="20"/>
      <w:szCs w:val="20"/>
      <w:lang w:eastAsia="en-IE"/>
    </w:rPr>
  </w:style>
  <w:style w:type="paragraph" w:customStyle="1" w:styleId="P68B1DB1-Normal5">
    <w:name w:val="P68B1DB1-Normal5"/>
    <w:basedOn w:val="Normal"/>
    <w:rsid w:val="00E22E4F"/>
    <w:rPr>
      <w:rFonts w:ascii="Times New Roman" w:hAnsi="Times New Roman" w:cs="Times New Roman"/>
      <w:sz w:val="20"/>
      <w:szCs w:val="20"/>
      <w:lang w:eastAsia="en-IE"/>
    </w:rPr>
  </w:style>
  <w:style w:type="character" w:customStyle="1" w:styleId="Heading1Char">
    <w:name w:val="Heading 1 Char"/>
    <w:basedOn w:val="DefaultParagraphFont"/>
    <w:link w:val="Heading1"/>
    <w:rsid w:val="00C51147"/>
    <w:rPr>
      <w:rFonts w:ascii="Arial" w:eastAsia="Times New Roman" w:hAnsi="Arial" w:cs="Arial"/>
      <w:b/>
      <w:bCs/>
      <w:noProof/>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2935">
      <w:bodyDiv w:val="1"/>
      <w:marLeft w:val="0"/>
      <w:marRight w:val="0"/>
      <w:marTop w:val="0"/>
      <w:marBottom w:val="0"/>
      <w:divBdr>
        <w:top w:val="none" w:sz="0" w:space="0" w:color="auto"/>
        <w:left w:val="none" w:sz="0" w:space="0" w:color="auto"/>
        <w:bottom w:val="none" w:sz="0" w:space="0" w:color="auto"/>
        <w:right w:val="none" w:sz="0" w:space="0" w:color="auto"/>
      </w:divBdr>
    </w:div>
    <w:div w:id="520700190">
      <w:bodyDiv w:val="1"/>
      <w:marLeft w:val="0"/>
      <w:marRight w:val="0"/>
      <w:marTop w:val="0"/>
      <w:marBottom w:val="0"/>
      <w:divBdr>
        <w:top w:val="none" w:sz="0" w:space="0" w:color="auto"/>
        <w:left w:val="none" w:sz="0" w:space="0" w:color="auto"/>
        <w:bottom w:val="none" w:sz="0" w:space="0" w:color="auto"/>
        <w:right w:val="none" w:sz="0" w:space="0" w:color="auto"/>
      </w:divBdr>
    </w:div>
    <w:div w:id="2053577147">
      <w:bodyDiv w:val="1"/>
      <w:marLeft w:val="0"/>
      <w:marRight w:val="0"/>
      <w:marTop w:val="0"/>
      <w:marBottom w:val="0"/>
      <w:divBdr>
        <w:top w:val="none" w:sz="0" w:space="0" w:color="auto"/>
        <w:left w:val="none" w:sz="0" w:space="0" w:color="auto"/>
        <w:bottom w:val="none" w:sz="0" w:space="0" w:color="auto"/>
        <w:right w:val="none" w:sz="0" w:space="0" w:color="auto"/>
      </w:divBdr>
    </w:div>
    <w:div w:id="20861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FC1DB-AF87-474E-9C25-94449AA7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3779</Words>
  <Characters>21545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2026-01-23T14:49:00Z</dcterms:created>
  <dcterms:modified xsi:type="dcterms:W3CDTF">2026-01-23T14:49:00Z</dcterms:modified>
</cp:coreProperties>
</file>