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4D00" w14:textId="46D11D83" w:rsidR="00F02E6F" w:rsidRDefault="00F02E6F" w:rsidP="00F02E6F">
      <w:pPr>
        <w:pStyle w:val="Title"/>
        <w:rPr>
          <w:noProof/>
          <w:lang w:val="en-US"/>
        </w:rPr>
      </w:pPr>
    </w:p>
    <w:p w14:paraId="2637B40C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202E8EE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4AED1A0" w14:textId="0C456CEA" w:rsidR="00592D9D" w:rsidRPr="00DF31C2" w:rsidRDefault="001E5241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3E22C92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6D49F80" w14:textId="1916E95C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E524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106</w:t>
      </w:r>
    </w:p>
    <w:p w14:paraId="05F7CFC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EEA32A7" w14:textId="2447C31D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E5241">
        <w:rPr>
          <w:rFonts w:ascii="Times New Roman" w:hAnsi="Times New Roman"/>
          <w:b/>
          <w:sz w:val="30"/>
          <w:szCs w:val="30"/>
          <w:lang w:val="bg-BG"/>
        </w:rPr>
        <w:t>29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9A5D6BB" w14:textId="77777777" w:rsidR="00592D9D" w:rsidRPr="0040173C" w:rsidRDefault="00592D9D" w:rsidP="00592D9D">
      <w:pPr>
        <w:rPr>
          <w:lang w:val="bg-BG"/>
        </w:rPr>
      </w:pPr>
    </w:p>
    <w:p w14:paraId="7A2BA842" w14:textId="77777777" w:rsidR="008E2D3E" w:rsidRPr="0040173C" w:rsidRDefault="008E2D3E" w:rsidP="00592D9D">
      <w:pPr>
        <w:rPr>
          <w:lang w:val="bg-BG"/>
        </w:rPr>
      </w:pPr>
    </w:p>
    <w:p w14:paraId="77E2F47E" w14:textId="2877FC98" w:rsidR="00592D9D" w:rsidRPr="0040173C" w:rsidRDefault="00592D9D" w:rsidP="00DA5F94">
      <w:pPr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DA5F94" w:rsidRPr="00DA5F94">
        <w:rPr>
          <w:rFonts w:ascii="Arial" w:hAnsi="Arial" w:cs="Arial"/>
          <w:b/>
          <w:bCs/>
          <w:smallCaps/>
          <w:sz w:val="26"/>
          <w:szCs w:val="26"/>
          <w:lang w:val="bg-BG"/>
        </w:rPr>
        <w:t xml:space="preserve">приемане на Доклад за участието на Република България в процеса на вземане на решения в Европейския съюз по време на Датското председателство на Съвета на ЕС (1 юли – </w:t>
      </w:r>
      <w:r w:rsidR="00DA5F94">
        <w:rPr>
          <w:rFonts w:ascii="Arial" w:hAnsi="Arial" w:cs="Arial"/>
          <w:b/>
          <w:bCs/>
          <w:smallCaps/>
          <w:sz w:val="26"/>
          <w:szCs w:val="26"/>
          <w:lang w:val="bg-BG"/>
        </w:rPr>
        <w:br/>
      </w:r>
      <w:r w:rsidR="00DA5F94" w:rsidRPr="00DA5F94">
        <w:rPr>
          <w:rFonts w:ascii="Arial" w:hAnsi="Arial" w:cs="Arial"/>
          <w:b/>
          <w:bCs/>
          <w:smallCaps/>
          <w:sz w:val="26"/>
          <w:szCs w:val="26"/>
          <w:lang w:val="bg-BG"/>
        </w:rPr>
        <w:t>31 декември 2025 г.)</w:t>
      </w:r>
    </w:p>
    <w:p w14:paraId="58CA842D" w14:textId="77777777" w:rsidR="00B31744" w:rsidRPr="00DA5F94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16"/>
          <w:szCs w:val="16"/>
          <w:lang w:val="bg-BG"/>
        </w:rPr>
      </w:pPr>
    </w:p>
    <w:p w14:paraId="5DD1C3D7" w14:textId="2C6E360E" w:rsidR="00DA5F94" w:rsidRPr="00261870" w:rsidRDefault="00DA5F94" w:rsidP="00DA5F94">
      <w:pPr>
        <w:spacing w:before="120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DA5F94">
        <w:rPr>
          <w:rFonts w:ascii="Arial" w:hAnsi="Arial" w:cs="Arial"/>
          <w:sz w:val="26"/>
          <w:szCs w:val="26"/>
          <w:lang w:val="bg-BG"/>
        </w:rPr>
        <w:t>На основание чл. 105, ал. 4 от Конституцията на Република България и чл. 8, ал. 1 и 3 от Устройствения правилник на Министерския съвет и на неговата администрация, приет с Постановление № 229 на Министерския съвет от 2009 г.</w:t>
      </w:r>
    </w:p>
    <w:p w14:paraId="6C3D9CAB" w14:textId="77777777" w:rsidR="00937D4E" w:rsidRPr="00DA5F94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12B042A9" w14:textId="77777777" w:rsidR="00261870" w:rsidRPr="00DA5F94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0"/>
          <w:lang w:val="bg-BG"/>
        </w:rPr>
      </w:pPr>
    </w:p>
    <w:p w14:paraId="0EFA0EA9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A1124E4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6EC0FAD8" w14:textId="77777777" w:rsidR="00592D9D" w:rsidRPr="00DA5F94" w:rsidRDefault="00592D9D" w:rsidP="00592D9D">
      <w:pPr>
        <w:jc w:val="center"/>
        <w:rPr>
          <w:spacing w:val="40"/>
          <w:sz w:val="16"/>
          <w:szCs w:val="16"/>
          <w:lang w:val="bg-BG"/>
        </w:rPr>
      </w:pPr>
    </w:p>
    <w:p w14:paraId="7C641D43" w14:textId="77777777" w:rsidR="00261870" w:rsidRPr="00DA5F94" w:rsidRDefault="00261870" w:rsidP="00592D9D">
      <w:pPr>
        <w:jc w:val="center"/>
        <w:rPr>
          <w:spacing w:val="40"/>
          <w:sz w:val="16"/>
          <w:szCs w:val="16"/>
          <w:lang w:val="bg-BG"/>
        </w:rPr>
      </w:pPr>
    </w:p>
    <w:p w14:paraId="294A55BF" w14:textId="7001DD6E" w:rsidR="00DA5F94" w:rsidRPr="00DA5F94" w:rsidRDefault="00DA5F94" w:rsidP="00DA5F94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A5F9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DA5F94">
        <w:rPr>
          <w:rFonts w:ascii="Arial" w:hAnsi="Arial"/>
          <w:sz w:val="26"/>
          <w:szCs w:val="26"/>
          <w:lang w:val="bg-BG"/>
        </w:rPr>
        <w:tab/>
        <w:t>Приема Доклад</w:t>
      </w:r>
      <w:r>
        <w:rPr>
          <w:rFonts w:ascii="Arial" w:hAnsi="Arial"/>
          <w:sz w:val="26"/>
          <w:szCs w:val="26"/>
          <w:lang w:val="bg-BG"/>
        </w:rPr>
        <w:t>а</w:t>
      </w:r>
      <w:r w:rsidRPr="00DA5F94">
        <w:rPr>
          <w:rFonts w:ascii="Arial" w:hAnsi="Arial"/>
          <w:sz w:val="26"/>
          <w:szCs w:val="26"/>
          <w:lang w:val="bg-BG"/>
        </w:rPr>
        <w:t xml:space="preserve"> за участието на Република България в процеса на вземане на решения в Европейския съюз по време на Датското председателство на Съвета на ЕС (1 юли – 31 декември </w:t>
      </w:r>
      <w:r>
        <w:rPr>
          <w:rFonts w:ascii="Arial" w:hAnsi="Arial"/>
          <w:sz w:val="26"/>
          <w:szCs w:val="26"/>
          <w:lang w:val="bg-BG"/>
        </w:rPr>
        <w:br/>
      </w:r>
      <w:r w:rsidRPr="00DA5F94">
        <w:rPr>
          <w:rFonts w:ascii="Arial" w:hAnsi="Arial"/>
          <w:sz w:val="26"/>
          <w:szCs w:val="26"/>
          <w:lang w:val="bg-BG"/>
        </w:rPr>
        <w:t>2025 г.)</w:t>
      </w:r>
      <w:r>
        <w:rPr>
          <w:rFonts w:ascii="Arial" w:hAnsi="Arial"/>
          <w:sz w:val="26"/>
          <w:szCs w:val="26"/>
          <w:lang w:val="bg-BG"/>
        </w:rPr>
        <w:t xml:space="preserve"> </w:t>
      </w:r>
      <w:r w:rsidRPr="00DA5F94">
        <w:rPr>
          <w:rFonts w:ascii="Arial" w:hAnsi="Arial"/>
          <w:sz w:val="26"/>
          <w:szCs w:val="26"/>
          <w:lang w:val="bg-BG"/>
        </w:rPr>
        <w:t>съгласно приложението.</w:t>
      </w:r>
    </w:p>
    <w:p w14:paraId="27C389A7" w14:textId="23C84AF1" w:rsidR="0040173C" w:rsidRPr="0040173C" w:rsidRDefault="00DA5F94" w:rsidP="00DA5F94">
      <w:pPr>
        <w:spacing w:before="120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DA5F9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DA5F94">
        <w:rPr>
          <w:rFonts w:ascii="Arial" w:hAnsi="Arial"/>
          <w:sz w:val="26"/>
          <w:szCs w:val="26"/>
          <w:lang w:val="bg-BG"/>
        </w:rPr>
        <w:tab/>
        <w:t>Докладът да се изпрати на Народното събрание за сведение.</w:t>
      </w:r>
    </w:p>
    <w:p w14:paraId="42C1C471" w14:textId="77777777" w:rsidR="00F947CB" w:rsidRPr="00DA5F94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14:paraId="1E99F3AD" w14:textId="77777777" w:rsidR="00592D9D" w:rsidRPr="00DA5F94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2"/>
          <w:szCs w:val="22"/>
          <w:lang w:val="bg-BG"/>
        </w:rPr>
      </w:pPr>
    </w:p>
    <w:p w14:paraId="3B6D9C79" w14:textId="77777777" w:rsidR="001E5241" w:rsidRPr="001E5241" w:rsidRDefault="001E5241">
      <w:pPr>
        <w:ind w:firstLine="1134"/>
        <w:rPr>
          <w:rFonts w:ascii="Arial" w:hAnsi="Arial" w:cs="Arial"/>
          <w:b/>
          <w:lang w:val="bg-BG"/>
        </w:rPr>
      </w:pPr>
      <w:r w:rsidRPr="001E5241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771899B5" w14:textId="77777777" w:rsidR="001E5241" w:rsidRPr="001E5241" w:rsidRDefault="001E5241">
      <w:pPr>
        <w:ind w:firstLine="1134"/>
        <w:rPr>
          <w:rFonts w:ascii="Arial" w:hAnsi="Arial" w:cs="Arial"/>
          <w:b/>
          <w:lang w:val="bg-BG"/>
        </w:rPr>
      </w:pPr>
    </w:p>
    <w:p w14:paraId="05CDA719" w14:textId="77777777" w:rsidR="001E5241" w:rsidRPr="001E5241" w:rsidRDefault="001E5241">
      <w:pPr>
        <w:ind w:firstLine="1134"/>
        <w:rPr>
          <w:rFonts w:ascii="Arial" w:hAnsi="Arial" w:cs="Arial"/>
          <w:b/>
          <w:lang w:val="bg-BG"/>
        </w:rPr>
      </w:pPr>
      <w:r w:rsidRPr="001E5241">
        <w:rPr>
          <w:rFonts w:ascii="Arial" w:hAnsi="Arial" w:cs="Arial"/>
          <w:b/>
          <w:lang w:val="bg-BG"/>
        </w:rPr>
        <w:t>ГЛАВЕН СЕКРЕТАР НА</w:t>
      </w:r>
    </w:p>
    <w:p w14:paraId="3D9024C0" w14:textId="77777777" w:rsidR="001E5241" w:rsidRPr="001E5241" w:rsidRDefault="001E5241">
      <w:pPr>
        <w:ind w:firstLine="1134"/>
        <w:rPr>
          <w:rFonts w:ascii="Arial" w:hAnsi="Arial" w:cs="Arial"/>
          <w:b/>
          <w:lang w:val="bg-BG"/>
        </w:rPr>
      </w:pPr>
      <w:r w:rsidRPr="001E5241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DDEBC34" w14:textId="77777777" w:rsidR="001E5241" w:rsidRPr="001E5241" w:rsidRDefault="001E5241">
      <w:pPr>
        <w:rPr>
          <w:rFonts w:ascii="Arial" w:hAnsi="Arial" w:cs="Arial"/>
          <w:b/>
          <w:lang w:val="bg-BG"/>
        </w:rPr>
      </w:pPr>
    </w:p>
    <w:sectPr w:rsidR="001E5241" w:rsidRPr="001E5241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608C" w14:textId="77777777" w:rsidR="00B555B9" w:rsidRDefault="00B555B9">
      <w:r>
        <w:separator/>
      </w:r>
    </w:p>
  </w:endnote>
  <w:endnote w:type="continuationSeparator" w:id="0">
    <w:p w14:paraId="0E52FF64" w14:textId="77777777" w:rsidR="00B555B9" w:rsidRDefault="00B5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6407C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3A78" w14:textId="77777777" w:rsidR="00B555B9" w:rsidRDefault="00B555B9">
      <w:r>
        <w:separator/>
      </w:r>
    </w:p>
  </w:footnote>
  <w:footnote w:type="continuationSeparator" w:id="0">
    <w:p w14:paraId="370FF137" w14:textId="77777777" w:rsidR="00B555B9" w:rsidRDefault="00B5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103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C57F84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D31A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44E7831" w14:textId="77777777" w:rsidR="00E15014" w:rsidRDefault="00E15014">
    <w:pPr>
      <w:pStyle w:val="Header"/>
    </w:pPr>
  </w:p>
  <w:p w14:paraId="6165D148" w14:textId="77777777" w:rsidR="00E15014" w:rsidRDefault="00E15014">
    <w:pPr>
      <w:pStyle w:val="Header"/>
    </w:pPr>
  </w:p>
  <w:p w14:paraId="1A1A9D1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944590">
    <w:abstractNumId w:val="25"/>
  </w:num>
  <w:num w:numId="2" w16cid:durableId="594485077">
    <w:abstractNumId w:val="24"/>
  </w:num>
  <w:num w:numId="3" w16cid:durableId="790560953">
    <w:abstractNumId w:val="20"/>
  </w:num>
  <w:num w:numId="4" w16cid:durableId="1912275415">
    <w:abstractNumId w:val="28"/>
  </w:num>
  <w:num w:numId="5" w16cid:durableId="1073547689">
    <w:abstractNumId w:val="11"/>
  </w:num>
  <w:num w:numId="6" w16cid:durableId="1273438425">
    <w:abstractNumId w:val="18"/>
  </w:num>
  <w:num w:numId="7" w16cid:durableId="1517039906">
    <w:abstractNumId w:val="32"/>
  </w:num>
  <w:num w:numId="8" w16cid:durableId="616765264">
    <w:abstractNumId w:val="22"/>
  </w:num>
  <w:num w:numId="9" w16cid:durableId="292101572">
    <w:abstractNumId w:val="29"/>
  </w:num>
  <w:num w:numId="10" w16cid:durableId="226917700">
    <w:abstractNumId w:val="17"/>
  </w:num>
  <w:num w:numId="11" w16cid:durableId="1800295583">
    <w:abstractNumId w:val="1"/>
  </w:num>
  <w:num w:numId="12" w16cid:durableId="624120452">
    <w:abstractNumId w:val="0"/>
  </w:num>
  <w:num w:numId="13" w16cid:durableId="1380714116">
    <w:abstractNumId w:val="6"/>
  </w:num>
  <w:num w:numId="14" w16cid:durableId="930503876">
    <w:abstractNumId w:val="21"/>
  </w:num>
  <w:num w:numId="15" w16cid:durableId="286208537">
    <w:abstractNumId w:val="19"/>
  </w:num>
  <w:num w:numId="16" w16cid:durableId="706150737">
    <w:abstractNumId w:val="14"/>
  </w:num>
  <w:num w:numId="17" w16cid:durableId="699628434">
    <w:abstractNumId w:val="27"/>
  </w:num>
  <w:num w:numId="18" w16cid:durableId="1811820181">
    <w:abstractNumId w:val="31"/>
  </w:num>
  <w:num w:numId="19" w16cid:durableId="1191533477">
    <w:abstractNumId w:val="16"/>
  </w:num>
  <w:num w:numId="20" w16cid:durableId="428428536">
    <w:abstractNumId w:val="7"/>
  </w:num>
  <w:num w:numId="21" w16cid:durableId="2076051020">
    <w:abstractNumId w:val="10"/>
  </w:num>
  <w:num w:numId="22" w16cid:durableId="933516153">
    <w:abstractNumId w:val="8"/>
  </w:num>
  <w:num w:numId="23" w16cid:durableId="468279945">
    <w:abstractNumId w:val="33"/>
  </w:num>
  <w:num w:numId="24" w16cid:durableId="1999266057">
    <w:abstractNumId w:val="23"/>
  </w:num>
  <w:num w:numId="25" w16cid:durableId="1650937931">
    <w:abstractNumId w:val="15"/>
  </w:num>
  <w:num w:numId="26" w16cid:durableId="252252091">
    <w:abstractNumId w:val="4"/>
  </w:num>
  <w:num w:numId="27" w16cid:durableId="560018194">
    <w:abstractNumId w:val="30"/>
  </w:num>
  <w:num w:numId="28" w16cid:durableId="156531640">
    <w:abstractNumId w:val="9"/>
  </w:num>
  <w:num w:numId="29" w16cid:durableId="355890405">
    <w:abstractNumId w:val="2"/>
  </w:num>
  <w:num w:numId="30" w16cid:durableId="879822778">
    <w:abstractNumId w:val="12"/>
  </w:num>
  <w:num w:numId="31" w16cid:durableId="278925037">
    <w:abstractNumId w:val="13"/>
  </w:num>
  <w:num w:numId="32" w16cid:durableId="1361857711">
    <w:abstractNumId w:val="3"/>
  </w:num>
  <w:num w:numId="33" w16cid:durableId="507016724">
    <w:abstractNumId w:val="26"/>
  </w:num>
  <w:num w:numId="34" w16cid:durableId="945694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4398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033EE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1E5241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C45B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519AD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15BE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C7223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343B5"/>
    <w:rsid w:val="00B40B6F"/>
    <w:rsid w:val="00B555B9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139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A5F94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B799D"/>
  <w15:chartTrackingRefBased/>
  <w15:docId w15:val="{857F335E-71A0-4BC4-AA82-69B1BDC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2026-01-29T11:36:00Z</dcterms:created>
  <dcterms:modified xsi:type="dcterms:W3CDTF">2026-01-29T11:36:00Z</dcterms:modified>
</cp:coreProperties>
</file>