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D14C" w14:textId="77777777" w:rsidR="00D26957" w:rsidRPr="00B44A85" w:rsidRDefault="00D26957" w:rsidP="00882E92">
      <w:pPr>
        <w:tabs>
          <w:tab w:val="left" w:pos="2170"/>
        </w:tabs>
        <w:rPr>
          <w:b/>
          <w:color w:val="00B0F0"/>
          <w:lang w:val="en-US"/>
        </w:rPr>
      </w:pPr>
    </w:p>
    <w:p w14:paraId="551A420D" w14:textId="4C6F7C89" w:rsidR="00531A55" w:rsidRDefault="00531A55" w:rsidP="00531A55">
      <w:pPr>
        <w:jc w:val="center"/>
      </w:pPr>
    </w:p>
    <w:p w14:paraId="6B64C6DC" w14:textId="77777777" w:rsidR="00531A55" w:rsidRDefault="00531A55" w:rsidP="00531A55">
      <w:pPr>
        <w:jc w:val="center"/>
      </w:pPr>
    </w:p>
    <w:p w14:paraId="3D166BA6" w14:textId="77777777" w:rsidR="00D26957" w:rsidRPr="005D49B2" w:rsidRDefault="00D26957" w:rsidP="00531A55">
      <w:pPr>
        <w:rPr>
          <w:sz w:val="32"/>
          <w:szCs w:val="32"/>
        </w:rPr>
      </w:pPr>
    </w:p>
    <w:p w14:paraId="202C9CF8" w14:textId="77777777" w:rsidR="00D26957" w:rsidRPr="005D49B2" w:rsidRDefault="00D26957" w:rsidP="00531A55">
      <w:pPr>
        <w:rPr>
          <w:sz w:val="32"/>
          <w:szCs w:val="32"/>
        </w:rPr>
      </w:pPr>
    </w:p>
    <w:p w14:paraId="6A8E8B84" w14:textId="77777777" w:rsidR="00D26957" w:rsidRPr="005D49B2" w:rsidRDefault="00D26957" w:rsidP="00531A55">
      <w:pPr>
        <w:rPr>
          <w:sz w:val="32"/>
          <w:szCs w:val="32"/>
        </w:rPr>
      </w:pPr>
    </w:p>
    <w:p w14:paraId="798B3458" w14:textId="77777777" w:rsidR="00D26957" w:rsidRPr="005D49B2" w:rsidRDefault="00D26957" w:rsidP="00531A55">
      <w:pPr>
        <w:rPr>
          <w:sz w:val="32"/>
          <w:szCs w:val="32"/>
        </w:rPr>
      </w:pPr>
    </w:p>
    <w:p w14:paraId="6C641BA9" w14:textId="77777777" w:rsidR="00D26957" w:rsidRPr="005D49B2" w:rsidRDefault="00D26957" w:rsidP="00531A55">
      <w:pPr>
        <w:rPr>
          <w:sz w:val="32"/>
          <w:szCs w:val="32"/>
        </w:rPr>
      </w:pPr>
    </w:p>
    <w:p w14:paraId="578620CC" w14:textId="77777777" w:rsidR="00D26957" w:rsidRPr="005D49B2" w:rsidRDefault="00D26957" w:rsidP="00531A55">
      <w:pPr>
        <w:rPr>
          <w:sz w:val="32"/>
          <w:szCs w:val="32"/>
        </w:rPr>
      </w:pPr>
    </w:p>
    <w:p w14:paraId="4FA51C6F" w14:textId="77777777" w:rsidR="00D26957" w:rsidRPr="00D26957" w:rsidRDefault="00D26957" w:rsidP="00531A55">
      <w:pPr>
        <w:jc w:val="center"/>
        <w:rPr>
          <w:sz w:val="40"/>
          <w:szCs w:val="40"/>
        </w:rPr>
      </w:pPr>
      <w:r>
        <w:rPr>
          <w:sz w:val="40"/>
          <w:szCs w:val="40"/>
        </w:rPr>
        <w:t>ПЛАН</w:t>
      </w:r>
    </w:p>
    <w:p w14:paraId="0C409E80" w14:textId="77777777" w:rsidR="00D26957" w:rsidRPr="005D49B2" w:rsidRDefault="00D26957" w:rsidP="00531A55">
      <w:pPr>
        <w:jc w:val="center"/>
        <w:rPr>
          <w:sz w:val="40"/>
          <w:szCs w:val="40"/>
        </w:rPr>
      </w:pPr>
      <w:r w:rsidRPr="005D49B2">
        <w:rPr>
          <w:sz w:val="40"/>
          <w:szCs w:val="40"/>
        </w:rPr>
        <w:t xml:space="preserve">ЗА </w:t>
      </w:r>
      <w:r>
        <w:rPr>
          <w:sz w:val="40"/>
          <w:szCs w:val="40"/>
        </w:rPr>
        <w:t>НАСЪРЧАВАНЕ НА КОЛЕКТИВНОТО ДОГОВАРЯНЕ</w:t>
      </w:r>
    </w:p>
    <w:p w14:paraId="260D559D" w14:textId="77777777" w:rsidR="00D26957" w:rsidRDefault="00D26957" w:rsidP="00531A55">
      <w:pPr>
        <w:rPr>
          <w:sz w:val="32"/>
          <w:szCs w:val="32"/>
        </w:rPr>
      </w:pPr>
    </w:p>
    <w:p w14:paraId="689A3BF4" w14:textId="77777777" w:rsidR="00D26957" w:rsidRPr="00D26957" w:rsidRDefault="00D26957" w:rsidP="00531A55"/>
    <w:p w14:paraId="7FFAEA43" w14:textId="77777777" w:rsidR="00D26957" w:rsidRPr="005D49B2" w:rsidRDefault="00D26957" w:rsidP="00531A55">
      <w:pPr>
        <w:jc w:val="center"/>
        <w:rPr>
          <w:sz w:val="32"/>
          <w:szCs w:val="32"/>
        </w:rPr>
      </w:pPr>
      <w:r w:rsidRPr="005D49B2">
        <w:rPr>
          <w:sz w:val="32"/>
          <w:szCs w:val="32"/>
        </w:rPr>
        <w:t>20</w:t>
      </w:r>
      <w:r w:rsidRPr="005D49B2">
        <w:rPr>
          <w:sz w:val="32"/>
          <w:szCs w:val="32"/>
          <w:lang w:val="en-US"/>
        </w:rPr>
        <w:t>2</w:t>
      </w:r>
      <w:r>
        <w:rPr>
          <w:sz w:val="32"/>
          <w:szCs w:val="32"/>
        </w:rPr>
        <w:t>6</w:t>
      </w:r>
      <w:r w:rsidRPr="005D49B2">
        <w:rPr>
          <w:sz w:val="32"/>
          <w:szCs w:val="32"/>
        </w:rPr>
        <w:t xml:space="preserve"> - 20</w:t>
      </w:r>
      <w:r>
        <w:rPr>
          <w:sz w:val="32"/>
          <w:szCs w:val="32"/>
        </w:rPr>
        <w:t>30</w:t>
      </w:r>
      <w:r w:rsidRPr="005D49B2">
        <w:rPr>
          <w:sz w:val="32"/>
          <w:szCs w:val="32"/>
        </w:rPr>
        <w:t xml:space="preserve"> година</w:t>
      </w:r>
    </w:p>
    <w:p w14:paraId="57F9F863" w14:textId="77777777" w:rsidR="00D26957" w:rsidRPr="00EE0D13" w:rsidRDefault="00D26957" w:rsidP="00531A55"/>
    <w:p w14:paraId="2BBAC51C" w14:textId="77777777" w:rsidR="00D26957" w:rsidRPr="00EE0D13" w:rsidRDefault="00D26957" w:rsidP="00D26957">
      <w:pPr>
        <w:jc w:val="center"/>
      </w:pPr>
    </w:p>
    <w:p w14:paraId="3728802A" w14:textId="77777777" w:rsidR="00D26957" w:rsidRPr="00EE0D13" w:rsidRDefault="00D26957" w:rsidP="00D26957">
      <w:pPr>
        <w:jc w:val="center"/>
      </w:pPr>
    </w:p>
    <w:p w14:paraId="27C99F8E" w14:textId="77777777" w:rsidR="00D26957" w:rsidRPr="00EE0D13" w:rsidRDefault="00D26957" w:rsidP="00D26957">
      <w:pPr>
        <w:jc w:val="center"/>
      </w:pPr>
    </w:p>
    <w:p w14:paraId="7CFACB52" w14:textId="77777777" w:rsidR="00D26957" w:rsidRPr="00EE0D13" w:rsidRDefault="00D26957" w:rsidP="00D26957">
      <w:pPr>
        <w:jc w:val="center"/>
      </w:pPr>
    </w:p>
    <w:p w14:paraId="3C570698" w14:textId="77777777" w:rsidR="00D26957" w:rsidRPr="00EE0D13" w:rsidRDefault="00D26957" w:rsidP="00D26957">
      <w:pPr>
        <w:jc w:val="center"/>
      </w:pPr>
    </w:p>
    <w:p w14:paraId="71A4CE28" w14:textId="77777777" w:rsidR="00D26957" w:rsidRPr="00EE0D13" w:rsidRDefault="00D26957" w:rsidP="00D26957">
      <w:pPr>
        <w:jc w:val="center"/>
      </w:pPr>
    </w:p>
    <w:p w14:paraId="5A85C5AC" w14:textId="77777777" w:rsidR="00D26957" w:rsidRPr="00EE0D13" w:rsidRDefault="00D26957" w:rsidP="00D26957">
      <w:pPr>
        <w:jc w:val="center"/>
      </w:pPr>
    </w:p>
    <w:p w14:paraId="58FD3C1D" w14:textId="77777777" w:rsidR="00D26957" w:rsidRPr="00EE0D13" w:rsidRDefault="00D26957" w:rsidP="00D26957">
      <w:pPr>
        <w:jc w:val="center"/>
      </w:pPr>
    </w:p>
    <w:p w14:paraId="05F7FC35" w14:textId="77777777" w:rsidR="00D26957" w:rsidRPr="00EE0D13" w:rsidRDefault="00D26957" w:rsidP="00D26957">
      <w:pPr>
        <w:jc w:val="center"/>
      </w:pPr>
    </w:p>
    <w:p w14:paraId="15931E4D" w14:textId="77777777" w:rsidR="00D26957" w:rsidRPr="00EE0D13" w:rsidRDefault="00D26957" w:rsidP="00D26957">
      <w:pPr>
        <w:pStyle w:val="Footer"/>
        <w:jc w:val="center"/>
      </w:pPr>
    </w:p>
    <w:p w14:paraId="47FE276B" w14:textId="77777777" w:rsidR="00D26957" w:rsidRDefault="00D26957" w:rsidP="00D26957">
      <w:pPr>
        <w:jc w:val="center"/>
        <w:rPr>
          <w:b/>
        </w:rPr>
      </w:pPr>
    </w:p>
    <w:p w14:paraId="7C3B1D97" w14:textId="77777777" w:rsidR="00D26957" w:rsidRDefault="00D26957" w:rsidP="00D26957">
      <w:pPr>
        <w:jc w:val="center"/>
        <w:rPr>
          <w:b/>
        </w:rPr>
      </w:pPr>
    </w:p>
    <w:p w14:paraId="02EB3560" w14:textId="77777777" w:rsidR="00D26957" w:rsidRDefault="00D26957" w:rsidP="00D26957">
      <w:pPr>
        <w:jc w:val="center"/>
        <w:rPr>
          <w:b/>
        </w:rPr>
      </w:pPr>
    </w:p>
    <w:p w14:paraId="146B5FBF" w14:textId="77777777" w:rsidR="00D26957" w:rsidRDefault="00D26957" w:rsidP="00D26957">
      <w:pPr>
        <w:jc w:val="center"/>
        <w:rPr>
          <w:b/>
        </w:rPr>
      </w:pPr>
    </w:p>
    <w:p w14:paraId="7644DAE2" w14:textId="77777777" w:rsidR="00D26957" w:rsidRDefault="00D26957" w:rsidP="00D26957">
      <w:pPr>
        <w:jc w:val="center"/>
        <w:rPr>
          <w:b/>
        </w:rPr>
      </w:pPr>
    </w:p>
    <w:p w14:paraId="4A8DFF4B" w14:textId="77777777" w:rsidR="00D26957" w:rsidRDefault="00D26957" w:rsidP="00D26957">
      <w:pPr>
        <w:jc w:val="center"/>
        <w:rPr>
          <w:b/>
        </w:rPr>
      </w:pPr>
    </w:p>
    <w:p w14:paraId="4487CF5D" w14:textId="77777777" w:rsidR="00D26957" w:rsidRDefault="00D26957" w:rsidP="00D26957">
      <w:pPr>
        <w:jc w:val="center"/>
        <w:rPr>
          <w:b/>
        </w:rPr>
      </w:pPr>
    </w:p>
    <w:p w14:paraId="292B0AF0" w14:textId="77777777" w:rsidR="00D26957" w:rsidRDefault="00D26957" w:rsidP="00D26957">
      <w:pPr>
        <w:jc w:val="center"/>
        <w:rPr>
          <w:b/>
        </w:rPr>
      </w:pPr>
    </w:p>
    <w:p w14:paraId="734F5F18" w14:textId="77777777" w:rsidR="00D26957" w:rsidRDefault="00D26957" w:rsidP="00D26957">
      <w:pPr>
        <w:jc w:val="center"/>
        <w:rPr>
          <w:b/>
        </w:rPr>
      </w:pPr>
    </w:p>
    <w:p w14:paraId="4700079E" w14:textId="77777777" w:rsidR="00D26957" w:rsidRDefault="00D26957" w:rsidP="00D26957">
      <w:pPr>
        <w:jc w:val="center"/>
        <w:rPr>
          <w:b/>
        </w:rPr>
      </w:pPr>
    </w:p>
    <w:p w14:paraId="67310174" w14:textId="77777777" w:rsidR="00D26957" w:rsidRDefault="00D26957" w:rsidP="00D26957">
      <w:pPr>
        <w:jc w:val="center"/>
        <w:rPr>
          <w:b/>
        </w:rPr>
      </w:pPr>
    </w:p>
    <w:p w14:paraId="5E119CCD" w14:textId="77777777" w:rsidR="00D26957" w:rsidRDefault="00D26957" w:rsidP="00D26957">
      <w:pPr>
        <w:jc w:val="center"/>
        <w:rPr>
          <w:b/>
        </w:rPr>
      </w:pPr>
    </w:p>
    <w:p w14:paraId="64B94042" w14:textId="77777777" w:rsidR="00D26957" w:rsidRPr="00EE0D13" w:rsidRDefault="00D26957" w:rsidP="00D26957">
      <w:pPr>
        <w:jc w:val="center"/>
        <w:rPr>
          <w:b/>
        </w:rPr>
      </w:pPr>
    </w:p>
    <w:p w14:paraId="31E31160" w14:textId="77777777" w:rsidR="00D26957" w:rsidRDefault="00D26957" w:rsidP="00D26957">
      <w:pPr>
        <w:jc w:val="center"/>
        <w:rPr>
          <w:b/>
        </w:rPr>
      </w:pPr>
    </w:p>
    <w:p w14:paraId="3EE1A0D0" w14:textId="77777777" w:rsidR="001B125E" w:rsidRDefault="001B125E" w:rsidP="00D26957">
      <w:pPr>
        <w:jc w:val="center"/>
        <w:rPr>
          <w:b/>
        </w:rPr>
      </w:pPr>
    </w:p>
    <w:p w14:paraId="30F1B6C6" w14:textId="77777777" w:rsidR="001B125E" w:rsidRDefault="001B125E" w:rsidP="00D26957">
      <w:pPr>
        <w:jc w:val="center"/>
        <w:rPr>
          <w:b/>
        </w:rPr>
      </w:pPr>
    </w:p>
    <w:p w14:paraId="7144B37B" w14:textId="77777777" w:rsidR="001B125E" w:rsidRDefault="001B125E" w:rsidP="00D26957">
      <w:pPr>
        <w:jc w:val="center"/>
        <w:rPr>
          <w:b/>
        </w:rPr>
      </w:pPr>
    </w:p>
    <w:p w14:paraId="53981C20" w14:textId="77777777" w:rsidR="001B125E" w:rsidRDefault="001B125E" w:rsidP="00D26957">
      <w:pPr>
        <w:jc w:val="center"/>
        <w:rPr>
          <w:b/>
        </w:rPr>
      </w:pPr>
    </w:p>
    <w:p w14:paraId="63954317" w14:textId="77777777" w:rsidR="001B125E" w:rsidRDefault="001B125E" w:rsidP="00D26957">
      <w:pPr>
        <w:jc w:val="center"/>
        <w:rPr>
          <w:b/>
        </w:rPr>
      </w:pPr>
    </w:p>
    <w:p w14:paraId="3B130549" w14:textId="77777777" w:rsidR="001B125E" w:rsidRDefault="001B125E" w:rsidP="00D26957">
      <w:pPr>
        <w:jc w:val="center"/>
        <w:rPr>
          <w:b/>
        </w:rPr>
      </w:pPr>
    </w:p>
    <w:p w14:paraId="7CC0DDE8" w14:textId="77777777" w:rsidR="001B125E" w:rsidRDefault="001B125E" w:rsidP="00D26957">
      <w:pPr>
        <w:jc w:val="center"/>
        <w:rPr>
          <w:b/>
        </w:rPr>
      </w:pPr>
    </w:p>
    <w:p w14:paraId="49F4B924" w14:textId="77777777" w:rsidR="001B125E" w:rsidRPr="00EE0D13" w:rsidRDefault="001B125E" w:rsidP="00D26957">
      <w:pPr>
        <w:jc w:val="center"/>
        <w:rPr>
          <w:b/>
        </w:rPr>
      </w:pPr>
    </w:p>
    <w:p w14:paraId="2B65F074" w14:textId="77777777" w:rsidR="00531A55" w:rsidRDefault="00531A55" w:rsidP="00531A55">
      <w:pPr>
        <w:jc w:val="both"/>
        <w:rPr>
          <w:b/>
        </w:rPr>
      </w:pPr>
    </w:p>
    <w:sdt>
      <w:sdtPr>
        <w:rPr>
          <w:rFonts w:ascii="Times New Roman" w:eastAsia="Times New Roman" w:hAnsi="Times New Roman" w:cs="Times New Roman"/>
          <w:color w:val="auto"/>
          <w:sz w:val="24"/>
          <w:szCs w:val="24"/>
          <w:lang w:val="bg-BG" w:eastAsia="bg-BG"/>
        </w:rPr>
        <w:id w:val="-1383245906"/>
        <w:docPartObj>
          <w:docPartGallery w:val="Table of Contents"/>
          <w:docPartUnique/>
        </w:docPartObj>
      </w:sdtPr>
      <w:sdtEndPr>
        <w:rPr>
          <w:b/>
          <w:bCs/>
          <w:noProof/>
        </w:rPr>
      </w:sdtEndPr>
      <w:sdtContent>
        <w:p w14:paraId="00C655BC" w14:textId="77777777" w:rsidR="00531A55" w:rsidRDefault="00E21CEC" w:rsidP="00E21CEC">
          <w:pPr>
            <w:pStyle w:val="TOCHeading"/>
            <w:jc w:val="center"/>
            <w:rPr>
              <w:rFonts w:ascii="Times New Roman" w:hAnsi="Times New Roman" w:cs="Times New Roman"/>
              <w:color w:val="auto"/>
              <w:lang w:val="bg-BG"/>
            </w:rPr>
          </w:pPr>
          <w:r w:rsidRPr="00E21CEC">
            <w:rPr>
              <w:rFonts w:ascii="Times New Roman" w:hAnsi="Times New Roman" w:cs="Times New Roman"/>
              <w:color w:val="auto"/>
              <w:lang w:val="bg-BG"/>
            </w:rPr>
            <w:t>Съдържание</w:t>
          </w:r>
        </w:p>
        <w:p w14:paraId="53D3AB44" w14:textId="77777777" w:rsidR="00E21CEC" w:rsidRPr="00E21CEC" w:rsidRDefault="00E21CEC" w:rsidP="00E21CEC">
          <w:pPr>
            <w:rPr>
              <w:lang w:eastAsia="en-US"/>
            </w:rPr>
          </w:pPr>
        </w:p>
        <w:p w14:paraId="7A5E42B7" w14:textId="24DFA323" w:rsidR="00CE2203" w:rsidRDefault="00531A55">
          <w:pPr>
            <w:pStyle w:val="TOC1"/>
            <w:tabs>
              <w:tab w:val="right" w:leader="dot" w:pos="9344"/>
            </w:tabs>
            <w:rPr>
              <w:rFonts w:cstheme="minorBidi"/>
              <w:noProof/>
              <w:lang w:val="bg-BG" w:eastAsia="bg-BG"/>
            </w:rPr>
          </w:pPr>
          <w:r w:rsidRPr="00E21CEC">
            <w:rPr>
              <w:rFonts w:ascii="Times New Roman" w:hAnsi="Times New Roman"/>
              <w:sz w:val="24"/>
              <w:szCs w:val="24"/>
            </w:rPr>
            <w:fldChar w:fldCharType="begin"/>
          </w:r>
          <w:r w:rsidRPr="00E21CEC">
            <w:rPr>
              <w:rFonts w:ascii="Times New Roman" w:hAnsi="Times New Roman"/>
              <w:sz w:val="24"/>
              <w:szCs w:val="24"/>
            </w:rPr>
            <w:instrText xml:space="preserve"> TOC \o "1-3" \h \z \u </w:instrText>
          </w:r>
          <w:r w:rsidRPr="00E21CEC">
            <w:rPr>
              <w:rFonts w:ascii="Times New Roman" w:hAnsi="Times New Roman"/>
              <w:sz w:val="24"/>
              <w:szCs w:val="24"/>
            </w:rPr>
            <w:fldChar w:fldCharType="separate"/>
          </w:r>
          <w:hyperlink w:anchor="_Toc216436489" w:history="1">
            <w:r w:rsidR="00CE2203" w:rsidRPr="00A40348">
              <w:rPr>
                <w:rStyle w:val="Hyperlink"/>
                <w:noProof/>
              </w:rPr>
              <w:t>I. ВЪВЕДЕНИЕ</w:t>
            </w:r>
            <w:r w:rsidR="00CE2203">
              <w:rPr>
                <w:noProof/>
                <w:webHidden/>
              </w:rPr>
              <w:tab/>
            </w:r>
            <w:r w:rsidR="00CE2203">
              <w:rPr>
                <w:noProof/>
                <w:webHidden/>
              </w:rPr>
              <w:fldChar w:fldCharType="begin"/>
            </w:r>
            <w:r w:rsidR="00CE2203">
              <w:rPr>
                <w:noProof/>
                <w:webHidden/>
              </w:rPr>
              <w:instrText xml:space="preserve"> PAGEREF _Toc216436489 \h </w:instrText>
            </w:r>
            <w:r w:rsidR="00CE2203">
              <w:rPr>
                <w:noProof/>
                <w:webHidden/>
              </w:rPr>
            </w:r>
            <w:r w:rsidR="00CE2203">
              <w:rPr>
                <w:noProof/>
                <w:webHidden/>
              </w:rPr>
              <w:fldChar w:fldCharType="separate"/>
            </w:r>
            <w:r w:rsidR="001632CA">
              <w:rPr>
                <w:noProof/>
                <w:webHidden/>
              </w:rPr>
              <w:t>5</w:t>
            </w:r>
            <w:r w:rsidR="00CE2203">
              <w:rPr>
                <w:noProof/>
                <w:webHidden/>
              </w:rPr>
              <w:fldChar w:fldCharType="end"/>
            </w:r>
          </w:hyperlink>
        </w:p>
        <w:p w14:paraId="0D326B2F" w14:textId="33F4675F" w:rsidR="00CE2203" w:rsidRDefault="002F0A12">
          <w:pPr>
            <w:pStyle w:val="TOC1"/>
            <w:tabs>
              <w:tab w:val="right" w:leader="dot" w:pos="9344"/>
            </w:tabs>
            <w:rPr>
              <w:rFonts w:cstheme="minorBidi"/>
              <w:noProof/>
              <w:lang w:val="bg-BG" w:eastAsia="bg-BG"/>
            </w:rPr>
          </w:pPr>
          <w:hyperlink w:anchor="_Toc216436490" w:history="1">
            <w:r w:rsidR="00CE2203" w:rsidRPr="00A40348">
              <w:rPr>
                <w:rStyle w:val="Hyperlink"/>
                <w:rFonts w:eastAsia="Google Sans"/>
                <w:noProof/>
              </w:rPr>
              <w:t>II. СЪСТОЯНИЕ И ТЕНДЕНЦИИ В РАЗВИТИЕТО НА КОЛЕКТИВНОТО ДОГОВАРЯНЕ В ЕВРОПЕЙСКИЯ СЪЮЗ</w:t>
            </w:r>
            <w:r w:rsidR="00CE2203">
              <w:rPr>
                <w:noProof/>
                <w:webHidden/>
              </w:rPr>
              <w:tab/>
            </w:r>
            <w:r w:rsidR="00CE2203">
              <w:rPr>
                <w:noProof/>
                <w:webHidden/>
              </w:rPr>
              <w:fldChar w:fldCharType="begin"/>
            </w:r>
            <w:r w:rsidR="00CE2203">
              <w:rPr>
                <w:noProof/>
                <w:webHidden/>
              </w:rPr>
              <w:instrText xml:space="preserve"> PAGEREF _Toc216436490 \h </w:instrText>
            </w:r>
            <w:r w:rsidR="00CE2203">
              <w:rPr>
                <w:noProof/>
                <w:webHidden/>
              </w:rPr>
            </w:r>
            <w:r w:rsidR="00CE2203">
              <w:rPr>
                <w:noProof/>
                <w:webHidden/>
              </w:rPr>
              <w:fldChar w:fldCharType="separate"/>
            </w:r>
            <w:r w:rsidR="001632CA">
              <w:rPr>
                <w:noProof/>
                <w:webHidden/>
              </w:rPr>
              <w:t>6</w:t>
            </w:r>
            <w:r w:rsidR="00CE2203">
              <w:rPr>
                <w:noProof/>
                <w:webHidden/>
              </w:rPr>
              <w:fldChar w:fldCharType="end"/>
            </w:r>
          </w:hyperlink>
        </w:p>
        <w:p w14:paraId="6246918F" w14:textId="0D086CAA" w:rsidR="00CE2203" w:rsidRDefault="002F0A12">
          <w:pPr>
            <w:pStyle w:val="TOC1"/>
            <w:tabs>
              <w:tab w:val="right" w:leader="dot" w:pos="9344"/>
            </w:tabs>
            <w:rPr>
              <w:rFonts w:cstheme="minorBidi"/>
              <w:noProof/>
              <w:lang w:val="bg-BG" w:eastAsia="bg-BG"/>
            </w:rPr>
          </w:pPr>
          <w:hyperlink w:anchor="_Toc216436491" w:history="1">
            <w:r w:rsidR="00CE2203" w:rsidRPr="00A40348">
              <w:rPr>
                <w:rStyle w:val="Hyperlink"/>
                <w:noProof/>
              </w:rPr>
              <w:t>III. НОРМАТИВНА РАМКА, СЪСТОЯНИЕ И ТЕНДЕНЦИИ ПРИ КОЛЕКТИВНОТО ДОГОВАРЯНЕ В БЪЛГАРИЯ</w:t>
            </w:r>
            <w:r w:rsidR="00CE2203">
              <w:rPr>
                <w:noProof/>
                <w:webHidden/>
              </w:rPr>
              <w:tab/>
            </w:r>
            <w:r w:rsidR="00CE2203">
              <w:rPr>
                <w:noProof/>
                <w:webHidden/>
              </w:rPr>
              <w:fldChar w:fldCharType="begin"/>
            </w:r>
            <w:r w:rsidR="00CE2203">
              <w:rPr>
                <w:noProof/>
                <w:webHidden/>
              </w:rPr>
              <w:instrText xml:space="preserve"> PAGEREF _Toc216436491 \h </w:instrText>
            </w:r>
            <w:r w:rsidR="00CE2203">
              <w:rPr>
                <w:noProof/>
                <w:webHidden/>
              </w:rPr>
            </w:r>
            <w:r w:rsidR="00CE2203">
              <w:rPr>
                <w:noProof/>
                <w:webHidden/>
              </w:rPr>
              <w:fldChar w:fldCharType="separate"/>
            </w:r>
            <w:r w:rsidR="001632CA">
              <w:rPr>
                <w:noProof/>
                <w:webHidden/>
              </w:rPr>
              <w:t>7</w:t>
            </w:r>
            <w:r w:rsidR="00CE2203">
              <w:rPr>
                <w:noProof/>
                <w:webHidden/>
              </w:rPr>
              <w:fldChar w:fldCharType="end"/>
            </w:r>
          </w:hyperlink>
        </w:p>
        <w:p w14:paraId="484B1096" w14:textId="2A56F055" w:rsidR="00CE2203" w:rsidRDefault="002F0A12">
          <w:pPr>
            <w:pStyle w:val="TOC2"/>
            <w:tabs>
              <w:tab w:val="right" w:leader="dot" w:pos="9344"/>
            </w:tabs>
            <w:rPr>
              <w:rFonts w:cstheme="minorBidi"/>
              <w:noProof/>
              <w:lang w:val="bg-BG" w:eastAsia="bg-BG"/>
            </w:rPr>
          </w:pPr>
          <w:hyperlink w:anchor="_Toc216436492" w:history="1">
            <w:r w:rsidR="00CE2203" w:rsidRPr="00A40348">
              <w:rPr>
                <w:rStyle w:val="Hyperlink"/>
                <w:rFonts w:ascii="Times New Roman" w:hAnsi="Times New Roman"/>
                <w:noProof/>
              </w:rPr>
              <w:t>1. Макроикономическо развитие</w:t>
            </w:r>
            <w:r w:rsidR="00CE2203">
              <w:rPr>
                <w:noProof/>
                <w:webHidden/>
              </w:rPr>
              <w:tab/>
            </w:r>
            <w:r w:rsidR="00CE2203">
              <w:rPr>
                <w:noProof/>
                <w:webHidden/>
              </w:rPr>
              <w:fldChar w:fldCharType="begin"/>
            </w:r>
            <w:r w:rsidR="00CE2203">
              <w:rPr>
                <w:noProof/>
                <w:webHidden/>
              </w:rPr>
              <w:instrText xml:space="preserve"> PAGEREF _Toc216436492 \h </w:instrText>
            </w:r>
            <w:r w:rsidR="00CE2203">
              <w:rPr>
                <w:noProof/>
                <w:webHidden/>
              </w:rPr>
            </w:r>
            <w:r w:rsidR="00CE2203">
              <w:rPr>
                <w:noProof/>
                <w:webHidden/>
              </w:rPr>
              <w:fldChar w:fldCharType="separate"/>
            </w:r>
            <w:r w:rsidR="001632CA">
              <w:rPr>
                <w:noProof/>
                <w:webHidden/>
              </w:rPr>
              <w:t>7</w:t>
            </w:r>
            <w:r w:rsidR="00CE2203">
              <w:rPr>
                <w:noProof/>
                <w:webHidden/>
              </w:rPr>
              <w:fldChar w:fldCharType="end"/>
            </w:r>
          </w:hyperlink>
        </w:p>
        <w:p w14:paraId="02C82B14" w14:textId="3A953043" w:rsidR="00CE2203" w:rsidRDefault="002F0A12">
          <w:pPr>
            <w:pStyle w:val="TOC2"/>
            <w:tabs>
              <w:tab w:val="right" w:leader="dot" w:pos="9344"/>
            </w:tabs>
            <w:rPr>
              <w:rFonts w:cstheme="minorBidi"/>
              <w:noProof/>
              <w:lang w:val="bg-BG" w:eastAsia="bg-BG"/>
            </w:rPr>
          </w:pPr>
          <w:hyperlink w:anchor="_Toc216436493" w:history="1">
            <w:r w:rsidR="00CE2203" w:rsidRPr="00A40348">
              <w:rPr>
                <w:rStyle w:val="Hyperlink"/>
                <w:rFonts w:ascii="Times New Roman" w:hAnsi="Times New Roman"/>
                <w:noProof/>
              </w:rPr>
              <w:t>2. Тенденции на заетостта</w:t>
            </w:r>
            <w:r w:rsidR="00CE2203">
              <w:rPr>
                <w:noProof/>
                <w:webHidden/>
              </w:rPr>
              <w:tab/>
            </w:r>
            <w:r w:rsidR="00CE2203">
              <w:rPr>
                <w:noProof/>
                <w:webHidden/>
              </w:rPr>
              <w:fldChar w:fldCharType="begin"/>
            </w:r>
            <w:r w:rsidR="00CE2203">
              <w:rPr>
                <w:noProof/>
                <w:webHidden/>
              </w:rPr>
              <w:instrText xml:space="preserve"> PAGEREF _Toc216436493 \h </w:instrText>
            </w:r>
            <w:r w:rsidR="00CE2203">
              <w:rPr>
                <w:noProof/>
                <w:webHidden/>
              </w:rPr>
            </w:r>
            <w:r w:rsidR="00CE2203">
              <w:rPr>
                <w:noProof/>
                <w:webHidden/>
              </w:rPr>
              <w:fldChar w:fldCharType="separate"/>
            </w:r>
            <w:r w:rsidR="001632CA">
              <w:rPr>
                <w:noProof/>
                <w:webHidden/>
              </w:rPr>
              <w:t>8</w:t>
            </w:r>
            <w:r w:rsidR="00CE2203">
              <w:rPr>
                <w:noProof/>
                <w:webHidden/>
              </w:rPr>
              <w:fldChar w:fldCharType="end"/>
            </w:r>
          </w:hyperlink>
        </w:p>
        <w:p w14:paraId="542956E9" w14:textId="4A0ECE8F" w:rsidR="00CE2203" w:rsidRDefault="002F0A12">
          <w:pPr>
            <w:pStyle w:val="TOC2"/>
            <w:tabs>
              <w:tab w:val="right" w:leader="dot" w:pos="9344"/>
            </w:tabs>
            <w:rPr>
              <w:rFonts w:cstheme="minorBidi"/>
              <w:noProof/>
              <w:lang w:val="bg-BG" w:eastAsia="bg-BG"/>
            </w:rPr>
          </w:pPr>
          <w:hyperlink w:anchor="_Toc216436494" w:history="1">
            <w:r w:rsidR="00CE2203" w:rsidRPr="00A40348">
              <w:rPr>
                <w:rStyle w:val="Hyperlink"/>
                <w:rFonts w:ascii="Times New Roman" w:hAnsi="Times New Roman"/>
                <w:noProof/>
              </w:rPr>
              <w:t>3. Колективно договаряне – развитие, нормативна уредба и институционална рамка</w:t>
            </w:r>
            <w:r w:rsidR="00CE2203">
              <w:rPr>
                <w:noProof/>
                <w:webHidden/>
              </w:rPr>
              <w:tab/>
            </w:r>
            <w:r w:rsidR="00CE2203">
              <w:rPr>
                <w:noProof/>
                <w:webHidden/>
              </w:rPr>
              <w:fldChar w:fldCharType="begin"/>
            </w:r>
            <w:r w:rsidR="00CE2203">
              <w:rPr>
                <w:noProof/>
                <w:webHidden/>
              </w:rPr>
              <w:instrText xml:space="preserve"> PAGEREF _Toc216436494 \h </w:instrText>
            </w:r>
            <w:r w:rsidR="00CE2203">
              <w:rPr>
                <w:noProof/>
                <w:webHidden/>
              </w:rPr>
            </w:r>
            <w:r w:rsidR="00CE2203">
              <w:rPr>
                <w:noProof/>
                <w:webHidden/>
              </w:rPr>
              <w:fldChar w:fldCharType="separate"/>
            </w:r>
            <w:r w:rsidR="001632CA">
              <w:rPr>
                <w:noProof/>
                <w:webHidden/>
              </w:rPr>
              <w:t>9</w:t>
            </w:r>
            <w:r w:rsidR="00CE2203">
              <w:rPr>
                <w:noProof/>
                <w:webHidden/>
              </w:rPr>
              <w:fldChar w:fldCharType="end"/>
            </w:r>
          </w:hyperlink>
        </w:p>
        <w:p w14:paraId="50F80EC6" w14:textId="5168F0DE" w:rsidR="00CE2203" w:rsidRDefault="002F0A12">
          <w:pPr>
            <w:pStyle w:val="TOC3"/>
            <w:tabs>
              <w:tab w:val="right" w:leader="dot" w:pos="9344"/>
            </w:tabs>
            <w:rPr>
              <w:rFonts w:cstheme="minorBidi"/>
              <w:noProof/>
              <w:lang w:val="bg-BG" w:eastAsia="bg-BG"/>
            </w:rPr>
          </w:pPr>
          <w:hyperlink w:anchor="_Toc216436495" w:history="1">
            <w:r w:rsidR="00CE2203" w:rsidRPr="00A40348">
              <w:rPr>
                <w:rStyle w:val="Hyperlink"/>
                <w:rFonts w:ascii="Times New Roman" w:hAnsi="Times New Roman"/>
                <w:noProof/>
              </w:rPr>
              <w:t>3.1. Защитата на правото на сдружаване</w:t>
            </w:r>
            <w:r w:rsidR="00CE2203">
              <w:rPr>
                <w:noProof/>
                <w:webHidden/>
              </w:rPr>
              <w:tab/>
            </w:r>
            <w:r w:rsidR="00CE2203">
              <w:rPr>
                <w:noProof/>
                <w:webHidden/>
              </w:rPr>
              <w:fldChar w:fldCharType="begin"/>
            </w:r>
            <w:r w:rsidR="00CE2203">
              <w:rPr>
                <w:noProof/>
                <w:webHidden/>
              </w:rPr>
              <w:instrText xml:space="preserve"> PAGEREF _Toc216436495 \h </w:instrText>
            </w:r>
            <w:r w:rsidR="00CE2203">
              <w:rPr>
                <w:noProof/>
                <w:webHidden/>
              </w:rPr>
            </w:r>
            <w:r w:rsidR="00CE2203">
              <w:rPr>
                <w:noProof/>
                <w:webHidden/>
              </w:rPr>
              <w:fldChar w:fldCharType="separate"/>
            </w:r>
            <w:r w:rsidR="001632CA">
              <w:rPr>
                <w:noProof/>
                <w:webHidden/>
              </w:rPr>
              <w:t>9</w:t>
            </w:r>
            <w:r w:rsidR="00CE2203">
              <w:rPr>
                <w:noProof/>
                <w:webHidden/>
              </w:rPr>
              <w:fldChar w:fldCharType="end"/>
            </w:r>
          </w:hyperlink>
        </w:p>
        <w:p w14:paraId="575BA283" w14:textId="47A3E630" w:rsidR="00CE2203" w:rsidRDefault="002F0A12">
          <w:pPr>
            <w:pStyle w:val="TOC3"/>
            <w:tabs>
              <w:tab w:val="right" w:leader="dot" w:pos="9344"/>
            </w:tabs>
            <w:rPr>
              <w:rFonts w:cstheme="minorBidi"/>
              <w:noProof/>
              <w:lang w:val="bg-BG" w:eastAsia="bg-BG"/>
            </w:rPr>
          </w:pPr>
          <w:hyperlink w:anchor="_Toc216436496" w:history="1">
            <w:r w:rsidR="00CE2203" w:rsidRPr="00A40348">
              <w:rPr>
                <w:rStyle w:val="Hyperlink"/>
                <w:rFonts w:ascii="Times New Roman" w:hAnsi="Times New Roman"/>
                <w:noProof/>
              </w:rPr>
              <w:t>3.2. Развитие на нормативната уредба на колективното договаряне</w:t>
            </w:r>
            <w:r w:rsidR="00CE2203">
              <w:rPr>
                <w:noProof/>
                <w:webHidden/>
              </w:rPr>
              <w:tab/>
            </w:r>
            <w:r w:rsidR="00CE2203">
              <w:rPr>
                <w:noProof/>
                <w:webHidden/>
              </w:rPr>
              <w:fldChar w:fldCharType="begin"/>
            </w:r>
            <w:r w:rsidR="00CE2203">
              <w:rPr>
                <w:noProof/>
                <w:webHidden/>
              </w:rPr>
              <w:instrText xml:space="preserve"> PAGEREF _Toc216436496 \h </w:instrText>
            </w:r>
            <w:r w:rsidR="00CE2203">
              <w:rPr>
                <w:noProof/>
                <w:webHidden/>
              </w:rPr>
            </w:r>
            <w:r w:rsidR="00CE2203">
              <w:rPr>
                <w:noProof/>
                <w:webHidden/>
              </w:rPr>
              <w:fldChar w:fldCharType="separate"/>
            </w:r>
            <w:r w:rsidR="001632CA">
              <w:rPr>
                <w:noProof/>
                <w:webHidden/>
              </w:rPr>
              <w:t>11</w:t>
            </w:r>
            <w:r w:rsidR="00CE2203">
              <w:rPr>
                <w:noProof/>
                <w:webHidden/>
              </w:rPr>
              <w:fldChar w:fldCharType="end"/>
            </w:r>
          </w:hyperlink>
        </w:p>
        <w:p w14:paraId="71765A99" w14:textId="4300E72D" w:rsidR="00CE2203" w:rsidRDefault="002F0A12">
          <w:pPr>
            <w:pStyle w:val="TOC3"/>
            <w:tabs>
              <w:tab w:val="right" w:leader="dot" w:pos="9344"/>
            </w:tabs>
            <w:rPr>
              <w:rFonts w:cstheme="minorBidi"/>
              <w:noProof/>
              <w:lang w:val="bg-BG" w:eastAsia="bg-BG"/>
            </w:rPr>
          </w:pPr>
          <w:hyperlink w:anchor="_Toc216436497" w:history="1">
            <w:r w:rsidR="00CE2203" w:rsidRPr="00A40348">
              <w:rPr>
                <w:rStyle w:val="Hyperlink"/>
                <w:rFonts w:ascii="Times New Roman" w:hAnsi="Times New Roman"/>
                <w:noProof/>
              </w:rPr>
              <w:t>3.3. Нормативна уредба на колективното договаряне за работниците и служителите по трудови правоотношения</w:t>
            </w:r>
            <w:r w:rsidR="00CE2203">
              <w:rPr>
                <w:noProof/>
                <w:webHidden/>
              </w:rPr>
              <w:tab/>
            </w:r>
            <w:r w:rsidR="00CE2203">
              <w:rPr>
                <w:noProof/>
                <w:webHidden/>
              </w:rPr>
              <w:fldChar w:fldCharType="begin"/>
            </w:r>
            <w:r w:rsidR="00CE2203">
              <w:rPr>
                <w:noProof/>
                <w:webHidden/>
              </w:rPr>
              <w:instrText xml:space="preserve"> PAGEREF _Toc216436497 \h </w:instrText>
            </w:r>
            <w:r w:rsidR="00CE2203">
              <w:rPr>
                <w:noProof/>
                <w:webHidden/>
              </w:rPr>
            </w:r>
            <w:r w:rsidR="00CE2203">
              <w:rPr>
                <w:noProof/>
                <w:webHidden/>
              </w:rPr>
              <w:fldChar w:fldCharType="separate"/>
            </w:r>
            <w:r w:rsidR="001632CA">
              <w:rPr>
                <w:noProof/>
                <w:webHidden/>
              </w:rPr>
              <w:t>15</w:t>
            </w:r>
            <w:r w:rsidR="00CE2203">
              <w:rPr>
                <w:noProof/>
                <w:webHidden/>
              </w:rPr>
              <w:fldChar w:fldCharType="end"/>
            </w:r>
          </w:hyperlink>
        </w:p>
        <w:p w14:paraId="647E85B5" w14:textId="781124F8" w:rsidR="00CE2203" w:rsidRDefault="002F0A12">
          <w:pPr>
            <w:pStyle w:val="TOC3"/>
            <w:tabs>
              <w:tab w:val="right" w:leader="dot" w:pos="9344"/>
            </w:tabs>
            <w:rPr>
              <w:rFonts w:cstheme="minorBidi"/>
              <w:noProof/>
              <w:lang w:val="bg-BG" w:eastAsia="bg-BG"/>
            </w:rPr>
          </w:pPr>
          <w:hyperlink w:anchor="_Toc216436498" w:history="1">
            <w:r w:rsidR="00CE2203" w:rsidRPr="00A40348">
              <w:rPr>
                <w:rStyle w:val="Hyperlink"/>
                <w:rFonts w:ascii="Times New Roman" w:hAnsi="Times New Roman"/>
                <w:noProof/>
              </w:rPr>
              <w:t>3.4. Нормативна уредба на колективно договаряне за държавните служители</w:t>
            </w:r>
            <w:r w:rsidR="00CE2203">
              <w:rPr>
                <w:noProof/>
                <w:webHidden/>
              </w:rPr>
              <w:tab/>
            </w:r>
            <w:r w:rsidR="00CE2203">
              <w:rPr>
                <w:noProof/>
                <w:webHidden/>
              </w:rPr>
              <w:fldChar w:fldCharType="begin"/>
            </w:r>
            <w:r w:rsidR="00CE2203">
              <w:rPr>
                <w:noProof/>
                <w:webHidden/>
              </w:rPr>
              <w:instrText xml:space="preserve"> PAGEREF _Toc216436498 \h </w:instrText>
            </w:r>
            <w:r w:rsidR="00CE2203">
              <w:rPr>
                <w:noProof/>
                <w:webHidden/>
              </w:rPr>
            </w:r>
            <w:r w:rsidR="00CE2203">
              <w:rPr>
                <w:noProof/>
                <w:webHidden/>
              </w:rPr>
              <w:fldChar w:fldCharType="separate"/>
            </w:r>
            <w:r w:rsidR="001632CA">
              <w:rPr>
                <w:noProof/>
                <w:webHidden/>
              </w:rPr>
              <w:t>15</w:t>
            </w:r>
            <w:r w:rsidR="00CE2203">
              <w:rPr>
                <w:noProof/>
                <w:webHidden/>
              </w:rPr>
              <w:fldChar w:fldCharType="end"/>
            </w:r>
          </w:hyperlink>
        </w:p>
        <w:p w14:paraId="64DC60C5" w14:textId="37A7FA95" w:rsidR="00CE2203" w:rsidRDefault="002F0A12">
          <w:pPr>
            <w:pStyle w:val="TOC3"/>
            <w:tabs>
              <w:tab w:val="right" w:leader="dot" w:pos="9344"/>
            </w:tabs>
            <w:rPr>
              <w:rFonts w:cstheme="minorBidi"/>
              <w:noProof/>
              <w:lang w:val="bg-BG" w:eastAsia="bg-BG"/>
            </w:rPr>
          </w:pPr>
          <w:hyperlink w:anchor="_Toc216436499" w:history="1">
            <w:r w:rsidR="00CE2203" w:rsidRPr="00A40348">
              <w:rPr>
                <w:rStyle w:val="Hyperlink"/>
                <w:rFonts w:ascii="Times New Roman" w:hAnsi="Times New Roman"/>
                <w:noProof/>
              </w:rPr>
              <w:t>3.5. Уреждане на колективните трудови спорове</w:t>
            </w:r>
            <w:r w:rsidR="00CE2203">
              <w:rPr>
                <w:noProof/>
                <w:webHidden/>
              </w:rPr>
              <w:tab/>
            </w:r>
            <w:r w:rsidR="00CE2203">
              <w:rPr>
                <w:noProof/>
                <w:webHidden/>
              </w:rPr>
              <w:fldChar w:fldCharType="begin"/>
            </w:r>
            <w:r w:rsidR="00CE2203">
              <w:rPr>
                <w:noProof/>
                <w:webHidden/>
              </w:rPr>
              <w:instrText xml:space="preserve"> PAGEREF _Toc216436499 \h </w:instrText>
            </w:r>
            <w:r w:rsidR="00CE2203">
              <w:rPr>
                <w:noProof/>
                <w:webHidden/>
              </w:rPr>
            </w:r>
            <w:r w:rsidR="00CE2203">
              <w:rPr>
                <w:noProof/>
                <w:webHidden/>
              </w:rPr>
              <w:fldChar w:fldCharType="separate"/>
            </w:r>
            <w:r w:rsidR="001632CA">
              <w:rPr>
                <w:noProof/>
                <w:webHidden/>
              </w:rPr>
              <w:t>16</w:t>
            </w:r>
            <w:r w:rsidR="00CE2203">
              <w:rPr>
                <w:noProof/>
                <w:webHidden/>
              </w:rPr>
              <w:fldChar w:fldCharType="end"/>
            </w:r>
          </w:hyperlink>
        </w:p>
        <w:p w14:paraId="7579549B" w14:textId="69621E31" w:rsidR="00CE2203" w:rsidRDefault="002F0A12">
          <w:pPr>
            <w:pStyle w:val="TOC3"/>
            <w:tabs>
              <w:tab w:val="right" w:leader="dot" w:pos="9344"/>
            </w:tabs>
            <w:rPr>
              <w:rFonts w:cstheme="minorBidi"/>
              <w:noProof/>
              <w:lang w:val="bg-BG" w:eastAsia="bg-BG"/>
            </w:rPr>
          </w:pPr>
          <w:hyperlink w:anchor="_Toc216436500" w:history="1">
            <w:r w:rsidR="00CE2203" w:rsidRPr="00A40348">
              <w:rPr>
                <w:rStyle w:val="Hyperlink"/>
                <w:rFonts w:ascii="Times New Roman" w:hAnsi="Times New Roman"/>
                <w:noProof/>
              </w:rPr>
              <w:t>3.6. Институционална рамка</w:t>
            </w:r>
            <w:r w:rsidR="00CE2203">
              <w:rPr>
                <w:noProof/>
                <w:webHidden/>
              </w:rPr>
              <w:tab/>
            </w:r>
            <w:r w:rsidR="00CE2203">
              <w:rPr>
                <w:noProof/>
                <w:webHidden/>
              </w:rPr>
              <w:fldChar w:fldCharType="begin"/>
            </w:r>
            <w:r w:rsidR="00CE2203">
              <w:rPr>
                <w:noProof/>
                <w:webHidden/>
              </w:rPr>
              <w:instrText xml:space="preserve"> PAGEREF _Toc216436500 \h </w:instrText>
            </w:r>
            <w:r w:rsidR="00CE2203">
              <w:rPr>
                <w:noProof/>
                <w:webHidden/>
              </w:rPr>
            </w:r>
            <w:r w:rsidR="00CE2203">
              <w:rPr>
                <w:noProof/>
                <w:webHidden/>
              </w:rPr>
              <w:fldChar w:fldCharType="separate"/>
            </w:r>
            <w:r w:rsidR="001632CA">
              <w:rPr>
                <w:noProof/>
                <w:webHidden/>
              </w:rPr>
              <w:t>17</w:t>
            </w:r>
            <w:r w:rsidR="00CE2203">
              <w:rPr>
                <w:noProof/>
                <w:webHidden/>
              </w:rPr>
              <w:fldChar w:fldCharType="end"/>
            </w:r>
          </w:hyperlink>
        </w:p>
        <w:p w14:paraId="4AAFC5DB" w14:textId="0177DA2D" w:rsidR="00CE2203" w:rsidRDefault="002F0A12">
          <w:pPr>
            <w:pStyle w:val="TOC2"/>
            <w:tabs>
              <w:tab w:val="right" w:leader="dot" w:pos="9344"/>
            </w:tabs>
            <w:rPr>
              <w:rFonts w:cstheme="minorBidi"/>
              <w:noProof/>
              <w:lang w:val="bg-BG" w:eastAsia="bg-BG"/>
            </w:rPr>
          </w:pPr>
          <w:hyperlink w:anchor="_Toc216436501" w:history="1">
            <w:r w:rsidR="00CE2203" w:rsidRPr="00A40348">
              <w:rPr>
                <w:rStyle w:val="Hyperlink"/>
                <w:rFonts w:ascii="Times New Roman" w:hAnsi="Times New Roman"/>
                <w:noProof/>
              </w:rPr>
              <w:t>4. Състояние и тенденции в колективното договаряне в Република България</w:t>
            </w:r>
            <w:r w:rsidR="00CE2203">
              <w:rPr>
                <w:noProof/>
                <w:webHidden/>
              </w:rPr>
              <w:tab/>
            </w:r>
            <w:r w:rsidR="00CE2203">
              <w:rPr>
                <w:noProof/>
                <w:webHidden/>
              </w:rPr>
              <w:fldChar w:fldCharType="begin"/>
            </w:r>
            <w:r w:rsidR="00CE2203">
              <w:rPr>
                <w:noProof/>
                <w:webHidden/>
              </w:rPr>
              <w:instrText xml:space="preserve"> PAGEREF _Toc216436501 \h </w:instrText>
            </w:r>
            <w:r w:rsidR="00CE2203">
              <w:rPr>
                <w:noProof/>
                <w:webHidden/>
              </w:rPr>
            </w:r>
            <w:r w:rsidR="00CE2203">
              <w:rPr>
                <w:noProof/>
                <w:webHidden/>
              </w:rPr>
              <w:fldChar w:fldCharType="separate"/>
            </w:r>
            <w:r w:rsidR="001632CA">
              <w:rPr>
                <w:noProof/>
                <w:webHidden/>
              </w:rPr>
              <w:t>18</w:t>
            </w:r>
            <w:r w:rsidR="00CE2203">
              <w:rPr>
                <w:noProof/>
                <w:webHidden/>
              </w:rPr>
              <w:fldChar w:fldCharType="end"/>
            </w:r>
          </w:hyperlink>
        </w:p>
        <w:p w14:paraId="54462CA9" w14:textId="1CB86B35" w:rsidR="00CE2203" w:rsidRDefault="002F0A12">
          <w:pPr>
            <w:pStyle w:val="TOC3"/>
            <w:tabs>
              <w:tab w:val="right" w:leader="dot" w:pos="9344"/>
            </w:tabs>
            <w:rPr>
              <w:rFonts w:cstheme="minorBidi"/>
              <w:noProof/>
              <w:lang w:val="bg-BG" w:eastAsia="bg-BG"/>
            </w:rPr>
          </w:pPr>
          <w:hyperlink w:anchor="_Toc216436502" w:history="1">
            <w:r w:rsidR="00CE2203" w:rsidRPr="00A40348">
              <w:rPr>
                <w:rStyle w:val="Hyperlink"/>
                <w:rFonts w:ascii="Times New Roman" w:hAnsi="Times New Roman"/>
                <w:noProof/>
              </w:rPr>
              <w:t>4.1. Брой на колективните договори</w:t>
            </w:r>
            <w:r w:rsidR="00CE2203">
              <w:rPr>
                <w:noProof/>
                <w:webHidden/>
              </w:rPr>
              <w:tab/>
            </w:r>
            <w:r w:rsidR="00CE2203">
              <w:rPr>
                <w:noProof/>
                <w:webHidden/>
              </w:rPr>
              <w:fldChar w:fldCharType="begin"/>
            </w:r>
            <w:r w:rsidR="00CE2203">
              <w:rPr>
                <w:noProof/>
                <w:webHidden/>
              </w:rPr>
              <w:instrText xml:space="preserve"> PAGEREF _Toc216436502 \h </w:instrText>
            </w:r>
            <w:r w:rsidR="00CE2203">
              <w:rPr>
                <w:noProof/>
                <w:webHidden/>
              </w:rPr>
            </w:r>
            <w:r w:rsidR="00CE2203">
              <w:rPr>
                <w:noProof/>
                <w:webHidden/>
              </w:rPr>
              <w:fldChar w:fldCharType="separate"/>
            </w:r>
            <w:r w:rsidR="001632CA">
              <w:rPr>
                <w:noProof/>
                <w:webHidden/>
              </w:rPr>
              <w:t>18</w:t>
            </w:r>
            <w:r w:rsidR="00CE2203">
              <w:rPr>
                <w:noProof/>
                <w:webHidden/>
              </w:rPr>
              <w:fldChar w:fldCharType="end"/>
            </w:r>
          </w:hyperlink>
        </w:p>
        <w:p w14:paraId="232C41E3" w14:textId="0DBC8CBA" w:rsidR="00CE2203" w:rsidRDefault="002F0A12">
          <w:pPr>
            <w:pStyle w:val="TOC3"/>
            <w:tabs>
              <w:tab w:val="right" w:leader="dot" w:pos="9344"/>
            </w:tabs>
            <w:rPr>
              <w:rFonts w:cstheme="minorBidi"/>
              <w:noProof/>
              <w:lang w:val="bg-BG" w:eastAsia="bg-BG"/>
            </w:rPr>
          </w:pPr>
          <w:hyperlink w:anchor="_Toc216436503" w:history="1">
            <w:r w:rsidR="00CE2203" w:rsidRPr="00A40348">
              <w:rPr>
                <w:rStyle w:val="Hyperlink"/>
                <w:rFonts w:ascii="Times New Roman" w:hAnsi="Times New Roman"/>
                <w:noProof/>
              </w:rPr>
              <w:t>4.2. Обхват спрямо лицата, за които се прилагат колективните договори</w:t>
            </w:r>
            <w:r w:rsidR="00CE2203">
              <w:rPr>
                <w:noProof/>
                <w:webHidden/>
              </w:rPr>
              <w:tab/>
            </w:r>
            <w:r w:rsidR="00CE2203">
              <w:rPr>
                <w:noProof/>
                <w:webHidden/>
              </w:rPr>
              <w:fldChar w:fldCharType="begin"/>
            </w:r>
            <w:r w:rsidR="00CE2203">
              <w:rPr>
                <w:noProof/>
                <w:webHidden/>
              </w:rPr>
              <w:instrText xml:space="preserve"> PAGEREF _Toc216436503 \h </w:instrText>
            </w:r>
            <w:r w:rsidR="00CE2203">
              <w:rPr>
                <w:noProof/>
                <w:webHidden/>
              </w:rPr>
            </w:r>
            <w:r w:rsidR="00CE2203">
              <w:rPr>
                <w:noProof/>
                <w:webHidden/>
              </w:rPr>
              <w:fldChar w:fldCharType="separate"/>
            </w:r>
            <w:r w:rsidR="001632CA">
              <w:rPr>
                <w:noProof/>
                <w:webHidden/>
              </w:rPr>
              <w:t>21</w:t>
            </w:r>
            <w:r w:rsidR="00CE2203">
              <w:rPr>
                <w:noProof/>
                <w:webHidden/>
              </w:rPr>
              <w:fldChar w:fldCharType="end"/>
            </w:r>
          </w:hyperlink>
        </w:p>
        <w:p w14:paraId="73E869EB" w14:textId="6E1DFB60" w:rsidR="00CE2203" w:rsidRDefault="002F0A12">
          <w:pPr>
            <w:pStyle w:val="TOC1"/>
            <w:tabs>
              <w:tab w:val="right" w:leader="dot" w:pos="9344"/>
            </w:tabs>
            <w:rPr>
              <w:rFonts w:cstheme="minorBidi"/>
              <w:noProof/>
              <w:lang w:val="bg-BG" w:eastAsia="bg-BG"/>
            </w:rPr>
          </w:pPr>
          <w:hyperlink w:anchor="_Toc216436504" w:history="1">
            <w:r w:rsidR="00CE2203" w:rsidRPr="00A40348">
              <w:rPr>
                <w:rStyle w:val="Hyperlink"/>
                <w:noProof/>
              </w:rPr>
              <w:t>IV. ОСНОВНИ ИЗВОДИ И ПРЕДИЗВИКАТЕЛСТВА ПРЕД КОЛЕКТИВНОТО ДОГОВАРЯНЕ</w:t>
            </w:r>
            <w:r w:rsidR="00CE2203">
              <w:rPr>
                <w:noProof/>
                <w:webHidden/>
              </w:rPr>
              <w:tab/>
            </w:r>
            <w:r w:rsidR="00CE2203">
              <w:rPr>
                <w:noProof/>
                <w:webHidden/>
              </w:rPr>
              <w:fldChar w:fldCharType="begin"/>
            </w:r>
            <w:r w:rsidR="00CE2203">
              <w:rPr>
                <w:noProof/>
                <w:webHidden/>
              </w:rPr>
              <w:instrText xml:space="preserve"> PAGEREF _Toc216436504 \h </w:instrText>
            </w:r>
            <w:r w:rsidR="00CE2203">
              <w:rPr>
                <w:noProof/>
                <w:webHidden/>
              </w:rPr>
            </w:r>
            <w:r w:rsidR="00CE2203">
              <w:rPr>
                <w:noProof/>
                <w:webHidden/>
              </w:rPr>
              <w:fldChar w:fldCharType="separate"/>
            </w:r>
            <w:r w:rsidR="001632CA">
              <w:rPr>
                <w:noProof/>
                <w:webHidden/>
              </w:rPr>
              <w:t>22</w:t>
            </w:r>
            <w:r w:rsidR="00CE2203">
              <w:rPr>
                <w:noProof/>
                <w:webHidden/>
              </w:rPr>
              <w:fldChar w:fldCharType="end"/>
            </w:r>
          </w:hyperlink>
        </w:p>
        <w:p w14:paraId="36344F03" w14:textId="5F26B6B0" w:rsidR="00CE2203" w:rsidRDefault="002F0A12">
          <w:pPr>
            <w:pStyle w:val="TOC1"/>
            <w:tabs>
              <w:tab w:val="right" w:leader="dot" w:pos="9344"/>
            </w:tabs>
            <w:rPr>
              <w:rFonts w:cstheme="minorBidi"/>
              <w:noProof/>
              <w:lang w:val="bg-BG" w:eastAsia="bg-BG"/>
            </w:rPr>
          </w:pPr>
          <w:hyperlink w:anchor="_Toc216436505" w:history="1">
            <w:r w:rsidR="00CE2203" w:rsidRPr="00A40348">
              <w:rPr>
                <w:rStyle w:val="Hyperlink"/>
                <w:noProof/>
              </w:rPr>
              <w:t>V. СТРАТЕГИЧЕСКА И ОПЕРАТИВНИ ЦЕЛИ</w:t>
            </w:r>
            <w:r w:rsidR="00CE2203">
              <w:rPr>
                <w:noProof/>
                <w:webHidden/>
              </w:rPr>
              <w:tab/>
            </w:r>
            <w:r w:rsidR="00CE2203">
              <w:rPr>
                <w:noProof/>
                <w:webHidden/>
              </w:rPr>
              <w:fldChar w:fldCharType="begin"/>
            </w:r>
            <w:r w:rsidR="00CE2203">
              <w:rPr>
                <w:noProof/>
                <w:webHidden/>
              </w:rPr>
              <w:instrText xml:space="preserve"> PAGEREF _Toc216436505 \h </w:instrText>
            </w:r>
            <w:r w:rsidR="00CE2203">
              <w:rPr>
                <w:noProof/>
                <w:webHidden/>
              </w:rPr>
            </w:r>
            <w:r w:rsidR="00CE2203">
              <w:rPr>
                <w:noProof/>
                <w:webHidden/>
              </w:rPr>
              <w:fldChar w:fldCharType="separate"/>
            </w:r>
            <w:r w:rsidR="001632CA">
              <w:rPr>
                <w:noProof/>
                <w:webHidden/>
              </w:rPr>
              <w:t>24</w:t>
            </w:r>
            <w:r w:rsidR="00CE2203">
              <w:rPr>
                <w:noProof/>
                <w:webHidden/>
              </w:rPr>
              <w:fldChar w:fldCharType="end"/>
            </w:r>
          </w:hyperlink>
        </w:p>
        <w:p w14:paraId="0FC7FCA3" w14:textId="5F8C147D" w:rsidR="00CE2203" w:rsidRDefault="002F0A12">
          <w:pPr>
            <w:pStyle w:val="TOC1"/>
            <w:tabs>
              <w:tab w:val="right" w:leader="dot" w:pos="9344"/>
            </w:tabs>
            <w:rPr>
              <w:rFonts w:cstheme="minorBidi"/>
              <w:noProof/>
              <w:lang w:val="bg-BG" w:eastAsia="bg-BG"/>
            </w:rPr>
          </w:pPr>
          <w:hyperlink w:anchor="_Toc216436506" w:history="1">
            <w:r w:rsidR="00CE2203" w:rsidRPr="00A40348">
              <w:rPr>
                <w:rStyle w:val="Hyperlink"/>
                <w:noProof/>
              </w:rPr>
              <w:t>VI. МЕРКИ ЗА НАСЪРЧАВАНЕ НА КОЛЕКТИВНОТО ДОГОВАРЯНЕ 2026 - 2030 ГОДИНА</w:t>
            </w:r>
            <w:r w:rsidR="00CE2203">
              <w:rPr>
                <w:noProof/>
                <w:webHidden/>
              </w:rPr>
              <w:tab/>
            </w:r>
            <w:r w:rsidR="00CE2203">
              <w:rPr>
                <w:noProof/>
                <w:webHidden/>
              </w:rPr>
              <w:fldChar w:fldCharType="begin"/>
            </w:r>
            <w:r w:rsidR="00CE2203">
              <w:rPr>
                <w:noProof/>
                <w:webHidden/>
              </w:rPr>
              <w:instrText xml:space="preserve"> PAGEREF _Toc216436506 \h </w:instrText>
            </w:r>
            <w:r w:rsidR="00CE2203">
              <w:rPr>
                <w:noProof/>
                <w:webHidden/>
              </w:rPr>
            </w:r>
            <w:r w:rsidR="00CE2203">
              <w:rPr>
                <w:noProof/>
                <w:webHidden/>
              </w:rPr>
              <w:fldChar w:fldCharType="separate"/>
            </w:r>
            <w:r w:rsidR="001632CA">
              <w:rPr>
                <w:noProof/>
                <w:webHidden/>
              </w:rPr>
              <w:t>25</w:t>
            </w:r>
            <w:r w:rsidR="00CE2203">
              <w:rPr>
                <w:noProof/>
                <w:webHidden/>
              </w:rPr>
              <w:fldChar w:fldCharType="end"/>
            </w:r>
          </w:hyperlink>
        </w:p>
        <w:p w14:paraId="0633A4D4" w14:textId="77777777" w:rsidR="00531A55" w:rsidRDefault="00531A55">
          <w:r w:rsidRPr="00E21CEC">
            <w:rPr>
              <w:b/>
              <w:bCs/>
              <w:noProof/>
            </w:rPr>
            <w:fldChar w:fldCharType="end"/>
          </w:r>
        </w:p>
      </w:sdtContent>
    </w:sdt>
    <w:p w14:paraId="0647018E" w14:textId="77777777" w:rsidR="00531A55" w:rsidRDefault="00531A55" w:rsidP="00531A55">
      <w:pPr>
        <w:jc w:val="both"/>
        <w:rPr>
          <w:b/>
        </w:rPr>
      </w:pPr>
    </w:p>
    <w:p w14:paraId="6D136253" w14:textId="77777777" w:rsidR="00531A55" w:rsidRDefault="00531A55" w:rsidP="002D558A">
      <w:pPr>
        <w:pStyle w:val="Heading1"/>
        <w:numPr>
          <w:ilvl w:val="0"/>
          <w:numId w:val="0"/>
        </w:numPr>
        <w:jc w:val="center"/>
      </w:pPr>
    </w:p>
    <w:p w14:paraId="1BAFFDC5" w14:textId="77777777" w:rsidR="00531A55" w:rsidRDefault="00531A55">
      <w:pPr>
        <w:rPr>
          <w:b/>
          <w:szCs w:val="20"/>
        </w:rPr>
      </w:pPr>
      <w:r>
        <w:br w:type="page"/>
      </w:r>
    </w:p>
    <w:p w14:paraId="49A72C88" w14:textId="77777777" w:rsidR="003D2594" w:rsidRPr="006F40A8" w:rsidRDefault="00531A55" w:rsidP="00531A55">
      <w:pPr>
        <w:pStyle w:val="Heading1"/>
        <w:numPr>
          <w:ilvl w:val="0"/>
          <w:numId w:val="0"/>
        </w:numPr>
        <w:jc w:val="center"/>
      </w:pPr>
      <w:bookmarkStart w:id="0" w:name="_Toc216436489"/>
      <w:r>
        <w:rPr>
          <w:lang w:val="en-US"/>
        </w:rPr>
        <w:lastRenderedPageBreak/>
        <w:t xml:space="preserve">I. </w:t>
      </w:r>
      <w:r w:rsidR="003D2594" w:rsidRPr="006F40A8">
        <w:t>ВЪВЕДЕНИЕ</w:t>
      </w:r>
      <w:bookmarkEnd w:id="0"/>
    </w:p>
    <w:p w14:paraId="2D643F90" w14:textId="77777777" w:rsidR="003D2594" w:rsidRDefault="003D2594" w:rsidP="003D2594">
      <w:pPr>
        <w:spacing w:line="259" w:lineRule="auto"/>
        <w:ind w:left="713"/>
        <w:jc w:val="center"/>
      </w:pPr>
      <w:r>
        <w:t xml:space="preserve"> </w:t>
      </w:r>
    </w:p>
    <w:p w14:paraId="79E74F33" w14:textId="77777777" w:rsidR="00BF0019" w:rsidRDefault="00BF0019" w:rsidP="00BF0019">
      <w:pPr>
        <w:spacing w:line="247" w:lineRule="auto"/>
        <w:ind w:left="-17" w:right="51" w:firstLine="709"/>
        <w:jc w:val="both"/>
      </w:pPr>
      <w:r w:rsidRPr="00BF0019">
        <w:t xml:space="preserve">Колективното договаряне </w:t>
      </w:r>
      <w:r>
        <w:rPr>
          <w:lang w:val="en-US"/>
        </w:rPr>
        <w:t>e</w:t>
      </w:r>
      <w:r w:rsidRPr="00BF0019">
        <w:t xml:space="preserve"> в основата на съвременните</w:t>
      </w:r>
      <w:r>
        <w:rPr>
          <w:lang w:val="en-US"/>
        </w:rPr>
        <w:t xml:space="preserve"> </w:t>
      </w:r>
      <w:r>
        <w:t xml:space="preserve">трудови отношения </w:t>
      </w:r>
      <w:r w:rsidRPr="00BF0019">
        <w:t xml:space="preserve">и </w:t>
      </w:r>
      <w:r>
        <w:t xml:space="preserve">е </w:t>
      </w:r>
      <w:r w:rsidRPr="00BF0019">
        <w:t>ключов компонент на Европейския социален модел. То изпълнява важна защитна функция за работе</w:t>
      </w:r>
      <w:r>
        <w:t>щите</w:t>
      </w:r>
      <w:r w:rsidR="00C635E7">
        <w:rPr>
          <w:lang w:val="en-US"/>
        </w:rPr>
        <w:t xml:space="preserve"> </w:t>
      </w:r>
      <w:r w:rsidR="00C635E7">
        <w:t>и има</w:t>
      </w:r>
      <w:r w:rsidRPr="00BF0019">
        <w:t xml:space="preserve"> </w:t>
      </w:r>
      <w:r w:rsidR="00C635E7" w:rsidRPr="00BF0019">
        <w:t>съществена дистрибутивна роля, като гарантира на работниците справедлив дял от икономическия растеж</w:t>
      </w:r>
      <w:r w:rsidR="00C635E7">
        <w:t xml:space="preserve">. Колективното договаряне </w:t>
      </w:r>
      <w:r w:rsidR="002748EA">
        <w:rPr>
          <w:lang w:val="en-US"/>
        </w:rPr>
        <w:t xml:space="preserve">e </w:t>
      </w:r>
      <w:r w:rsidR="00C635E7">
        <w:t xml:space="preserve">важен фактор за подобряване на условията на труд и </w:t>
      </w:r>
      <w:r w:rsidRPr="00BF0019">
        <w:t xml:space="preserve">осигурява </w:t>
      </w:r>
      <w:r w:rsidR="00C635E7">
        <w:t>възможност за адаптирането им към</w:t>
      </w:r>
      <w:r w:rsidRPr="00BF0019">
        <w:t xml:space="preserve"> променящите се обществени и икономически </w:t>
      </w:r>
      <w:r w:rsidR="002748EA">
        <w:t>условия</w:t>
      </w:r>
      <w:r w:rsidRPr="00BF0019">
        <w:t>.</w:t>
      </w:r>
    </w:p>
    <w:p w14:paraId="39D65A34" w14:textId="77777777" w:rsidR="00BF0019" w:rsidRDefault="003D2594" w:rsidP="00BF0019">
      <w:pPr>
        <w:spacing w:line="247" w:lineRule="auto"/>
        <w:ind w:left="-17" w:right="51" w:firstLine="709"/>
        <w:jc w:val="both"/>
      </w:pPr>
      <w:r>
        <w:t xml:space="preserve">Планът за насърчаване на колективното договаряне за периода 2026 – 2030 г. (ПНКД 2026 - 2030) е стратегически документ, разработен в съответствие с приоритетите </w:t>
      </w:r>
      <w:r w:rsidR="00504724">
        <w:t xml:space="preserve">в </w:t>
      </w:r>
      <w:r w:rsidR="00504724" w:rsidRPr="00504724">
        <w:t>Програмата за управление на Република България за периода 2025 – 2029 г., приета с Решение № 91/2025 г. на Министерския съвет.</w:t>
      </w:r>
      <w:r w:rsidR="00504724">
        <w:t xml:space="preserve"> С ПНКД 2026 - 2030 п</w:t>
      </w:r>
      <w:r w:rsidR="00504724" w:rsidRPr="00504724">
        <w:t xml:space="preserve">равителството на Република България определя </w:t>
      </w:r>
      <w:r w:rsidR="00504724">
        <w:t xml:space="preserve">като </w:t>
      </w:r>
      <w:r w:rsidR="00504724" w:rsidRPr="00504724">
        <w:t>приорите</w:t>
      </w:r>
      <w:r w:rsidR="00504724">
        <w:t>т</w:t>
      </w:r>
      <w:r w:rsidR="00504724" w:rsidRPr="00504724">
        <w:t xml:space="preserve"> </w:t>
      </w:r>
      <w:r w:rsidR="00504724">
        <w:t xml:space="preserve">повишаването на </w:t>
      </w:r>
      <w:r w:rsidR="00DB3DF6">
        <w:t xml:space="preserve">обхвата </w:t>
      </w:r>
      <w:r w:rsidR="00504724">
        <w:t>на колективното договаряне до 2030</w:t>
      </w:r>
      <w:r w:rsidR="00504724" w:rsidRPr="00504724">
        <w:t xml:space="preserve"> г. </w:t>
      </w:r>
    </w:p>
    <w:p w14:paraId="6F4F4E56" w14:textId="77777777" w:rsidR="00504724" w:rsidRDefault="00504724" w:rsidP="002748EA">
      <w:pPr>
        <w:spacing w:line="247" w:lineRule="auto"/>
        <w:ind w:left="-17" w:right="51" w:firstLine="709"/>
        <w:jc w:val="both"/>
      </w:pPr>
      <w:r>
        <w:t xml:space="preserve">Планът за насърчаване на колективното договаряне за периода 2026 – 2030 г. е </w:t>
      </w:r>
      <w:r w:rsidR="00EE2B79">
        <w:t xml:space="preserve">разработен при съобразяване на задълженията, произтичащи за </w:t>
      </w:r>
      <w:r w:rsidR="00DB3DF6">
        <w:t>Р</w:t>
      </w:r>
      <w:r w:rsidR="00B8070C">
        <w:t>епублика</w:t>
      </w:r>
      <w:r w:rsidR="00DB3DF6">
        <w:t xml:space="preserve"> България </w:t>
      </w:r>
      <w:r w:rsidR="00EE2B79">
        <w:t>от</w:t>
      </w:r>
      <w:r w:rsidR="00DB3DF6" w:rsidRPr="00DB3DF6">
        <w:t xml:space="preserve"> </w:t>
      </w:r>
      <w:r w:rsidR="00DB3DF6" w:rsidRPr="00EE2B79">
        <w:t>Директива (ЕС) 2022/2041</w:t>
      </w:r>
      <w:r w:rsidR="00DB3DF6">
        <w:t xml:space="preserve"> на Европейския парламент и на Съвета</w:t>
      </w:r>
      <w:r w:rsidR="00DB3DF6" w:rsidRPr="00EE2B79">
        <w:t xml:space="preserve"> относно адекватните минимални работни заплати в Европейския съюз</w:t>
      </w:r>
      <w:r w:rsidR="00DB3DF6">
        <w:t xml:space="preserve"> (Директива 2022/2041/ЕС)</w:t>
      </w:r>
      <w:r w:rsidR="00EE2B79">
        <w:t xml:space="preserve"> </w:t>
      </w:r>
      <w:r w:rsidR="00DB3DF6">
        <w:t xml:space="preserve">и </w:t>
      </w:r>
      <w:r w:rsidR="00EE2B79">
        <w:t>Препоръка на Съвета от 12 юни 2023 година относно укрепването на социалния диалог в Европейския съюз (Препоръка на Съвета)</w:t>
      </w:r>
      <w:r w:rsidR="00EE2B79" w:rsidRPr="00EE2B79">
        <w:t>.</w:t>
      </w:r>
      <w:r w:rsidR="00EE2B79">
        <w:t xml:space="preserve"> Директивата 2022/2041/ЕС </w:t>
      </w:r>
      <w:r w:rsidR="00DB3DF6">
        <w:t xml:space="preserve">и Препоръката на Съвета </w:t>
      </w:r>
      <w:r w:rsidR="005705EA">
        <w:t xml:space="preserve">изискват от държавите членки да приемат план за действие </w:t>
      </w:r>
      <w:r w:rsidR="005705EA" w:rsidRPr="005705EA">
        <w:t>за постепенно увеличаване на равнището на обхвата на колективното договаряне при пълно зачитане на автономността на социалните партньори</w:t>
      </w:r>
      <w:r w:rsidR="005705EA">
        <w:t xml:space="preserve">. Планът е в съответствие и с </w:t>
      </w:r>
      <w:r w:rsidR="005705EA" w:rsidRPr="005705EA">
        <w:t xml:space="preserve">Принцип № 8 </w:t>
      </w:r>
      <w:r w:rsidR="005705EA">
        <w:t>от Европейския стълб на социалните права и е в основата на постигането на целите за устойчиво развитие на Организацията на обединените нации</w:t>
      </w:r>
      <w:r w:rsidR="005705EA" w:rsidRPr="005705EA">
        <w:t>.</w:t>
      </w:r>
      <w:r w:rsidR="002748EA">
        <w:t xml:space="preserve"> ПНКД 2026 </w:t>
      </w:r>
      <w:r w:rsidR="00DB3DF6">
        <w:t>–</w:t>
      </w:r>
      <w:r w:rsidR="002748EA">
        <w:t xml:space="preserve"> 2030</w:t>
      </w:r>
      <w:r w:rsidR="00DB3DF6">
        <w:t xml:space="preserve"> г.</w:t>
      </w:r>
      <w:r w:rsidR="002748EA">
        <w:t xml:space="preserve"> е съобразен</w:t>
      </w:r>
      <w:r w:rsidR="00DB3DF6">
        <w:t xml:space="preserve"> със</w:t>
      </w:r>
      <w:r w:rsidR="002748EA">
        <w:t xml:space="preserve"> становището на Икономическия и социален съвет на тема „Подходи за изготвяне на план за действие за насърчаване на колективното трудово договаряне в България“.</w:t>
      </w:r>
    </w:p>
    <w:p w14:paraId="507D2417" w14:textId="77777777" w:rsidR="00BF0019" w:rsidRDefault="005705EA" w:rsidP="00BF0019">
      <w:pPr>
        <w:spacing w:line="247" w:lineRule="auto"/>
        <w:ind w:left="-17" w:right="51" w:firstLine="709"/>
        <w:jc w:val="both"/>
      </w:pPr>
      <w:r>
        <w:t>Планът за насърчаване на колективното договаряне за периода 2026 – 2030 г. е</w:t>
      </w:r>
      <w:r w:rsidRPr="00E11051">
        <w:t xml:space="preserve"> </w:t>
      </w:r>
      <w:r w:rsidR="003D2594" w:rsidRPr="00E11051">
        <w:t xml:space="preserve"> документ, който консолидира усилията на правителството и тези на социалните партньори, като доп</w:t>
      </w:r>
      <w:r w:rsidR="003D2594">
        <w:t>ринася за тяхната еднопосочност</w:t>
      </w:r>
      <w:r w:rsidR="002748EA">
        <w:t xml:space="preserve">. Той има за цел </w:t>
      </w:r>
      <w:r w:rsidR="0018634D">
        <w:t xml:space="preserve">да </w:t>
      </w:r>
      <w:r w:rsidR="003D2594" w:rsidRPr="00E11051">
        <w:t>гарантира трудовите права на работниците и служителите от една страна</w:t>
      </w:r>
      <w:r w:rsidR="003D2594">
        <w:t>,</w:t>
      </w:r>
      <w:r w:rsidR="003D2594" w:rsidRPr="00E11051">
        <w:t xml:space="preserve"> и </w:t>
      </w:r>
      <w:r w:rsidR="0018634D">
        <w:t xml:space="preserve">да </w:t>
      </w:r>
      <w:r w:rsidR="003D2594" w:rsidRPr="00E11051">
        <w:t>насърч</w:t>
      </w:r>
      <w:r w:rsidR="0018634D">
        <w:t>и</w:t>
      </w:r>
      <w:r w:rsidR="003D2594" w:rsidRPr="00E11051">
        <w:t xml:space="preserve"> лоялната конкуренция - от друга.</w:t>
      </w:r>
      <w:r w:rsidR="003D2594">
        <w:t xml:space="preserve"> В тази връзка са определени основните цел</w:t>
      </w:r>
      <w:r>
        <w:t xml:space="preserve">и, приоритети и конкретни мерки, </w:t>
      </w:r>
      <w:r w:rsidR="00BF0019">
        <w:t>чрез които да се насърчи колективното договаряне при пълно зачитане на автономност</w:t>
      </w:r>
      <w:r w:rsidR="005D61AC">
        <w:t>та на социалните партньори</w:t>
      </w:r>
      <w:r w:rsidR="00BF0019" w:rsidRPr="00504724">
        <w:t>.</w:t>
      </w:r>
      <w:r w:rsidR="00DE59CD">
        <w:t xml:space="preserve"> </w:t>
      </w:r>
    </w:p>
    <w:p w14:paraId="6BDE6117" w14:textId="77777777" w:rsidR="00BF0019" w:rsidRDefault="00BF0019">
      <w:pPr>
        <w:rPr>
          <w:b/>
        </w:rPr>
      </w:pPr>
      <w:r>
        <w:rPr>
          <w:b/>
        </w:rPr>
        <w:br w:type="page"/>
      </w:r>
    </w:p>
    <w:p w14:paraId="4D3FAE49" w14:textId="77777777" w:rsidR="00E835A3" w:rsidRPr="00C635E7" w:rsidRDefault="00531A55" w:rsidP="002D558A">
      <w:pPr>
        <w:pStyle w:val="Heading1"/>
        <w:numPr>
          <w:ilvl w:val="0"/>
          <w:numId w:val="0"/>
        </w:numPr>
        <w:jc w:val="center"/>
        <w:rPr>
          <w:rFonts w:eastAsia="Google Sans"/>
        </w:rPr>
      </w:pPr>
      <w:bookmarkStart w:id="1" w:name="_Toc216436490"/>
      <w:r>
        <w:rPr>
          <w:rFonts w:eastAsia="Google Sans"/>
          <w:lang w:val="en-US"/>
        </w:rPr>
        <w:lastRenderedPageBreak/>
        <w:t>II</w:t>
      </w:r>
      <w:r w:rsidR="00B44CC3">
        <w:rPr>
          <w:rFonts w:eastAsia="Google Sans"/>
          <w:lang w:val="en-US"/>
        </w:rPr>
        <w:t>.</w:t>
      </w:r>
      <w:r>
        <w:rPr>
          <w:rFonts w:eastAsia="Google Sans"/>
          <w:lang w:val="en-US"/>
        </w:rPr>
        <w:t xml:space="preserve"> </w:t>
      </w:r>
      <w:r w:rsidRPr="00C635E7">
        <w:rPr>
          <w:rFonts w:eastAsia="Google Sans"/>
        </w:rPr>
        <w:t>СЪСТОЯНИЕ И ТЕНДЕНЦИИ В РАЗВИТИЕТО НА КОЛЕКТИВНОТО ДОГОВАРЯНЕ В ЕВРОПЕЙСКИЯ СЪЮЗ</w:t>
      </w:r>
      <w:bookmarkEnd w:id="1"/>
    </w:p>
    <w:p w14:paraId="1F0DF4F9" w14:textId="77777777" w:rsidR="006E6FE0" w:rsidRDefault="005C3D84" w:rsidP="002C7BDD">
      <w:pPr>
        <w:pBdr>
          <w:top w:val="nil"/>
          <w:left w:val="nil"/>
          <w:bottom w:val="nil"/>
          <w:right w:val="nil"/>
          <w:between w:val="nil"/>
        </w:pBdr>
        <w:spacing w:line="276" w:lineRule="auto"/>
        <w:ind w:firstLine="709"/>
        <w:jc w:val="both"/>
        <w:rPr>
          <w:rFonts w:eastAsia="Google Sans Text"/>
          <w:color w:val="1B1C1D"/>
        </w:rPr>
      </w:pPr>
      <w:r>
        <w:rPr>
          <w:rFonts w:eastAsia="Google Sans Text"/>
          <w:color w:val="1B1C1D"/>
        </w:rPr>
        <w:t>К</w:t>
      </w:r>
      <w:r w:rsidR="00484A1A" w:rsidRPr="00484A1A">
        <w:rPr>
          <w:rFonts w:eastAsia="Google Sans Text"/>
          <w:color w:val="1B1C1D"/>
        </w:rPr>
        <w:t>олективно</w:t>
      </w:r>
      <w:r w:rsidR="00A63B55">
        <w:rPr>
          <w:rFonts w:eastAsia="Google Sans Text"/>
          <w:color w:val="1B1C1D"/>
        </w:rPr>
        <w:t>то</w:t>
      </w:r>
      <w:r w:rsidR="00484A1A" w:rsidRPr="00484A1A">
        <w:rPr>
          <w:rFonts w:eastAsia="Google Sans Text"/>
          <w:color w:val="1B1C1D"/>
        </w:rPr>
        <w:t xml:space="preserve"> договаря</w:t>
      </w:r>
      <w:r w:rsidR="00484A1A">
        <w:rPr>
          <w:rFonts w:eastAsia="Google Sans Text"/>
          <w:color w:val="1B1C1D"/>
        </w:rPr>
        <w:t>не</w:t>
      </w:r>
      <w:r w:rsidR="00484A1A" w:rsidRPr="00484A1A">
        <w:rPr>
          <w:rFonts w:eastAsia="Google Sans Text"/>
          <w:color w:val="1B1C1D"/>
        </w:rPr>
        <w:t xml:space="preserve"> </w:t>
      </w:r>
      <w:r>
        <w:rPr>
          <w:rFonts w:eastAsia="Google Sans Text"/>
          <w:color w:val="1B1C1D"/>
        </w:rPr>
        <w:t xml:space="preserve">е част от </w:t>
      </w:r>
      <w:r w:rsidR="00484A1A" w:rsidRPr="00484A1A">
        <w:rPr>
          <w:rFonts w:eastAsia="Google Sans Text"/>
          <w:color w:val="1B1C1D"/>
        </w:rPr>
        <w:t>първичното</w:t>
      </w:r>
      <w:r w:rsidR="00484A1A">
        <w:rPr>
          <w:rFonts w:eastAsia="Google Sans Text"/>
          <w:color w:val="1B1C1D"/>
        </w:rPr>
        <w:t xml:space="preserve"> </w:t>
      </w:r>
      <w:r>
        <w:rPr>
          <w:rFonts w:eastAsia="Google Sans Text"/>
          <w:color w:val="1B1C1D"/>
        </w:rPr>
        <w:t>право</w:t>
      </w:r>
      <w:r w:rsidR="00484A1A" w:rsidRPr="00484A1A">
        <w:rPr>
          <w:rFonts w:eastAsia="Google Sans Text"/>
          <w:color w:val="1B1C1D"/>
        </w:rPr>
        <w:t xml:space="preserve"> на Е</w:t>
      </w:r>
      <w:r w:rsidR="00484A1A">
        <w:rPr>
          <w:rFonts w:eastAsia="Google Sans Text"/>
          <w:color w:val="1B1C1D"/>
        </w:rPr>
        <w:t xml:space="preserve">вропейския съюз (ЕС). </w:t>
      </w:r>
      <w:r w:rsidR="006E6FE0">
        <w:rPr>
          <w:rFonts w:eastAsia="Google Sans Text"/>
          <w:color w:val="1B1C1D"/>
        </w:rPr>
        <w:t>То</w:t>
      </w:r>
      <w:r w:rsidR="006E6FE0" w:rsidRPr="006E6FE0">
        <w:rPr>
          <w:rFonts w:eastAsia="Google Sans Text"/>
          <w:color w:val="1B1C1D"/>
        </w:rPr>
        <w:t xml:space="preserve"> е в основата на европейския социален модел, който </w:t>
      </w:r>
      <w:r>
        <w:rPr>
          <w:rFonts w:eastAsia="Google Sans Text"/>
          <w:color w:val="1B1C1D"/>
        </w:rPr>
        <w:t xml:space="preserve">дава на социалните партньори </w:t>
      </w:r>
      <w:r w:rsidR="006E6FE0" w:rsidRPr="006E6FE0">
        <w:rPr>
          <w:rFonts w:eastAsia="Google Sans Text"/>
          <w:color w:val="1B1C1D"/>
        </w:rPr>
        <w:t xml:space="preserve">възможността да се ангажират с автономен диалог, способен да доведе до колективни договори по всички аспекти и проблеми в </w:t>
      </w:r>
      <w:r w:rsidR="00FE33BB">
        <w:rPr>
          <w:rFonts w:eastAsia="Google Sans Text"/>
          <w:color w:val="1B1C1D"/>
        </w:rPr>
        <w:t xml:space="preserve">областта </w:t>
      </w:r>
      <w:r>
        <w:rPr>
          <w:rFonts w:eastAsia="Google Sans Text"/>
          <w:color w:val="1B1C1D"/>
        </w:rPr>
        <w:t>на труда</w:t>
      </w:r>
      <w:r w:rsidR="006E6FE0" w:rsidRPr="006E6FE0">
        <w:rPr>
          <w:rFonts w:eastAsia="Google Sans Text"/>
          <w:color w:val="1B1C1D"/>
        </w:rPr>
        <w:t>.</w:t>
      </w:r>
    </w:p>
    <w:p w14:paraId="757BAEC0" w14:textId="77777777" w:rsidR="00E835A3" w:rsidRDefault="00484A1A" w:rsidP="002C7BDD">
      <w:pPr>
        <w:pBdr>
          <w:top w:val="nil"/>
          <w:left w:val="nil"/>
          <w:bottom w:val="nil"/>
          <w:right w:val="nil"/>
          <w:between w:val="nil"/>
        </w:pBdr>
        <w:spacing w:line="276" w:lineRule="auto"/>
        <w:ind w:firstLine="709"/>
        <w:jc w:val="both"/>
        <w:rPr>
          <w:rFonts w:eastAsia="Google Sans Text"/>
          <w:color w:val="1B1C1D"/>
        </w:rPr>
      </w:pPr>
      <w:r>
        <w:rPr>
          <w:rFonts w:eastAsia="Google Sans Text"/>
          <w:color w:val="1B1C1D"/>
        </w:rPr>
        <w:t xml:space="preserve">От началото на </w:t>
      </w:r>
      <w:r w:rsidR="00BB3427">
        <w:rPr>
          <w:rFonts w:eastAsia="Google Sans Text"/>
          <w:color w:val="1B1C1D"/>
        </w:rPr>
        <w:t>ХХ-т</w:t>
      </w:r>
      <w:r w:rsidR="00B8070C">
        <w:rPr>
          <w:rFonts w:eastAsia="Google Sans Text"/>
          <w:color w:val="1B1C1D"/>
        </w:rPr>
        <w:t>и век</w:t>
      </w:r>
      <w:r w:rsidR="00E835A3" w:rsidRPr="00752E95">
        <w:rPr>
          <w:rFonts w:eastAsia="Google Sans Text"/>
          <w:color w:val="1B1C1D"/>
        </w:rPr>
        <w:t xml:space="preserve"> системите за колективно договаряне в </w:t>
      </w:r>
      <w:r>
        <w:rPr>
          <w:rFonts w:eastAsia="Google Sans Text"/>
          <w:color w:val="1B1C1D"/>
        </w:rPr>
        <w:t>ЕС</w:t>
      </w:r>
      <w:r w:rsidR="00E835A3" w:rsidRPr="00752E95">
        <w:rPr>
          <w:rFonts w:eastAsia="Google Sans Text"/>
          <w:color w:val="1B1C1D"/>
        </w:rPr>
        <w:t xml:space="preserve"> претърпяват значителни трансформации. </w:t>
      </w:r>
      <w:r w:rsidR="00FE33BB">
        <w:rPr>
          <w:rFonts w:eastAsia="Google Sans Text"/>
          <w:color w:val="1B1C1D"/>
        </w:rPr>
        <w:t xml:space="preserve">Характерно </w:t>
      </w:r>
      <w:r>
        <w:rPr>
          <w:rFonts w:eastAsia="Google Sans Text"/>
          <w:color w:val="1B1C1D"/>
        </w:rPr>
        <w:t xml:space="preserve">за </w:t>
      </w:r>
      <w:r w:rsidR="00FE33BB">
        <w:rPr>
          <w:rFonts w:eastAsia="Google Sans Text"/>
          <w:color w:val="1B1C1D"/>
        </w:rPr>
        <w:t xml:space="preserve">този период </w:t>
      </w:r>
      <w:r>
        <w:rPr>
          <w:rFonts w:eastAsia="Google Sans Text"/>
          <w:color w:val="1B1C1D"/>
        </w:rPr>
        <w:t>е липсата на автономни споразумения</w:t>
      </w:r>
      <w:r w:rsidR="00FE33BB">
        <w:rPr>
          <w:rFonts w:eastAsia="Google Sans Text"/>
          <w:color w:val="1B1C1D"/>
        </w:rPr>
        <w:t xml:space="preserve"> </w:t>
      </w:r>
      <w:r>
        <w:rPr>
          <w:rFonts w:eastAsia="Google Sans Text"/>
          <w:color w:val="1B1C1D"/>
        </w:rPr>
        <w:t xml:space="preserve">между представителите на работниците и служителите и </w:t>
      </w:r>
      <w:r w:rsidR="00FE33BB">
        <w:rPr>
          <w:rFonts w:eastAsia="Google Sans Text"/>
          <w:color w:val="1B1C1D"/>
        </w:rPr>
        <w:t xml:space="preserve">на </w:t>
      </w:r>
      <w:r>
        <w:rPr>
          <w:rFonts w:eastAsia="Google Sans Text"/>
          <w:color w:val="1B1C1D"/>
        </w:rPr>
        <w:t xml:space="preserve">работодателите на ниво ЕС. Допълнителен негативен фактор има и </w:t>
      </w:r>
      <w:r w:rsidR="00E835A3" w:rsidRPr="00752E95">
        <w:rPr>
          <w:rFonts w:eastAsia="Google Sans Text"/>
          <w:color w:val="1B1C1D"/>
        </w:rPr>
        <w:t xml:space="preserve">финансовата криза от 2007–2008 г., </w:t>
      </w:r>
      <w:r>
        <w:rPr>
          <w:rFonts w:eastAsia="Google Sans Text"/>
          <w:color w:val="1B1C1D"/>
        </w:rPr>
        <w:t>в резултат на която е отчетен</w:t>
      </w:r>
      <w:r w:rsidR="00E835A3" w:rsidRPr="00752E95">
        <w:rPr>
          <w:rFonts w:eastAsia="Google Sans Text"/>
          <w:color w:val="1B1C1D"/>
        </w:rPr>
        <w:t xml:space="preserve"> бърз спад в </w:t>
      </w:r>
      <w:r>
        <w:rPr>
          <w:rFonts w:eastAsia="Google Sans Text"/>
          <w:color w:val="1B1C1D"/>
        </w:rPr>
        <w:t>покритието от колективни трудови договори</w:t>
      </w:r>
      <w:r w:rsidR="00E835A3" w:rsidRPr="00752E95">
        <w:rPr>
          <w:rFonts w:eastAsia="Google Sans Text"/>
          <w:color w:val="1B1C1D"/>
        </w:rPr>
        <w:t xml:space="preserve"> </w:t>
      </w:r>
      <w:r>
        <w:rPr>
          <w:rFonts w:eastAsia="Google Sans Text"/>
          <w:color w:val="1B1C1D"/>
        </w:rPr>
        <w:t>в повечето държави членки</w:t>
      </w:r>
      <w:r w:rsidR="00E835A3" w:rsidRPr="00752E95">
        <w:rPr>
          <w:rFonts w:eastAsia="Google Sans Text"/>
          <w:color w:val="1B1C1D"/>
        </w:rPr>
        <w:t xml:space="preserve">. Средният обхват на </w:t>
      </w:r>
      <w:r>
        <w:rPr>
          <w:rFonts w:eastAsia="Google Sans Text"/>
          <w:color w:val="1B1C1D"/>
        </w:rPr>
        <w:t>колективното договаряне</w:t>
      </w:r>
      <w:r w:rsidR="00E835A3" w:rsidRPr="00752E95">
        <w:rPr>
          <w:rFonts w:eastAsia="Google Sans Text"/>
          <w:color w:val="1B1C1D"/>
        </w:rPr>
        <w:t xml:space="preserve"> в ЕС е спаднал от приблизително 66% през 2000 г.</w:t>
      </w:r>
      <w:r>
        <w:rPr>
          <w:rFonts w:eastAsia="Google Sans Text"/>
          <w:color w:val="1B1C1D"/>
        </w:rPr>
        <w:t xml:space="preserve"> до около 56% през 2018 г.</w:t>
      </w:r>
      <w:r w:rsidR="00E835A3" w:rsidRPr="00752E95">
        <w:rPr>
          <w:rFonts w:eastAsia="Google Sans Text"/>
          <w:color w:val="1B1C1D"/>
        </w:rPr>
        <w:t xml:space="preserve"> </w:t>
      </w:r>
    </w:p>
    <w:p w14:paraId="24EBE1BB" w14:textId="77777777" w:rsidR="004A56B3" w:rsidRDefault="005C3D84" w:rsidP="002C7BDD">
      <w:pPr>
        <w:pBdr>
          <w:top w:val="nil"/>
          <w:left w:val="nil"/>
          <w:bottom w:val="nil"/>
          <w:right w:val="nil"/>
          <w:between w:val="nil"/>
        </w:pBdr>
        <w:spacing w:line="276" w:lineRule="auto"/>
        <w:ind w:firstLine="709"/>
        <w:jc w:val="both"/>
        <w:rPr>
          <w:rFonts w:eastAsia="Google Sans Text"/>
          <w:color w:val="1B1C1D"/>
        </w:rPr>
      </w:pPr>
      <w:r>
        <w:rPr>
          <w:rFonts w:eastAsia="Google Sans Text"/>
          <w:color w:val="1B1C1D"/>
        </w:rPr>
        <w:t>П</w:t>
      </w:r>
      <w:r w:rsidR="004A56B3">
        <w:rPr>
          <w:rFonts w:eastAsia="Google Sans Text"/>
          <w:color w:val="1B1C1D"/>
        </w:rPr>
        <w:t xml:space="preserve">рез този период </w:t>
      </w:r>
      <w:r>
        <w:rPr>
          <w:rFonts w:eastAsia="Google Sans Text"/>
          <w:color w:val="1B1C1D"/>
        </w:rPr>
        <w:t>има значителна</w:t>
      </w:r>
      <w:r w:rsidR="004A56B3">
        <w:rPr>
          <w:rFonts w:eastAsia="Google Sans Text"/>
          <w:color w:val="1B1C1D"/>
        </w:rPr>
        <w:t xml:space="preserve"> промяна</w:t>
      </w:r>
      <w:r w:rsidR="008F3A54">
        <w:rPr>
          <w:rFonts w:eastAsia="Google Sans Text"/>
          <w:color w:val="1B1C1D"/>
          <w:lang w:val="en-US"/>
        </w:rPr>
        <w:t xml:space="preserve"> </w:t>
      </w:r>
      <w:r w:rsidR="00B8070C">
        <w:rPr>
          <w:rFonts w:eastAsia="Google Sans Text"/>
          <w:color w:val="1B1C1D"/>
        </w:rPr>
        <w:t xml:space="preserve">и </w:t>
      </w:r>
      <w:r w:rsidR="004A56B3">
        <w:rPr>
          <w:rFonts w:eastAsia="Google Sans Text"/>
          <w:color w:val="1B1C1D"/>
        </w:rPr>
        <w:t>на структурата на п</w:t>
      </w:r>
      <w:r w:rsidR="004A56B3" w:rsidRPr="004A56B3">
        <w:rPr>
          <w:rFonts w:eastAsia="Google Sans Text"/>
          <w:color w:val="1B1C1D"/>
        </w:rPr>
        <w:t>азар</w:t>
      </w:r>
      <w:r w:rsidR="004A56B3">
        <w:rPr>
          <w:rFonts w:eastAsia="Google Sans Text"/>
          <w:color w:val="1B1C1D"/>
        </w:rPr>
        <w:t>а</w:t>
      </w:r>
      <w:r w:rsidR="004A56B3" w:rsidRPr="004A56B3">
        <w:rPr>
          <w:rFonts w:eastAsia="Google Sans Text"/>
          <w:color w:val="1B1C1D"/>
        </w:rPr>
        <w:t xml:space="preserve"> на труда в ЕС</w:t>
      </w:r>
      <w:r w:rsidR="004A56B3">
        <w:rPr>
          <w:rFonts w:eastAsia="Google Sans Text"/>
          <w:color w:val="1B1C1D"/>
        </w:rPr>
        <w:t xml:space="preserve">, </w:t>
      </w:r>
      <w:r w:rsidR="00B8070C">
        <w:rPr>
          <w:rFonts w:eastAsia="Google Sans Text"/>
          <w:color w:val="1B1C1D"/>
        </w:rPr>
        <w:t>като</w:t>
      </w:r>
      <w:r w:rsidR="004A56B3">
        <w:rPr>
          <w:rFonts w:eastAsia="Google Sans Text"/>
          <w:color w:val="1B1C1D"/>
        </w:rPr>
        <w:t xml:space="preserve"> се отчита значителна фрагментация и увеличаване на броя на микро и малките предприятия, при които е </w:t>
      </w:r>
      <w:r w:rsidR="004A56B3" w:rsidRPr="004A56B3">
        <w:rPr>
          <w:rFonts w:eastAsia="Google Sans Text"/>
          <w:color w:val="1B1C1D"/>
        </w:rPr>
        <w:t>по-трудн</w:t>
      </w:r>
      <w:r w:rsidR="004A56B3">
        <w:rPr>
          <w:rFonts w:eastAsia="Google Sans Text"/>
          <w:color w:val="1B1C1D"/>
        </w:rPr>
        <w:t>о</w:t>
      </w:r>
      <w:r w:rsidR="004A56B3" w:rsidRPr="004A56B3">
        <w:rPr>
          <w:rFonts w:eastAsia="Google Sans Text"/>
          <w:color w:val="1B1C1D"/>
        </w:rPr>
        <w:t xml:space="preserve"> организиране</w:t>
      </w:r>
      <w:r w:rsidR="004A56B3">
        <w:rPr>
          <w:rFonts w:eastAsia="Google Sans Text"/>
          <w:color w:val="1B1C1D"/>
        </w:rPr>
        <w:t xml:space="preserve"> на синдикални структури. Промяната на икономическите модели и пазара на труда в ЕС </w:t>
      </w:r>
      <w:r w:rsidR="004A56B3" w:rsidRPr="004A56B3">
        <w:rPr>
          <w:rFonts w:eastAsia="Google Sans Text"/>
          <w:color w:val="1B1C1D"/>
        </w:rPr>
        <w:t>включва</w:t>
      </w:r>
      <w:r w:rsidR="004A56B3">
        <w:rPr>
          <w:rFonts w:eastAsia="Google Sans Text"/>
          <w:color w:val="1B1C1D"/>
        </w:rPr>
        <w:t xml:space="preserve"> и тенденция за</w:t>
      </w:r>
      <w:r w:rsidR="004A56B3" w:rsidRPr="004A56B3">
        <w:rPr>
          <w:rFonts w:eastAsia="Google Sans Text"/>
          <w:color w:val="1B1C1D"/>
        </w:rPr>
        <w:t xml:space="preserve"> нарастваща диверсификация и фрагментация на услугите, както и увеличаване на несигурни и нестандартни форми на заетост</w:t>
      </w:r>
      <w:r>
        <w:rPr>
          <w:rFonts w:eastAsia="Google Sans Text"/>
          <w:color w:val="1B1C1D"/>
        </w:rPr>
        <w:t>.</w:t>
      </w:r>
      <w:r w:rsidR="004A56B3" w:rsidRPr="004A56B3">
        <w:rPr>
          <w:rFonts w:eastAsia="Google Sans Text"/>
          <w:color w:val="1B1C1D"/>
        </w:rPr>
        <w:t xml:space="preserve"> Дигитализацията допълнително усложнява тези процеси, затруднявайки организирането на работниците и ефективното колективно договаряне</w:t>
      </w:r>
      <w:r>
        <w:rPr>
          <w:rFonts w:eastAsia="Google Sans Text"/>
          <w:color w:val="1B1C1D"/>
        </w:rPr>
        <w:t xml:space="preserve">, особено при нововъзникващите форми на заетост, включително при все по-широко разпространяващата се </w:t>
      </w:r>
      <w:r w:rsidRPr="004A56B3">
        <w:rPr>
          <w:rFonts w:eastAsia="Google Sans Text"/>
          <w:color w:val="1B1C1D"/>
        </w:rPr>
        <w:t xml:space="preserve">работа </w:t>
      </w:r>
      <w:r>
        <w:rPr>
          <w:rFonts w:eastAsia="Google Sans Text"/>
          <w:color w:val="1B1C1D"/>
        </w:rPr>
        <w:t>през</w:t>
      </w:r>
      <w:r w:rsidRPr="004A56B3">
        <w:rPr>
          <w:rFonts w:eastAsia="Google Sans Text"/>
          <w:color w:val="1B1C1D"/>
        </w:rPr>
        <w:t xml:space="preserve"> </w:t>
      </w:r>
      <w:r>
        <w:rPr>
          <w:rFonts w:eastAsia="Google Sans Text"/>
          <w:color w:val="1B1C1D"/>
        </w:rPr>
        <w:t xml:space="preserve">цифрови </w:t>
      </w:r>
      <w:r w:rsidRPr="004A56B3">
        <w:rPr>
          <w:rFonts w:eastAsia="Google Sans Text"/>
          <w:color w:val="1B1C1D"/>
        </w:rPr>
        <w:t>платформи</w:t>
      </w:r>
      <w:r w:rsidR="004A56B3" w:rsidRPr="004A56B3">
        <w:rPr>
          <w:rFonts w:eastAsia="Google Sans Text"/>
          <w:color w:val="1B1C1D"/>
        </w:rPr>
        <w:t xml:space="preserve">. </w:t>
      </w:r>
    </w:p>
    <w:p w14:paraId="083F7EA8" w14:textId="77777777" w:rsidR="004A56B3" w:rsidRDefault="004A56B3" w:rsidP="002C7BDD">
      <w:pPr>
        <w:pBdr>
          <w:top w:val="nil"/>
          <w:left w:val="nil"/>
          <w:bottom w:val="nil"/>
          <w:right w:val="nil"/>
          <w:between w:val="nil"/>
        </w:pBdr>
        <w:spacing w:line="276" w:lineRule="auto"/>
        <w:ind w:firstLine="709"/>
        <w:jc w:val="both"/>
        <w:rPr>
          <w:rFonts w:eastAsia="Google Sans Text"/>
          <w:color w:val="1B1C1D"/>
        </w:rPr>
      </w:pPr>
      <w:r>
        <w:rPr>
          <w:rFonts w:eastAsia="Google Sans Text"/>
          <w:color w:val="1B1C1D"/>
        </w:rPr>
        <w:t>Друга основна</w:t>
      </w:r>
      <w:r w:rsidRPr="004A56B3">
        <w:rPr>
          <w:rFonts w:eastAsia="Google Sans Text"/>
          <w:color w:val="1B1C1D"/>
        </w:rPr>
        <w:t xml:space="preserve"> причин</w:t>
      </w:r>
      <w:r>
        <w:rPr>
          <w:rFonts w:eastAsia="Google Sans Text"/>
          <w:color w:val="1B1C1D"/>
        </w:rPr>
        <w:t>а</w:t>
      </w:r>
      <w:r w:rsidRPr="004A56B3">
        <w:rPr>
          <w:rFonts w:eastAsia="Google Sans Text"/>
          <w:color w:val="1B1C1D"/>
        </w:rPr>
        <w:t xml:space="preserve"> за намаляващия обхват на колективното договаряне в ЕС е</w:t>
      </w:r>
      <w:r>
        <w:rPr>
          <w:rFonts w:eastAsia="Google Sans Text"/>
          <w:color w:val="1B1C1D"/>
        </w:rPr>
        <w:t xml:space="preserve"> общата тенденция за</w:t>
      </w:r>
      <w:r w:rsidRPr="004A56B3">
        <w:rPr>
          <w:rFonts w:eastAsia="Google Sans Text"/>
          <w:color w:val="1B1C1D"/>
        </w:rPr>
        <w:t xml:space="preserve"> спад в членството в синдикати и ниската синдикална плътност. Това е глобална тенденция, като синдикалното членство е ниско в повечето индустриал</w:t>
      </w:r>
      <w:r w:rsidR="00FE33BB">
        <w:rPr>
          <w:rFonts w:eastAsia="Google Sans Text"/>
          <w:color w:val="1B1C1D"/>
        </w:rPr>
        <w:t xml:space="preserve">ни </w:t>
      </w:r>
      <w:r w:rsidRPr="004A56B3">
        <w:rPr>
          <w:rFonts w:eastAsia="Google Sans Text"/>
          <w:color w:val="1B1C1D"/>
        </w:rPr>
        <w:t xml:space="preserve">икономики. Намаляващият брой на </w:t>
      </w:r>
      <w:r>
        <w:rPr>
          <w:rFonts w:eastAsia="Google Sans Text"/>
          <w:color w:val="1B1C1D"/>
        </w:rPr>
        <w:t>синдикални членове</w:t>
      </w:r>
      <w:r w:rsidRPr="004A56B3">
        <w:rPr>
          <w:rFonts w:eastAsia="Google Sans Text"/>
          <w:color w:val="1B1C1D"/>
        </w:rPr>
        <w:t xml:space="preserve"> </w:t>
      </w:r>
      <w:r w:rsidR="00DE59CD">
        <w:rPr>
          <w:rFonts w:eastAsia="Google Sans Text"/>
          <w:color w:val="1B1C1D"/>
        </w:rPr>
        <w:t xml:space="preserve">оказва влияние и върху </w:t>
      </w:r>
      <w:r w:rsidRPr="004A56B3">
        <w:rPr>
          <w:rFonts w:eastAsia="Google Sans Text"/>
          <w:color w:val="1B1C1D"/>
        </w:rPr>
        <w:t xml:space="preserve">преговорната сила на работниците </w:t>
      </w:r>
      <w:r>
        <w:rPr>
          <w:rFonts w:eastAsia="Google Sans Text"/>
          <w:color w:val="1B1C1D"/>
        </w:rPr>
        <w:t>и способността на синдикатите за колективни действия</w:t>
      </w:r>
      <w:r w:rsidRPr="004A56B3">
        <w:rPr>
          <w:rFonts w:eastAsia="Google Sans Text"/>
          <w:color w:val="1B1C1D"/>
        </w:rPr>
        <w:t xml:space="preserve">. Това създава един </w:t>
      </w:r>
      <w:r>
        <w:rPr>
          <w:rFonts w:eastAsia="Google Sans Text"/>
          <w:color w:val="1B1C1D"/>
        </w:rPr>
        <w:t xml:space="preserve">затворен </w:t>
      </w:r>
      <w:r w:rsidR="005C3D84">
        <w:rPr>
          <w:rFonts w:eastAsia="Google Sans Text"/>
          <w:color w:val="1B1C1D"/>
        </w:rPr>
        <w:t>цикъл</w:t>
      </w:r>
      <w:r>
        <w:rPr>
          <w:rFonts w:eastAsia="Google Sans Text"/>
          <w:color w:val="1B1C1D"/>
        </w:rPr>
        <w:t>, при който</w:t>
      </w:r>
      <w:r w:rsidRPr="004A56B3">
        <w:rPr>
          <w:rFonts w:eastAsia="Google Sans Text"/>
          <w:color w:val="1B1C1D"/>
        </w:rPr>
        <w:t xml:space="preserve"> ниската синдикална плътност води до нисък обхват на </w:t>
      </w:r>
      <w:r>
        <w:rPr>
          <w:rFonts w:eastAsia="Google Sans Text"/>
          <w:color w:val="1B1C1D"/>
        </w:rPr>
        <w:t>колективните договори</w:t>
      </w:r>
      <w:r w:rsidRPr="004A56B3">
        <w:rPr>
          <w:rFonts w:eastAsia="Google Sans Text"/>
          <w:color w:val="1B1C1D"/>
        </w:rPr>
        <w:t>, което прави организирането на нови членове още по-трудно, тъй като работниците не виждат непосредствени ползи от синдикалнот</w:t>
      </w:r>
      <w:r>
        <w:rPr>
          <w:rFonts w:eastAsia="Google Sans Text"/>
          <w:color w:val="1B1C1D"/>
        </w:rPr>
        <w:t>о членство.</w:t>
      </w:r>
      <w:r w:rsidR="00B8070C">
        <w:rPr>
          <w:rFonts w:eastAsia="Google Sans Text"/>
          <w:color w:val="1B1C1D"/>
        </w:rPr>
        <w:t xml:space="preserve"> Също така увеличеният брой на микро и малките предприятия е предизвикателство и</w:t>
      </w:r>
      <w:r w:rsidR="00A63B55">
        <w:rPr>
          <w:rFonts w:eastAsia="Google Sans Text"/>
          <w:color w:val="1B1C1D"/>
        </w:rPr>
        <w:t xml:space="preserve"> за</w:t>
      </w:r>
      <w:r w:rsidR="00B8070C">
        <w:rPr>
          <w:rFonts w:eastAsia="Google Sans Text"/>
          <w:color w:val="1B1C1D"/>
        </w:rPr>
        <w:t xml:space="preserve"> организирането на работодателите в работодателски организации.</w:t>
      </w:r>
    </w:p>
    <w:p w14:paraId="06EA9D98" w14:textId="77777777" w:rsidR="00E835A3" w:rsidRPr="00E835A3" w:rsidRDefault="005C3D84" w:rsidP="002C7BDD">
      <w:pPr>
        <w:pBdr>
          <w:top w:val="nil"/>
          <w:left w:val="nil"/>
          <w:bottom w:val="nil"/>
          <w:right w:val="nil"/>
          <w:between w:val="nil"/>
        </w:pBdr>
        <w:spacing w:line="276" w:lineRule="auto"/>
        <w:ind w:firstLine="709"/>
        <w:jc w:val="both"/>
        <w:rPr>
          <w:rFonts w:eastAsia="Google Sans Text"/>
          <w:color w:val="1B1C1D"/>
        </w:rPr>
      </w:pPr>
      <w:r>
        <w:rPr>
          <w:rFonts w:eastAsia="Google Sans Text"/>
          <w:color w:val="1B1C1D"/>
        </w:rPr>
        <w:t>Нивото на обхват на</w:t>
      </w:r>
      <w:r w:rsidR="00484A1A">
        <w:rPr>
          <w:rFonts w:eastAsia="Google Sans Text"/>
          <w:color w:val="1B1C1D"/>
        </w:rPr>
        <w:t xml:space="preserve"> </w:t>
      </w:r>
      <w:r w:rsidR="00E835A3" w:rsidRPr="00E835A3">
        <w:rPr>
          <w:rFonts w:eastAsia="Google Sans Text"/>
          <w:color w:val="1B1C1D"/>
        </w:rPr>
        <w:t>колективн</w:t>
      </w:r>
      <w:r>
        <w:rPr>
          <w:rFonts w:eastAsia="Google Sans Text"/>
          <w:color w:val="1B1C1D"/>
        </w:rPr>
        <w:t>ото</w:t>
      </w:r>
      <w:r w:rsidR="00E835A3" w:rsidRPr="00E835A3">
        <w:rPr>
          <w:rFonts w:eastAsia="Google Sans Text"/>
          <w:color w:val="1B1C1D"/>
        </w:rPr>
        <w:t xml:space="preserve"> </w:t>
      </w:r>
      <w:r w:rsidR="00F1156C" w:rsidRPr="00E835A3">
        <w:rPr>
          <w:rFonts w:eastAsia="Google Sans Text"/>
          <w:color w:val="1B1C1D"/>
        </w:rPr>
        <w:t>догов</w:t>
      </w:r>
      <w:r>
        <w:rPr>
          <w:rFonts w:eastAsia="Google Sans Text"/>
          <w:color w:val="1B1C1D"/>
        </w:rPr>
        <w:t>а</w:t>
      </w:r>
      <w:r w:rsidR="00F1156C" w:rsidRPr="00E835A3">
        <w:rPr>
          <w:rFonts w:eastAsia="Google Sans Text"/>
          <w:color w:val="1B1C1D"/>
        </w:rPr>
        <w:t>р</w:t>
      </w:r>
      <w:r>
        <w:rPr>
          <w:rFonts w:eastAsia="Google Sans Text"/>
          <w:color w:val="1B1C1D"/>
        </w:rPr>
        <w:t>яне остава сравнително стабилн</w:t>
      </w:r>
      <w:r w:rsidR="00A7671E">
        <w:rPr>
          <w:rFonts w:eastAsia="Google Sans Text"/>
          <w:color w:val="1B1C1D"/>
        </w:rPr>
        <w:t>о</w:t>
      </w:r>
      <w:r>
        <w:rPr>
          <w:rFonts w:eastAsia="Google Sans Text"/>
          <w:color w:val="1B1C1D"/>
        </w:rPr>
        <w:t xml:space="preserve"> след </w:t>
      </w:r>
      <w:r w:rsidR="00EA6F4F">
        <w:rPr>
          <w:rFonts w:eastAsia="Google Sans Text"/>
          <w:color w:val="1B1C1D"/>
        </w:rPr>
        <w:t xml:space="preserve">2018 </w:t>
      </w:r>
      <w:r>
        <w:rPr>
          <w:rFonts w:eastAsia="Google Sans Text"/>
          <w:color w:val="1B1C1D"/>
        </w:rPr>
        <w:t xml:space="preserve">г., като през 2024 г. с колективни трудови договори </w:t>
      </w:r>
      <w:r w:rsidR="00F1156C">
        <w:rPr>
          <w:rFonts w:eastAsia="Google Sans Text"/>
          <w:color w:val="1B1C1D"/>
        </w:rPr>
        <w:t>са обхванати</w:t>
      </w:r>
      <w:r w:rsidR="00E835A3" w:rsidRPr="00E835A3">
        <w:rPr>
          <w:rFonts w:eastAsia="Google Sans Text"/>
          <w:color w:val="1B1C1D"/>
        </w:rPr>
        <w:t xml:space="preserve"> </w:t>
      </w:r>
      <w:r w:rsidR="00F1156C">
        <w:rPr>
          <w:rFonts w:eastAsia="Google Sans Text"/>
          <w:color w:val="1B1C1D"/>
        </w:rPr>
        <w:t xml:space="preserve">около </w:t>
      </w:r>
      <w:r w:rsidR="004A56B3">
        <w:rPr>
          <w:rFonts w:eastAsia="Google Sans Text"/>
          <w:color w:val="1B1C1D"/>
        </w:rPr>
        <w:t xml:space="preserve">55 </w:t>
      </w:r>
      <w:r w:rsidR="00F1156C">
        <w:rPr>
          <w:rFonts w:eastAsia="Google Sans Text"/>
          <w:color w:val="1B1C1D"/>
        </w:rPr>
        <w:t>% от работниците в ЕС</w:t>
      </w:r>
      <w:r>
        <w:rPr>
          <w:rFonts w:eastAsia="Google Sans Text"/>
          <w:color w:val="1B1C1D"/>
        </w:rPr>
        <w:t>.</w:t>
      </w:r>
      <w:r w:rsidR="005A413E">
        <w:rPr>
          <w:rFonts w:eastAsia="Google Sans Text"/>
          <w:color w:val="1B1C1D"/>
        </w:rPr>
        <w:t xml:space="preserve"> </w:t>
      </w:r>
      <w:r w:rsidR="00F1156C">
        <w:rPr>
          <w:rFonts w:eastAsia="Google Sans Text"/>
          <w:color w:val="1B1C1D"/>
        </w:rPr>
        <w:t>Р</w:t>
      </w:r>
      <w:r w:rsidR="00F1156C" w:rsidRPr="00752E95">
        <w:rPr>
          <w:rFonts w:eastAsia="Google Sans Text"/>
          <w:color w:val="1B1C1D"/>
        </w:rPr>
        <w:t xml:space="preserve">азликите в обхвата между отделните държави членки </w:t>
      </w:r>
      <w:r w:rsidR="00F1156C">
        <w:rPr>
          <w:rFonts w:eastAsia="Google Sans Text"/>
          <w:color w:val="1B1C1D"/>
        </w:rPr>
        <w:t xml:space="preserve">обаче </w:t>
      </w:r>
      <w:r w:rsidR="00F1156C" w:rsidRPr="00752E95">
        <w:rPr>
          <w:rFonts w:eastAsia="Google Sans Text"/>
          <w:color w:val="1B1C1D"/>
        </w:rPr>
        <w:t xml:space="preserve">са </w:t>
      </w:r>
      <w:r w:rsidR="00F1156C">
        <w:rPr>
          <w:rFonts w:eastAsia="Google Sans Text"/>
          <w:color w:val="1B1C1D"/>
        </w:rPr>
        <w:t>значителни, като то</w:t>
      </w:r>
      <w:r>
        <w:rPr>
          <w:rFonts w:eastAsia="Google Sans Text"/>
          <w:color w:val="1B1C1D"/>
        </w:rPr>
        <w:t>й</w:t>
      </w:r>
      <w:r w:rsidR="00F1156C">
        <w:rPr>
          <w:rFonts w:eastAsia="Google Sans Text"/>
          <w:color w:val="1B1C1D"/>
        </w:rPr>
        <w:t xml:space="preserve"> е най-нис</w:t>
      </w:r>
      <w:r>
        <w:rPr>
          <w:rFonts w:eastAsia="Google Sans Text"/>
          <w:color w:val="1B1C1D"/>
        </w:rPr>
        <w:t>ъ</w:t>
      </w:r>
      <w:r w:rsidR="00F1156C">
        <w:rPr>
          <w:rFonts w:eastAsia="Google Sans Text"/>
          <w:color w:val="1B1C1D"/>
        </w:rPr>
        <w:t>к в държавите от Централна и Източна Европа</w:t>
      </w:r>
      <w:r w:rsidR="00E835A3" w:rsidRPr="00E835A3">
        <w:rPr>
          <w:rStyle w:val="FootnoteReference"/>
          <w:rFonts w:eastAsia="Google Sans Text"/>
          <w:color w:val="1B1C1D"/>
        </w:rPr>
        <w:footnoteReference w:id="1"/>
      </w:r>
      <w:r w:rsidR="00F1156C">
        <w:rPr>
          <w:rFonts w:eastAsia="Google Sans Text"/>
          <w:color w:val="1B1C1D"/>
        </w:rPr>
        <w:t xml:space="preserve">. </w:t>
      </w:r>
      <w:r w:rsidR="00A7671E">
        <w:rPr>
          <w:rFonts w:eastAsia="Google Sans Text"/>
          <w:color w:val="1B1C1D"/>
        </w:rPr>
        <w:t>Н</w:t>
      </w:r>
      <w:r w:rsidR="00F1156C">
        <w:rPr>
          <w:rFonts w:eastAsia="Google Sans Text"/>
          <w:color w:val="1B1C1D"/>
        </w:rPr>
        <w:t xml:space="preserve">апример в </w:t>
      </w:r>
      <w:r w:rsidR="00F1156C" w:rsidRPr="00E835A3">
        <w:rPr>
          <w:rFonts w:eastAsia="Google Sans Text"/>
          <w:color w:val="1B1C1D"/>
        </w:rPr>
        <w:t>Австрия, Франция</w:t>
      </w:r>
      <w:r w:rsidR="00F1156C">
        <w:rPr>
          <w:rFonts w:eastAsia="Google Sans Text"/>
          <w:color w:val="1B1C1D"/>
        </w:rPr>
        <w:t>,</w:t>
      </w:r>
      <w:r w:rsidR="00F1156C" w:rsidRPr="00E835A3">
        <w:rPr>
          <w:rFonts w:eastAsia="Google Sans Text"/>
          <w:color w:val="1B1C1D"/>
        </w:rPr>
        <w:t xml:space="preserve"> Белгия</w:t>
      </w:r>
      <w:r w:rsidR="00F1156C">
        <w:rPr>
          <w:rFonts w:eastAsia="Google Sans Text"/>
          <w:color w:val="1B1C1D"/>
        </w:rPr>
        <w:t>, Дания, Финландия и Швеция обхватът на колективното договаряне е над 90%. Това</w:t>
      </w:r>
      <w:r w:rsidR="00A7671E">
        <w:rPr>
          <w:rFonts w:eastAsia="Google Sans Text"/>
          <w:color w:val="1B1C1D"/>
        </w:rPr>
        <w:t xml:space="preserve"> ниво</w:t>
      </w:r>
      <w:r w:rsidR="00F1156C">
        <w:rPr>
          <w:rFonts w:eastAsia="Google Sans Text"/>
          <w:color w:val="1B1C1D"/>
        </w:rPr>
        <w:t xml:space="preserve"> се дължи основно на два фактора </w:t>
      </w:r>
      <w:r w:rsidR="00A7671E">
        <w:rPr>
          <w:rFonts w:eastAsia="Google Sans Text"/>
          <w:color w:val="1B1C1D"/>
        </w:rPr>
        <w:t>–</w:t>
      </w:r>
      <w:r w:rsidR="00F1156C">
        <w:rPr>
          <w:rFonts w:eastAsia="Google Sans Text"/>
          <w:color w:val="1B1C1D"/>
        </w:rPr>
        <w:t xml:space="preserve"> </w:t>
      </w:r>
      <w:r w:rsidR="00A7671E">
        <w:rPr>
          <w:rFonts w:eastAsia="Google Sans Text"/>
          <w:color w:val="1B1C1D"/>
        </w:rPr>
        <w:t xml:space="preserve">наличие на </w:t>
      </w:r>
      <w:r w:rsidR="00F1156C">
        <w:rPr>
          <w:rFonts w:eastAsia="Google Sans Text"/>
          <w:color w:val="1B1C1D"/>
        </w:rPr>
        <w:t xml:space="preserve">механизми за </w:t>
      </w:r>
      <w:r w:rsidR="00E835A3" w:rsidRPr="00E835A3">
        <w:rPr>
          <w:rFonts w:eastAsia="Google Sans Text"/>
          <w:color w:val="1B1C1D"/>
        </w:rPr>
        <w:t>автоматично раз</w:t>
      </w:r>
      <w:r w:rsidR="00F1156C">
        <w:rPr>
          <w:rFonts w:eastAsia="Google Sans Text"/>
          <w:color w:val="1B1C1D"/>
        </w:rPr>
        <w:t>простиране на колективните договори</w:t>
      </w:r>
      <w:r w:rsidR="00E835A3" w:rsidRPr="00E835A3">
        <w:rPr>
          <w:rFonts w:eastAsia="Google Sans Text"/>
          <w:color w:val="1B1C1D"/>
        </w:rPr>
        <w:t xml:space="preserve"> и силни структури</w:t>
      </w:r>
      <w:r w:rsidR="00F1156C">
        <w:rPr>
          <w:rFonts w:eastAsia="Google Sans Text"/>
          <w:color w:val="1B1C1D"/>
        </w:rPr>
        <w:t xml:space="preserve"> на социалните партньори в отделните сектори на икономиката</w:t>
      </w:r>
      <w:r w:rsidR="00E835A3" w:rsidRPr="00E835A3">
        <w:rPr>
          <w:rFonts w:eastAsia="Google Sans Text"/>
          <w:color w:val="1B1C1D"/>
        </w:rPr>
        <w:t>.</w:t>
      </w:r>
      <w:r w:rsidR="00F1156C">
        <w:rPr>
          <w:rFonts w:eastAsia="Google Sans Text"/>
          <w:color w:val="1B1C1D"/>
        </w:rPr>
        <w:t xml:space="preserve"> От друга страна са държавите от Централна и Източна Европа (</w:t>
      </w:r>
      <w:r w:rsidR="00F1156C" w:rsidRPr="00F1156C">
        <w:rPr>
          <w:rFonts w:eastAsia="Google Sans Text"/>
          <w:color w:val="1B1C1D"/>
        </w:rPr>
        <w:t>България, Естония, Литва, Латвия</w:t>
      </w:r>
      <w:r>
        <w:rPr>
          <w:rFonts w:eastAsia="Google Sans Text"/>
          <w:color w:val="1B1C1D"/>
        </w:rPr>
        <w:t xml:space="preserve"> и</w:t>
      </w:r>
      <w:r w:rsidR="00F1156C" w:rsidRPr="00F1156C">
        <w:rPr>
          <w:rFonts w:eastAsia="Google Sans Text"/>
          <w:color w:val="1B1C1D"/>
        </w:rPr>
        <w:t xml:space="preserve"> Румъния</w:t>
      </w:r>
      <w:r w:rsidR="00F1156C">
        <w:rPr>
          <w:rFonts w:eastAsia="Google Sans Text"/>
          <w:color w:val="1B1C1D"/>
        </w:rPr>
        <w:t>), при които обхватът е около и под 30 %.</w:t>
      </w:r>
    </w:p>
    <w:p w14:paraId="71AC8A49" w14:textId="77777777" w:rsidR="00F1156C" w:rsidRDefault="00F1156C" w:rsidP="002C7BDD">
      <w:pPr>
        <w:pBdr>
          <w:top w:val="nil"/>
          <w:left w:val="nil"/>
          <w:bottom w:val="nil"/>
          <w:right w:val="nil"/>
          <w:between w:val="nil"/>
        </w:pBdr>
        <w:spacing w:line="276" w:lineRule="auto"/>
        <w:ind w:firstLine="709"/>
        <w:jc w:val="both"/>
        <w:rPr>
          <w:rFonts w:eastAsia="Google Sans Text"/>
          <w:color w:val="1B1C1D"/>
        </w:rPr>
      </w:pPr>
      <w:r>
        <w:rPr>
          <w:rFonts w:eastAsia="Google Sans Text"/>
          <w:color w:val="1B1C1D"/>
        </w:rPr>
        <w:t xml:space="preserve">Всички изследвания показват </w:t>
      </w:r>
      <w:r w:rsidR="00E835A3" w:rsidRPr="00464184">
        <w:rPr>
          <w:rFonts w:eastAsia="Google Sans Text"/>
          <w:color w:val="1B1C1D"/>
        </w:rPr>
        <w:t xml:space="preserve">пряка зависимост между </w:t>
      </w:r>
      <w:r w:rsidR="00A7671E">
        <w:rPr>
          <w:rFonts w:eastAsia="Google Sans Text"/>
          <w:color w:val="1B1C1D"/>
        </w:rPr>
        <w:t>равнището</w:t>
      </w:r>
      <w:r w:rsidR="00A7671E" w:rsidRPr="00464184">
        <w:rPr>
          <w:rFonts w:eastAsia="Google Sans Text"/>
          <w:color w:val="1B1C1D"/>
        </w:rPr>
        <w:t xml:space="preserve"> </w:t>
      </w:r>
      <w:r w:rsidR="00E835A3" w:rsidRPr="00464184">
        <w:rPr>
          <w:rFonts w:eastAsia="Google Sans Text"/>
          <w:color w:val="1B1C1D"/>
        </w:rPr>
        <w:t xml:space="preserve">на договаряне и обхвата на колективното договаряне. Обхватът обикновено е нисък в </w:t>
      </w:r>
      <w:r>
        <w:rPr>
          <w:rFonts w:eastAsia="Google Sans Text"/>
          <w:color w:val="1B1C1D"/>
        </w:rPr>
        <w:t>държави</w:t>
      </w:r>
      <w:r w:rsidR="00E835A3" w:rsidRPr="00464184">
        <w:rPr>
          <w:rFonts w:eastAsia="Google Sans Text"/>
          <w:color w:val="1B1C1D"/>
        </w:rPr>
        <w:t xml:space="preserve">, където </w:t>
      </w:r>
      <w:r>
        <w:rPr>
          <w:rFonts w:eastAsia="Google Sans Text"/>
          <w:color w:val="1B1C1D"/>
        </w:rPr>
        <w:lastRenderedPageBreak/>
        <w:t>колективното договаряне се извършва</w:t>
      </w:r>
      <w:r w:rsidRPr="00464184">
        <w:rPr>
          <w:rFonts w:eastAsia="Google Sans Text"/>
          <w:color w:val="1B1C1D"/>
        </w:rPr>
        <w:t xml:space="preserve"> </w:t>
      </w:r>
      <w:r w:rsidR="00E835A3" w:rsidRPr="00464184">
        <w:rPr>
          <w:rFonts w:eastAsia="Google Sans Text"/>
          <w:color w:val="1B1C1D"/>
        </w:rPr>
        <w:t>основно</w:t>
      </w:r>
      <w:r>
        <w:rPr>
          <w:rFonts w:eastAsia="Google Sans Text"/>
          <w:color w:val="1B1C1D"/>
        </w:rPr>
        <w:t xml:space="preserve"> на</w:t>
      </w:r>
      <w:r w:rsidR="00E835A3" w:rsidRPr="00464184">
        <w:rPr>
          <w:rFonts w:eastAsia="Google Sans Text"/>
          <w:color w:val="1B1C1D"/>
        </w:rPr>
        <w:t xml:space="preserve"> </w:t>
      </w:r>
      <w:r w:rsidR="00A7671E">
        <w:rPr>
          <w:rFonts w:eastAsia="Google Sans Text"/>
          <w:color w:val="1B1C1D"/>
        </w:rPr>
        <w:t>равнище</w:t>
      </w:r>
      <w:r w:rsidR="00A7671E" w:rsidRPr="00464184">
        <w:rPr>
          <w:rFonts w:eastAsia="Google Sans Text"/>
          <w:color w:val="1B1C1D"/>
        </w:rPr>
        <w:t xml:space="preserve"> </w:t>
      </w:r>
      <w:r w:rsidR="00E835A3" w:rsidRPr="00464184">
        <w:rPr>
          <w:rFonts w:eastAsia="Google Sans Text"/>
          <w:color w:val="1B1C1D"/>
        </w:rPr>
        <w:t xml:space="preserve">предприятие. </w:t>
      </w:r>
      <w:r>
        <w:rPr>
          <w:rFonts w:eastAsia="Google Sans Text"/>
          <w:color w:val="1B1C1D"/>
        </w:rPr>
        <w:t xml:space="preserve">Много по-високи </w:t>
      </w:r>
      <w:r w:rsidR="00E835A3" w:rsidRPr="00464184">
        <w:rPr>
          <w:rFonts w:eastAsia="Google Sans Text"/>
          <w:color w:val="1B1C1D"/>
        </w:rPr>
        <w:t xml:space="preserve">нива се наблюдават в </w:t>
      </w:r>
      <w:r>
        <w:rPr>
          <w:rFonts w:eastAsia="Google Sans Text"/>
          <w:color w:val="1B1C1D"/>
        </w:rPr>
        <w:t>държави</w:t>
      </w:r>
      <w:r w:rsidR="00E835A3" w:rsidRPr="00464184">
        <w:rPr>
          <w:rFonts w:eastAsia="Google Sans Text"/>
          <w:color w:val="1B1C1D"/>
        </w:rPr>
        <w:t xml:space="preserve">, където </w:t>
      </w:r>
      <w:r>
        <w:rPr>
          <w:rFonts w:eastAsia="Google Sans Text"/>
          <w:color w:val="1B1C1D"/>
        </w:rPr>
        <w:t xml:space="preserve">колективното договаряне е приоритетно на секторно </w:t>
      </w:r>
      <w:r w:rsidR="00A7671E">
        <w:rPr>
          <w:rFonts w:eastAsia="Google Sans Text"/>
          <w:color w:val="1B1C1D"/>
        </w:rPr>
        <w:t>равнище</w:t>
      </w:r>
      <w:r>
        <w:rPr>
          <w:rFonts w:eastAsia="Google Sans Text"/>
          <w:color w:val="1B1C1D"/>
        </w:rPr>
        <w:t xml:space="preserve">. Най-високо покритие с колективни договори имат държавите, където договарянето е на секторно </w:t>
      </w:r>
      <w:r w:rsidR="00A7671E">
        <w:rPr>
          <w:rFonts w:eastAsia="Google Sans Text"/>
          <w:color w:val="1B1C1D"/>
        </w:rPr>
        <w:t xml:space="preserve">равнище </w:t>
      </w:r>
      <w:r>
        <w:rPr>
          <w:rFonts w:eastAsia="Google Sans Text"/>
          <w:color w:val="1B1C1D"/>
        </w:rPr>
        <w:t>и има установени механизми за разпростиране на договорите спрямо</w:t>
      </w:r>
      <w:r w:rsidR="00E835A3" w:rsidRPr="00464184">
        <w:rPr>
          <w:rFonts w:eastAsia="Google Sans Text"/>
          <w:color w:val="1B1C1D"/>
        </w:rPr>
        <w:t xml:space="preserve"> предприятия и </w:t>
      </w:r>
      <w:r>
        <w:rPr>
          <w:rFonts w:eastAsia="Google Sans Text"/>
          <w:color w:val="1B1C1D"/>
        </w:rPr>
        <w:t>работещи,</w:t>
      </w:r>
      <w:r w:rsidR="00E835A3" w:rsidRPr="00464184">
        <w:rPr>
          <w:rFonts w:eastAsia="Google Sans Text"/>
          <w:color w:val="1B1C1D"/>
        </w:rPr>
        <w:t xml:space="preserve"> независимо от членството в синдикални или работодателски организации. </w:t>
      </w:r>
    </w:p>
    <w:p w14:paraId="034209F6" w14:textId="77777777" w:rsidR="005A413E" w:rsidRDefault="005A413E" w:rsidP="002C7BDD">
      <w:pPr>
        <w:pBdr>
          <w:top w:val="nil"/>
          <w:left w:val="nil"/>
          <w:bottom w:val="nil"/>
          <w:right w:val="nil"/>
          <w:between w:val="nil"/>
        </w:pBdr>
        <w:spacing w:line="276" w:lineRule="auto"/>
        <w:ind w:firstLine="709"/>
        <w:jc w:val="both"/>
        <w:rPr>
          <w:rFonts w:eastAsia="Google Sans Text"/>
          <w:color w:val="1B1C1D"/>
        </w:rPr>
      </w:pPr>
    </w:p>
    <w:p w14:paraId="1784C42A" w14:textId="77777777" w:rsidR="00F1156C" w:rsidRDefault="00F1156C" w:rsidP="002C7BDD">
      <w:pPr>
        <w:pBdr>
          <w:top w:val="nil"/>
          <w:left w:val="nil"/>
          <w:bottom w:val="nil"/>
          <w:right w:val="nil"/>
          <w:between w:val="nil"/>
        </w:pBdr>
        <w:spacing w:line="276" w:lineRule="auto"/>
        <w:jc w:val="both"/>
        <w:rPr>
          <w:rFonts w:eastAsia="Google Sans Text"/>
          <w:color w:val="1B1C1D"/>
        </w:rPr>
      </w:pPr>
      <w:r w:rsidRPr="00464184">
        <w:rPr>
          <w:rFonts w:asciiTheme="minorHAnsi" w:eastAsia="Google Sans Text" w:hAnsiTheme="minorHAnsi" w:cs="Google Sans Text"/>
          <w:noProof/>
          <w:color w:val="1B1C1D"/>
        </w:rPr>
        <w:drawing>
          <wp:inline distT="0" distB="0" distL="0" distR="0" wp14:anchorId="7F797897" wp14:editId="7214433F">
            <wp:extent cx="5939790" cy="289691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2896917"/>
                    </a:xfrm>
                    <a:prstGeom prst="rect">
                      <a:avLst/>
                    </a:prstGeom>
                    <a:noFill/>
                    <a:ln>
                      <a:noFill/>
                    </a:ln>
                  </pic:spPr>
                </pic:pic>
              </a:graphicData>
            </a:graphic>
          </wp:inline>
        </w:drawing>
      </w:r>
    </w:p>
    <w:p w14:paraId="5B662FAA" w14:textId="77777777" w:rsidR="00F1156C" w:rsidRDefault="00F1156C" w:rsidP="002C7BDD">
      <w:pPr>
        <w:pBdr>
          <w:top w:val="nil"/>
          <w:left w:val="nil"/>
          <w:bottom w:val="nil"/>
          <w:right w:val="nil"/>
          <w:between w:val="nil"/>
        </w:pBdr>
        <w:spacing w:line="276" w:lineRule="auto"/>
        <w:ind w:firstLine="709"/>
        <w:jc w:val="both"/>
        <w:rPr>
          <w:rFonts w:eastAsia="Google Sans Text"/>
          <w:color w:val="1B1C1D"/>
        </w:rPr>
      </w:pPr>
    </w:p>
    <w:p w14:paraId="7A3F6445" w14:textId="77777777" w:rsidR="005A413E" w:rsidRPr="002C7BDD" w:rsidRDefault="005A413E" w:rsidP="002C7BDD">
      <w:pPr>
        <w:pBdr>
          <w:top w:val="nil"/>
          <w:left w:val="nil"/>
          <w:bottom w:val="nil"/>
          <w:right w:val="nil"/>
          <w:between w:val="nil"/>
        </w:pBdr>
        <w:spacing w:line="276" w:lineRule="auto"/>
        <w:ind w:firstLine="709"/>
        <w:jc w:val="both"/>
        <w:rPr>
          <w:rFonts w:eastAsia="Google Sans Text"/>
          <w:color w:val="1B1C1D"/>
          <w:lang w:val="en-US"/>
        </w:rPr>
      </w:pPr>
      <w:r>
        <w:rPr>
          <w:rFonts w:eastAsia="Google Sans Text"/>
          <w:color w:val="1B1C1D"/>
        </w:rPr>
        <w:t>Като отговор на негативните тенденции по отношение на колективното договаряне</w:t>
      </w:r>
      <w:r w:rsidR="002C7BDD">
        <w:rPr>
          <w:rFonts w:eastAsia="Google Sans Text"/>
          <w:color w:val="1B1C1D"/>
        </w:rPr>
        <w:t xml:space="preserve"> в ЕС са приети </w:t>
      </w:r>
      <w:r w:rsidR="002C7BDD" w:rsidRPr="002C7BDD">
        <w:rPr>
          <w:rFonts w:eastAsia="Google Sans Text"/>
          <w:color w:val="1B1C1D"/>
        </w:rPr>
        <w:t>Препоръка на Съвета и Директива (ЕС) 2022/2041</w:t>
      </w:r>
      <w:r w:rsidR="002C7BDD">
        <w:rPr>
          <w:rFonts w:eastAsia="Google Sans Text"/>
          <w:color w:val="1B1C1D"/>
        </w:rPr>
        <w:t>, които имат за цел да насърчават държавите членки да предприемат действия за повишаване на неговия обхват. Допълнителен мотив за това е, че д</w:t>
      </w:r>
      <w:r w:rsidR="002C7BDD" w:rsidRPr="002C7BDD">
        <w:rPr>
          <w:rFonts w:eastAsia="Google Sans Text"/>
          <w:color w:val="1B1C1D"/>
        </w:rPr>
        <w:t xml:space="preserve">ържавите членки с широк обхват на колективното договаряне обикновено имат </w:t>
      </w:r>
      <w:r w:rsidR="002C7BDD">
        <w:rPr>
          <w:rFonts w:eastAsia="Google Sans Text"/>
          <w:color w:val="1B1C1D"/>
        </w:rPr>
        <w:t>по-добра социална конвергенция, като при тях е по-</w:t>
      </w:r>
      <w:r w:rsidR="002C7BDD" w:rsidRPr="002C7BDD">
        <w:rPr>
          <w:rFonts w:eastAsia="Google Sans Text"/>
          <w:color w:val="1B1C1D"/>
        </w:rPr>
        <w:t>малък процент</w:t>
      </w:r>
      <w:r w:rsidR="002C7BDD">
        <w:rPr>
          <w:rFonts w:eastAsia="Google Sans Text"/>
          <w:color w:val="1B1C1D"/>
        </w:rPr>
        <w:t>ът</w:t>
      </w:r>
      <w:r w:rsidR="002C7BDD" w:rsidRPr="002C7BDD">
        <w:rPr>
          <w:rFonts w:eastAsia="Google Sans Text"/>
          <w:color w:val="1B1C1D"/>
        </w:rPr>
        <w:t xml:space="preserve"> нископлатени работници и</w:t>
      </w:r>
      <w:r w:rsidR="002C7BDD">
        <w:rPr>
          <w:rFonts w:eastAsia="Google Sans Text"/>
          <w:color w:val="1B1C1D"/>
        </w:rPr>
        <w:t xml:space="preserve"> са по-</w:t>
      </w:r>
      <w:r w:rsidR="002C7BDD" w:rsidRPr="002C7BDD">
        <w:rPr>
          <w:rFonts w:eastAsia="Google Sans Text"/>
          <w:color w:val="1B1C1D"/>
        </w:rPr>
        <w:t>високи минимални</w:t>
      </w:r>
      <w:r w:rsidR="002C7BDD">
        <w:rPr>
          <w:rFonts w:eastAsia="Google Sans Text"/>
          <w:color w:val="1B1C1D"/>
        </w:rPr>
        <w:t>те</w:t>
      </w:r>
      <w:r w:rsidR="002C7BDD" w:rsidRPr="002C7BDD">
        <w:rPr>
          <w:rFonts w:eastAsia="Google Sans Text"/>
          <w:color w:val="1B1C1D"/>
        </w:rPr>
        <w:t xml:space="preserve"> работни заплати.</w:t>
      </w:r>
    </w:p>
    <w:p w14:paraId="6CF6B143" w14:textId="77777777" w:rsidR="00E835A3" w:rsidRPr="00F1156C" w:rsidRDefault="002C7BDD" w:rsidP="002C7BDD">
      <w:pPr>
        <w:pBdr>
          <w:top w:val="nil"/>
          <w:left w:val="nil"/>
          <w:bottom w:val="nil"/>
          <w:right w:val="nil"/>
          <w:between w:val="nil"/>
        </w:pBdr>
        <w:spacing w:line="276" w:lineRule="auto"/>
        <w:ind w:firstLine="709"/>
        <w:jc w:val="both"/>
        <w:rPr>
          <w:rFonts w:eastAsia="Google Sans Text"/>
          <w:color w:val="1B1C1D"/>
        </w:rPr>
      </w:pPr>
      <w:r>
        <w:rPr>
          <w:rFonts w:eastAsia="Google Sans Text"/>
          <w:color w:val="1B1C1D"/>
        </w:rPr>
        <w:t>Анализът на с</w:t>
      </w:r>
      <w:r w:rsidRPr="002C7BDD">
        <w:rPr>
          <w:rFonts w:eastAsia="Google Sans Text"/>
          <w:color w:val="1B1C1D"/>
        </w:rPr>
        <w:t>ъстояние</w:t>
      </w:r>
      <w:r>
        <w:rPr>
          <w:rFonts w:eastAsia="Google Sans Text"/>
          <w:color w:val="1B1C1D"/>
        </w:rPr>
        <w:t>то</w:t>
      </w:r>
      <w:r w:rsidRPr="002C7BDD">
        <w:rPr>
          <w:rFonts w:eastAsia="Google Sans Text"/>
          <w:color w:val="1B1C1D"/>
        </w:rPr>
        <w:t xml:space="preserve"> и тенденции</w:t>
      </w:r>
      <w:r>
        <w:rPr>
          <w:rFonts w:eastAsia="Google Sans Text"/>
          <w:color w:val="1B1C1D"/>
        </w:rPr>
        <w:t>те</w:t>
      </w:r>
      <w:r w:rsidRPr="002C7BDD">
        <w:rPr>
          <w:rFonts w:eastAsia="Google Sans Text"/>
          <w:color w:val="1B1C1D"/>
        </w:rPr>
        <w:t xml:space="preserve"> в развитието на колективното договаряне в </w:t>
      </w:r>
      <w:r>
        <w:rPr>
          <w:rFonts w:eastAsia="Google Sans Text"/>
          <w:color w:val="1B1C1D"/>
        </w:rPr>
        <w:t xml:space="preserve">ЕС ясно показва необходимостта от </w:t>
      </w:r>
      <w:r w:rsidRPr="00464184">
        <w:rPr>
          <w:rFonts w:eastAsia="Google Sans Text"/>
          <w:color w:val="1B1C1D"/>
        </w:rPr>
        <w:t>стратегическо преориентиране към укрепване на секторното договаряне</w:t>
      </w:r>
      <w:r>
        <w:rPr>
          <w:rFonts w:eastAsia="Google Sans Text"/>
          <w:color w:val="1B1C1D"/>
        </w:rPr>
        <w:t>,</w:t>
      </w:r>
      <w:r w:rsidRPr="00464184">
        <w:rPr>
          <w:rFonts w:eastAsia="Google Sans Text"/>
          <w:color w:val="1B1C1D"/>
        </w:rPr>
        <w:t xml:space="preserve"> </w:t>
      </w:r>
      <w:r w:rsidR="00E835A3" w:rsidRPr="00464184">
        <w:rPr>
          <w:rFonts w:eastAsia="Google Sans Text"/>
          <w:color w:val="1B1C1D"/>
        </w:rPr>
        <w:t xml:space="preserve">за да се постигне увеличение на </w:t>
      </w:r>
      <w:r w:rsidR="00A7671E">
        <w:rPr>
          <w:rFonts w:eastAsia="Google Sans Text"/>
          <w:color w:val="1B1C1D"/>
        </w:rPr>
        <w:t xml:space="preserve">неговия </w:t>
      </w:r>
      <w:r w:rsidR="00E835A3" w:rsidRPr="00464184">
        <w:rPr>
          <w:rFonts w:eastAsia="Google Sans Text"/>
          <w:color w:val="1B1C1D"/>
        </w:rPr>
        <w:t>обхват.</w:t>
      </w:r>
      <w:r w:rsidR="00E835A3">
        <w:rPr>
          <w:rFonts w:asciiTheme="minorHAnsi" w:eastAsia="Google Sans Text" w:hAnsiTheme="minorHAnsi" w:cs="Google Sans Text"/>
          <w:color w:val="1B1C1D"/>
        </w:rPr>
        <w:t xml:space="preserve">  </w:t>
      </w:r>
    </w:p>
    <w:p w14:paraId="4EFB3D77" w14:textId="77777777" w:rsidR="00B44CC3" w:rsidRDefault="00B44CC3" w:rsidP="00B44CC3">
      <w:pPr>
        <w:pStyle w:val="Heading1"/>
        <w:numPr>
          <w:ilvl w:val="0"/>
          <w:numId w:val="0"/>
        </w:numPr>
        <w:rPr>
          <w:b w:val="0"/>
          <w:szCs w:val="24"/>
        </w:rPr>
      </w:pPr>
    </w:p>
    <w:p w14:paraId="1771EE40" w14:textId="77777777" w:rsidR="00E835A3" w:rsidRPr="00B44CC3" w:rsidRDefault="00B44CC3" w:rsidP="00B44CC3">
      <w:pPr>
        <w:pStyle w:val="Heading1"/>
        <w:numPr>
          <w:ilvl w:val="0"/>
          <w:numId w:val="0"/>
        </w:numPr>
        <w:jc w:val="center"/>
        <w:rPr>
          <w:b w:val="0"/>
        </w:rPr>
      </w:pPr>
      <w:bookmarkStart w:id="2" w:name="_Toc216436491"/>
      <w:r w:rsidRPr="00B44CC3">
        <w:rPr>
          <w:lang w:val="en-US"/>
        </w:rPr>
        <w:t>III</w:t>
      </w:r>
      <w:r>
        <w:rPr>
          <w:lang w:val="en-US"/>
        </w:rPr>
        <w:t>.</w:t>
      </w:r>
      <w:r w:rsidRPr="00B44CC3">
        <w:rPr>
          <w:b w:val="0"/>
          <w:lang w:val="en-US"/>
        </w:rPr>
        <w:t xml:space="preserve"> </w:t>
      </w:r>
      <w:r>
        <w:t xml:space="preserve">НОРМАТИВНА РАМКА, </w:t>
      </w:r>
      <w:r>
        <w:rPr>
          <w:rStyle w:val="Heading1Char"/>
          <w:b/>
          <w:sz w:val="24"/>
          <w:szCs w:val="24"/>
        </w:rPr>
        <w:t xml:space="preserve">СЪСТОЯНИЕ И ТЕНДЕНЦИИ ПРИ </w:t>
      </w:r>
      <w:r w:rsidRPr="00B44CC3">
        <w:rPr>
          <w:rStyle w:val="Heading1Char"/>
          <w:b/>
          <w:sz w:val="24"/>
          <w:szCs w:val="24"/>
        </w:rPr>
        <w:t>КОЛЕКТИВНОТО ДОГОВАРЯНЕ В БЪЛГАРИЯ</w:t>
      </w:r>
      <w:bookmarkEnd w:id="2"/>
    </w:p>
    <w:p w14:paraId="08CDD5EF" w14:textId="77777777" w:rsidR="00E835A3" w:rsidRPr="00E835A3" w:rsidRDefault="00E835A3" w:rsidP="00B44CC3">
      <w:pPr>
        <w:tabs>
          <w:tab w:val="left" w:pos="1134"/>
        </w:tabs>
        <w:spacing w:before="120" w:line="276" w:lineRule="auto"/>
        <w:jc w:val="center"/>
      </w:pPr>
      <w:bookmarkStart w:id="3" w:name="_Toc216436492"/>
      <w:r w:rsidRPr="002D558A">
        <w:rPr>
          <w:rStyle w:val="Heading2Char"/>
          <w:rFonts w:ascii="Times New Roman" w:hAnsi="Times New Roman"/>
          <w:color w:val="auto"/>
          <w:sz w:val="24"/>
          <w:szCs w:val="24"/>
        </w:rPr>
        <w:t>1. Макроикономическо развитие</w:t>
      </w:r>
      <w:bookmarkEnd w:id="3"/>
      <w:r w:rsidRPr="00E835A3">
        <w:rPr>
          <w:b/>
          <w:vertAlign w:val="superscript"/>
        </w:rPr>
        <w:footnoteReference w:id="2"/>
      </w:r>
    </w:p>
    <w:p w14:paraId="5B94ECA4" w14:textId="77777777" w:rsidR="002C7BDD" w:rsidRDefault="002C7BDD" w:rsidP="003457C3">
      <w:pPr>
        <w:spacing w:line="276" w:lineRule="auto"/>
        <w:ind w:firstLine="720"/>
        <w:jc w:val="both"/>
      </w:pPr>
      <w:r>
        <w:t>Основен фактор по отношение на колективното договаряне е структурата на икономиката и макроикономическото развитие. Подобно на общите тенденции във всички индустриални държави, вкл. и всички държави в ЕС, в</w:t>
      </w:r>
      <w:r w:rsidRPr="002C7BDD">
        <w:t xml:space="preserve"> България микро, малките и средните предприятия</w:t>
      </w:r>
      <w:r w:rsidR="00B068FA">
        <w:t xml:space="preserve"> (</w:t>
      </w:r>
      <w:r w:rsidRPr="002C7BDD">
        <w:t>МСП</w:t>
      </w:r>
      <w:r w:rsidR="00B068FA">
        <w:t>)</w:t>
      </w:r>
      <w:r w:rsidRPr="002C7BDD">
        <w:t xml:space="preserve"> </w:t>
      </w:r>
      <w:r w:rsidR="00B068FA">
        <w:t xml:space="preserve">имат ключова роля за икономическото развитие и са основен фактор на пазара на труда. Те </w:t>
      </w:r>
      <w:r w:rsidRPr="002C7BDD">
        <w:t xml:space="preserve">допринасят за 75,7% от общата заетост и за 65,3% от добавената стойност в икономиката. </w:t>
      </w:r>
      <w:r w:rsidR="00B068FA">
        <w:t xml:space="preserve">Съществено значение има обстоятелството, че </w:t>
      </w:r>
      <w:r w:rsidRPr="002C7BDD">
        <w:t>50% от общия износ на страната се извършва от МСП, които представляват 98% от всички фирми-износители в България.</w:t>
      </w:r>
    </w:p>
    <w:p w14:paraId="7B473FF8" w14:textId="77777777" w:rsidR="00E835A3" w:rsidRPr="00E835A3" w:rsidRDefault="00E835A3" w:rsidP="003457C3">
      <w:pPr>
        <w:spacing w:line="276" w:lineRule="auto"/>
        <w:ind w:firstLine="720"/>
        <w:jc w:val="both"/>
      </w:pPr>
      <w:r w:rsidRPr="00E835A3">
        <w:lastRenderedPageBreak/>
        <w:t xml:space="preserve">През 2025 г. се наблюдава сложна геополитическа и икономическа обстановка, като в глобален план напрежението се </w:t>
      </w:r>
      <w:r w:rsidR="00B068FA" w:rsidRPr="00E835A3">
        <w:t>покачва</w:t>
      </w:r>
      <w:r w:rsidRPr="00E835A3">
        <w:t xml:space="preserve">. Конфликтът в Украйна продължава, </w:t>
      </w:r>
      <w:r w:rsidRPr="00E779F7">
        <w:t>напрежението между САЩ и Китай расте</w:t>
      </w:r>
      <w:r w:rsidRPr="00E835A3">
        <w:t>, а Близкият изток остава нестабилен. В Европа теми като енергийната сигурност, отбрана</w:t>
      </w:r>
      <w:r w:rsidR="00940426">
        <w:t>та</w:t>
      </w:r>
      <w:r w:rsidRPr="00E835A3">
        <w:t xml:space="preserve"> и миграцията са водещи. Икономическият растеж е неравномерен, а глобалните вериги </w:t>
      </w:r>
      <w:r w:rsidR="00940426">
        <w:t xml:space="preserve">за </w:t>
      </w:r>
      <w:r w:rsidRPr="00E835A3">
        <w:t xml:space="preserve">доставки се преструктурират </w:t>
      </w:r>
      <w:r w:rsidR="00231D64">
        <w:t>по</w:t>
      </w:r>
      <w:r w:rsidRPr="00E835A3">
        <w:t>ради търговски напрежения, което прави макроикономическата среда изключително непредвидима.</w:t>
      </w:r>
    </w:p>
    <w:p w14:paraId="776DF89D" w14:textId="77777777" w:rsidR="00E835A3" w:rsidRPr="00E835A3" w:rsidRDefault="00E835A3" w:rsidP="003457C3">
      <w:pPr>
        <w:spacing w:line="276" w:lineRule="auto"/>
        <w:ind w:firstLine="720"/>
        <w:jc w:val="both"/>
      </w:pPr>
      <w:r w:rsidRPr="00E835A3">
        <w:t>През 2024 г. реалният растеж на брутния вътрешен продукт на България достигна 2.8%. До края на 2025 г. се очаква растежът на икономиката да се ускори до 3%</w:t>
      </w:r>
      <w:r w:rsidR="00940426">
        <w:t>,</w:t>
      </w:r>
      <w:r w:rsidRPr="00E835A3">
        <w:t xml:space="preserve"> подкрепен от публичните разходи, а през 2026 г. намалението на публичните инвестиции ще доведе до забавяне на растежа на БВП до 2.5%. </w:t>
      </w:r>
    </w:p>
    <w:p w14:paraId="50E7920D" w14:textId="77777777" w:rsidR="00E835A3" w:rsidRPr="00E835A3" w:rsidRDefault="00E835A3" w:rsidP="003457C3">
      <w:pPr>
        <w:spacing w:line="276" w:lineRule="auto"/>
        <w:ind w:firstLine="720"/>
        <w:jc w:val="both"/>
      </w:pPr>
      <w:r w:rsidRPr="00E835A3">
        <w:t xml:space="preserve">През 2024 г. българската икономика регистрира ръст на заетостта от 1.1%, </w:t>
      </w:r>
      <w:r w:rsidR="00B068FA">
        <w:t>което се дължи</w:t>
      </w:r>
      <w:r w:rsidRPr="00E835A3">
        <w:t xml:space="preserve"> най-вече </w:t>
      </w:r>
      <w:r w:rsidR="00B068FA">
        <w:t>на</w:t>
      </w:r>
      <w:r w:rsidRPr="00E835A3">
        <w:t xml:space="preserve"> увеличаването на броя на заетите в сферата на услугите и строителството. Прогнозата за следващите години е заетостта да продължи да нараства, макар и със забавени темпове. Коефициентът на безработица се очаква да претърпи минимални промени</w:t>
      </w:r>
      <w:r w:rsidR="00231D64">
        <w:t>,</w:t>
      </w:r>
      <w:r w:rsidRPr="00E835A3">
        <w:t xml:space="preserve"> </w:t>
      </w:r>
      <w:r w:rsidR="00231D64">
        <w:t>независимо от</w:t>
      </w:r>
      <w:r w:rsidR="00231D64" w:rsidRPr="00E835A3">
        <w:t xml:space="preserve"> </w:t>
      </w:r>
      <w:r w:rsidRPr="00E835A3">
        <w:t xml:space="preserve">прогнозираното нарастване на заетостта. </w:t>
      </w:r>
    </w:p>
    <w:p w14:paraId="5EDACFAB" w14:textId="77777777" w:rsidR="00E835A3" w:rsidRPr="00E835A3" w:rsidRDefault="00E835A3" w:rsidP="003457C3">
      <w:pPr>
        <w:spacing w:line="276" w:lineRule="auto"/>
        <w:ind w:firstLine="720"/>
        <w:jc w:val="both"/>
      </w:pPr>
      <w:r w:rsidRPr="00E835A3">
        <w:t>Номиналният ръст на компенсацията на един нает достигна 10.4% през 2024 г. и е по-нисък от прогнозирания. През 2025 г. темпът на растеж на показателя в номинално изражение е оценен на 8.7%, а през 2026 г. на 4.3%.</w:t>
      </w:r>
    </w:p>
    <w:p w14:paraId="0B5DAFE3" w14:textId="77777777" w:rsidR="00E835A3" w:rsidRPr="00E835A3" w:rsidRDefault="00E835A3" w:rsidP="00B44CC3">
      <w:pPr>
        <w:spacing w:line="276" w:lineRule="auto"/>
        <w:ind w:firstLine="720"/>
        <w:jc w:val="both"/>
      </w:pPr>
      <w:r w:rsidRPr="00E835A3">
        <w:t xml:space="preserve">Средногодишната инфлация през 2024 г. според </w:t>
      </w:r>
      <w:r w:rsidR="00940426">
        <w:t xml:space="preserve">Хармонизирания индекс на потребителските цени </w:t>
      </w:r>
      <w:r w:rsidR="005A62E4">
        <w:t>е</w:t>
      </w:r>
      <w:r w:rsidRPr="00E835A3">
        <w:t xml:space="preserve"> 2.6%. Очаква</w:t>
      </w:r>
      <w:r w:rsidR="005A62E4">
        <w:t xml:space="preserve"> се</w:t>
      </w:r>
      <w:r w:rsidRPr="00E835A3">
        <w:t xml:space="preserve"> ускорение на средногодишната инфлация през 2025 г. до 3.6%. Най-голям принос ще имат цените на услугите, сле</w:t>
      </w:r>
      <w:r w:rsidR="00B44CC3">
        <w:t xml:space="preserve">двани от храните. </w:t>
      </w:r>
    </w:p>
    <w:p w14:paraId="243145FF" w14:textId="77777777" w:rsidR="00E835A3" w:rsidRPr="002D558A" w:rsidRDefault="00AC5950" w:rsidP="002D558A">
      <w:pPr>
        <w:pStyle w:val="Heading2"/>
        <w:numPr>
          <w:ilvl w:val="0"/>
          <w:numId w:val="0"/>
        </w:numPr>
        <w:jc w:val="center"/>
        <w:rPr>
          <w:rFonts w:ascii="Times New Roman" w:hAnsi="Times New Roman"/>
          <w:color w:val="auto"/>
          <w:sz w:val="24"/>
          <w:szCs w:val="24"/>
        </w:rPr>
      </w:pPr>
      <w:bookmarkStart w:id="4" w:name="_Toc216436493"/>
      <w:r w:rsidRPr="002D558A">
        <w:rPr>
          <w:rFonts w:ascii="Times New Roman" w:hAnsi="Times New Roman"/>
          <w:color w:val="auto"/>
          <w:sz w:val="24"/>
          <w:szCs w:val="24"/>
        </w:rPr>
        <w:t>2.</w:t>
      </w:r>
      <w:r w:rsidR="00E835A3" w:rsidRPr="002D558A">
        <w:rPr>
          <w:rFonts w:ascii="Times New Roman" w:hAnsi="Times New Roman"/>
          <w:color w:val="auto"/>
          <w:sz w:val="24"/>
          <w:szCs w:val="24"/>
        </w:rPr>
        <w:t xml:space="preserve"> Тенденции </w:t>
      </w:r>
      <w:r w:rsidR="005A62E4" w:rsidRPr="002D558A">
        <w:rPr>
          <w:rFonts w:ascii="Times New Roman" w:hAnsi="Times New Roman"/>
          <w:color w:val="auto"/>
          <w:sz w:val="24"/>
          <w:szCs w:val="24"/>
        </w:rPr>
        <w:t>н</w:t>
      </w:r>
      <w:r w:rsidR="00E835A3" w:rsidRPr="002D558A">
        <w:rPr>
          <w:rFonts w:ascii="Times New Roman" w:hAnsi="Times New Roman"/>
          <w:color w:val="auto"/>
          <w:sz w:val="24"/>
          <w:szCs w:val="24"/>
        </w:rPr>
        <w:t>а заетостта</w:t>
      </w:r>
      <w:bookmarkEnd w:id="4"/>
    </w:p>
    <w:p w14:paraId="115719C3" w14:textId="77777777" w:rsidR="00E835A3" w:rsidRPr="00E835A3" w:rsidRDefault="00E835A3" w:rsidP="003457C3">
      <w:pPr>
        <w:spacing w:line="276" w:lineRule="auto"/>
        <w:ind w:firstLine="720"/>
        <w:jc w:val="both"/>
      </w:pPr>
      <w:r w:rsidRPr="00E835A3">
        <w:t xml:space="preserve">За 2025 г. ръстът на заетостта се очаква да бъде 0.6% и да се </w:t>
      </w:r>
      <w:r w:rsidR="00231D64">
        <w:t>намали</w:t>
      </w:r>
      <w:r w:rsidR="00231D64" w:rsidRPr="00E835A3">
        <w:t xml:space="preserve"> </w:t>
      </w:r>
      <w:r w:rsidRPr="00E835A3">
        <w:t>до 0.3% през 2026 г., а през 2027 и 2028 г. се очаква броят на заетите да се запази практически непроменен. Забавянето на годишния темп на растеж на заетостта се обуславя най-вече от неблагоприятните демографски процеси в страната и все по-трудното увеличаване на предлагането на труд единствено чрез ресурси на местния трудов пазар.</w:t>
      </w:r>
    </w:p>
    <w:p w14:paraId="55840450" w14:textId="77777777" w:rsidR="00E835A3" w:rsidRPr="00E835A3" w:rsidRDefault="00E835A3" w:rsidP="003457C3">
      <w:pPr>
        <w:spacing w:line="276" w:lineRule="auto"/>
        <w:ind w:firstLine="720"/>
        <w:jc w:val="both"/>
      </w:pPr>
      <w:r w:rsidRPr="00E835A3">
        <w:t>Микропредприятия с до 9 заети лица, които съставляват над 93% от всички фирми в страната, преобладават значително по своята численост. Делът на големите предприятия с над 250 заети e сравнително нисък (само 770 на национално ниво), което оказва своето влияние върху покритието на колективното договаряне.</w:t>
      </w:r>
    </w:p>
    <w:p w14:paraId="44A64CED" w14:textId="77777777" w:rsidR="00E835A3" w:rsidRPr="00E835A3" w:rsidRDefault="00E835A3" w:rsidP="003457C3">
      <w:pPr>
        <w:spacing w:line="276" w:lineRule="auto"/>
        <w:ind w:firstLine="720"/>
        <w:jc w:val="both"/>
      </w:pPr>
      <w:r w:rsidRPr="00E835A3">
        <w:t xml:space="preserve"> Най-голяма концентрация на предприятия се наблюдава в Югозападния район (179 636 предприятия), към кой</w:t>
      </w:r>
      <w:r w:rsidR="005A62E4">
        <w:t>то е включена и столицата София</w:t>
      </w:r>
      <w:r w:rsidRPr="00E835A3">
        <w:t>. На противоположния полюс е Северозападният район, който има най-</w:t>
      </w:r>
      <w:r w:rsidR="00231D64">
        <w:t>малко</w:t>
      </w:r>
      <w:r w:rsidRPr="00E835A3">
        <w:t xml:space="preserve"> предприятия и съответно по-слабо икономическо развитие. Наблюдава се съществен дисбаланс между Северна и Югоизточна България и Югозападна и Южна централна България, като втората група райони </w:t>
      </w:r>
      <w:r w:rsidR="00741261">
        <w:t xml:space="preserve"> обхваща </w:t>
      </w:r>
      <w:r w:rsidRPr="00E835A3">
        <w:t>близо 60% от предприятията в страната. Тези данни подчертават нуждата от насърчаване на растежа и подкрепа за разширяване на малките и средни предприятия, особено в по-слабо развитите региони.</w:t>
      </w:r>
    </w:p>
    <w:p w14:paraId="3AE1EE19" w14:textId="77777777" w:rsidR="00E835A3" w:rsidRDefault="00E835A3" w:rsidP="00E835A3">
      <w:pPr>
        <w:ind w:firstLine="720"/>
        <w:jc w:val="both"/>
      </w:pPr>
    </w:p>
    <w:p w14:paraId="0878124C" w14:textId="77777777" w:rsidR="00AB0F3D" w:rsidRPr="00E835A3" w:rsidRDefault="00AB0F3D" w:rsidP="00E835A3">
      <w:pPr>
        <w:ind w:firstLine="720"/>
        <w:jc w:val="both"/>
      </w:pPr>
    </w:p>
    <w:p w14:paraId="01629F97" w14:textId="77777777" w:rsidR="00E835A3" w:rsidRPr="002D558A" w:rsidRDefault="00E835A3" w:rsidP="002D558A">
      <w:pPr>
        <w:pStyle w:val="Heading2"/>
        <w:numPr>
          <w:ilvl w:val="0"/>
          <w:numId w:val="0"/>
        </w:numPr>
        <w:jc w:val="center"/>
        <w:rPr>
          <w:rFonts w:ascii="Times New Roman" w:hAnsi="Times New Roman"/>
          <w:color w:val="auto"/>
          <w:sz w:val="24"/>
          <w:szCs w:val="24"/>
        </w:rPr>
      </w:pPr>
      <w:bookmarkStart w:id="5" w:name="_Toc216436494"/>
      <w:r w:rsidRPr="002D558A">
        <w:rPr>
          <w:rFonts w:ascii="Times New Roman" w:hAnsi="Times New Roman"/>
          <w:color w:val="auto"/>
          <w:sz w:val="24"/>
          <w:szCs w:val="24"/>
        </w:rPr>
        <w:lastRenderedPageBreak/>
        <w:t>3. Колективно договаряне</w:t>
      </w:r>
      <w:r w:rsidR="00985876" w:rsidRPr="002D558A">
        <w:rPr>
          <w:rFonts w:ascii="Times New Roman" w:hAnsi="Times New Roman"/>
          <w:color w:val="auto"/>
          <w:sz w:val="24"/>
          <w:szCs w:val="24"/>
        </w:rPr>
        <w:t xml:space="preserve"> – </w:t>
      </w:r>
      <w:r w:rsidR="001975BF" w:rsidRPr="002D558A">
        <w:rPr>
          <w:rFonts w:ascii="Times New Roman" w:hAnsi="Times New Roman"/>
          <w:color w:val="auto"/>
          <w:sz w:val="24"/>
          <w:szCs w:val="24"/>
        </w:rPr>
        <w:t xml:space="preserve">развитие, </w:t>
      </w:r>
      <w:r w:rsidR="00985876" w:rsidRPr="002D558A">
        <w:rPr>
          <w:rFonts w:ascii="Times New Roman" w:hAnsi="Times New Roman"/>
          <w:color w:val="auto"/>
          <w:sz w:val="24"/>
          <w:szCs w:val="24"/>
        </w:rPr>
        <w:t>нормативна уредба и институционална рамка</w:t>
      </w:r>
      <w:bookmarkEnd w:id="5"/>
    </w:p>
    <w:p w14:paraId="3F911D40" w14:textId="77777777" w:rsidR="00E835A3" w:rsidRPr="002D558A" w:rsidRDefault="00E835A3" w:rsidP="002D558A">
      <w:pPr>
        <w:pStyle w:val="Heading3"/>
        <w:numPr>
          <w:ilvl w:val="0"/>
          <w:numId w:val="0"/>
        </w:numPr>
        <w:jc w:val="center"/>
        <w:rPr>
          <w:rFonts w:ascii="Times New Roman" w:hAnsi="Times New Roman"/>
          <w:sz w:val="24"/>
          <w:szCs w:val="24"/>
        </w:rPr>
      </w:pPr>
      <w:bookmarkStart w:id="6" w:name="_Toc216436495"/>
      <w:r w:rsidRPr="002D558A">
        <w:rPr>
          <w:rFonts w:ascii="Times New Roman" w:hAnsi="Times New Roman"/>
          <w:sz w:val="24"/>
          <w:szCs w:val="24"/>
        </w:rPr>
        <w:t>3.</w:t>
      </w:r>
      <w:r w:rsidR="006E6FE0" w:rsidRPr="002D558A">
        <w:rPr>
          <w:rFonts w:ascii="Times New Roman" w:hAnsi="Times New Roman"/>
          <w:sz w:val="24"/>
          <w:szCs w:val="24"/>
        </w:rPr>
        <w:t>1</w:t>
      </w:r>
      <w:r w:rsidRPr="002D558A">
        <w:rPr>
          <w:rFonts w:ascii="Times New Roman" w:hAnsi="Times New Roman"/>
          <w:sz w:val="24"/>
          <w:szCs w:val="24"/>
        </w:rPr>
        <w:t xml:space="preserve">. </w:t>
      </w:r>
      <w:r w:rsidR="00C264D5" w:rsidRPr="002D558A">
        <w:rPr>
          <w:rFonts w:ascii="Times New Roman" w:hAnsi="Times New Roman"/>
          <w:sz w:val="24"/>
          <w:szCs w:val="24"/>
        </w:rPr>
        <w:t>Защитата на правото на сдружаване</w:t>
      </w:r>
      <w:bookmarkEnd w:id="6"/>
    </w:p>
    <w:p w14:paraId="3D1BFF56" w14:textId="77777777" w:rsidR="00AC465B" w:rsidRDefault="00AC465B" w:rsidP="00AC465B">
      <w:pPr>
        <w:spacing w:line="276" w:lineRule="auto"/>
        <w:ind w:firstLine="720"/>
        <w:jc w:val="both"/>
      </w:pPr>
      <w:r>
        <w:t xml:space="preserve">Условие за наличието на колективно договаряне е защитата на правото на сдружаване. </w:t>
      </w:r>
      <w:r w:rsidRPr="00467DFB">
        <w:t>В чл. 49, ал. 1 и 2 от Конституцията на Република България</w:t>
      </w:r>
      <w:r w:rsidR="008B1376">
        <w:rPr>
          <w:lang w:val="en-US"/>
        </w:rPr>
        <w:t xml:space="preserve"> (</w:t>
      </w:r>
      <w:r w:rsidR="008B1376">
        <w:t>КРБ)</w:t>
      </w:r>
      <w:r w:rsidRPr="00467DFB">
        <w:t xml:space="preserve"> е установено, че работниците и служителите имат право да се сдружават в синдикални организации и съюзи за защита на своите интереси в областта на труда и социалното осигуряване. Работодателите имат право да се сдружават за защита на своите стопански интереси.</w:t>
      </w:r>
    </w:p>
    <w:p w14:paraId="761F5870" w14:textId="77777777" w:rsidR="003457C3" w:rsidRDefault="003457C3" w:rsidP="003457C3">
      <w:pPr>
        <w:spacing w:line="276" w:lineRule="auto"/>
        <w:ind w:firstLine="720"/>
        <w:jc w:val="both"/>
      </w:pPr>
      <w:r>
        <w:t>Правната уредба в</w:t>
      </w:r>
      <w:r w:rsidR="00C264D5">
        <w:t xml:space="preserve"> тази област в </w:t>
      </w:r>
      <w:r>
        <w:t xml:space="preserve">България е в съответствие с международните стандарти. България е </w:t>
      </w:r>
      <w:r w:rsidRPr="00E835A3">
        <w:t>ратифицира</w:t>
      </w:r>
      <w:r>
        <w:t>ла</w:t>
      </w:r>
      <w:r w:rsidRPr="00E835A3">
        <w:t xml:space="preserve"> </w:t>
      </w:r>
      <w:r>
        <w:t xml:space="preserve">фундаменталните конвенции на </w:t>
      </w:r>
      <w:r w:rsidRPr="00E835A3">
        <w:t>Международната организация на труда</w:t>
      </w:r>
      <w:r>
        <w:t xml:space="preserve">, вкл. </w:t>
      </w:r>
      <w:r w:rsidRPr="00E835A3">
        <w:t xml:space="preserve">Конвенция </w:t>
      </w:r>
      <w:r>
        <w:t xml:space="preserve">№ </w:t>
      </w:r>
      <w:r w:rsidRPr="00E835A3">
        <w:t xml:space="preserve">98 относно правото на организиране и колективно преговаряне от 1949 г. </w:t>
      </w:r>
      <w:r>
        <w:t xml:space="preserve">и Конвенция № 87 </w:t>
      </w:r>
      <w:r w:rsidRPr="003457C3">
        <w:t>за синдикалната свобода и закрилата на правото на синдикално организиране</w:t>
      </w:r>
      <w:r w:rsidR="00282E4E">
        <w:t xml:space="preserve"> от</w:t>
      </w:r>
      <w:r w:rsidRPr="003457C3">
        <w:t xml:space="preserve"> 1948 г.</w:t>
      </w:r>
      <w:r w:rsidR="00282E4E">
        <w:t xml:space="preserve"> Като държава членка на ЕС Р</w:t>
      </w:r>
      <w:r w:rsidR="00B8070C">
        <w:t>епублика</w:t>
      </w:r>
      <w:r w:rsidR="00A51F83">
        <w:t xml:space="preserve"> </w:t>
      </w:r>
      <w:r w:rsidR="00282E4E">
        <w:t xml:space="preserve">България спазва и принципите на </w:t>
      </w:r>
      <w:r w:rsidR="00282E4E" w:rsidRPr="00E835A3">
        <w:t>Европейската социална харта</w:t>
      </w:r>
      <w:r w:rsidR="001F3677">
        <w:t xml:space="preserve"> (ревизирана)</w:t>
      </w:r>
      <w:r w:rsidR="00282E4E">
        <w:t xml:space="preserve">, вкл. чл. 6 от нея, който </w:t>
      </w:r>
      <w:r w:rsidRPr="00E835A3">
        <w:t>урежда правото на колективно договаряне.</w:t>
      </w:r>
      <w:r w:rsidR="008B1376">
        <w:t xml:space="preserve"> </w:t>
      </w:r>
      <w:r w:rsidR="008B1376" w:rsidRPr="008B1376">
        <w:t>В чл. 116, ал. 2 от КРБ е предвидено условията, при които държавните служители могат да членуват в синдикални организации, да се определят със закон.</w:t>
      </w:r>
    </w:p>
    <w:p w14:paraId="2B90A47E" w14:textId="77777777" w:rsidR="00B8070C" w:rsidRDefault="00C70AB7" w:rsidP="00C70AB7">
      <w:pPr>
        <w:spacing w:line="276" w:lineRule="auto"/>
        <w:ind w:firstLine="720"/>
        <w:jc w:val="both"/>
      </w:pPr>
      <w:r>
        <w:t xml:space="preserve">В съответствие с </w:t>
      </w:r>
      <w:r w:rsidR="00467DFB">
        <w:t xml:space="preserve">конституционно признатото право и </w:t>
      </w:r>
      <w:r>
        <w:t xml:space="preserve">международните стандарти </w:t>
      </w:r>
      <w:r w:rsidR="00467DFB">
        <w:t>Кодексът на труда</w:t>
      </w:r>
      <w:r w:rsidR="00D87272">
        <w:t xml:space="preserve"> (КТ)</w:t>
      </w:r>
      <w:r>
        <w:t xml:space="preserve"> регламентира правото на сдружаване на работниците и служителите и на работодателите</w:t>
      </w:r>
      <w:r w:rsidR="00A51F83">
        <w:t xml:space="preserve"> в България</w:t>
      </w:r>
      <w:r>
        <w:t>. Те имат право</w:t>
      </w:r>
      <w:r w:rsidRPr="00C70AB7">
        <w:t>, без предварително разрешение, свободно да образуват по свой избор синдикални организации</w:t>
      </w:r>
      <w:r>
        <w:t xml:space="preserve"> и организации на работодателите, както и </w:t>
      </w:r>
      <w:r w:rsidRPr="00C70AB7">
        <w:t>доброволно да встъпват и да излизат от тях</w:t>
      </w:r>
      <w:r>
        <w:t xml:space="preserve">. </w:t>
      </w:r>
    </w:p>
    <w:p w14:paraId="67034D83" w14:textId="77777777" w:rsidR="00C70AB7" w:rsidRDefault="00467DFB" w:rsidP="00C70AB7">
      <w:pPr>
        <w:spacing w:line="276" w:lineRule="auto"/>
        <w:ind w:firstLine="720"/>
        <w:jc w:val="both"/>
      </w:pPr>
      <w:r>
        <w:t xml:space="preserve">В чл. 33, ал. 1 от КТ е установено правото на синдикалните организации и организациите на работодателите в рамките на закона сами да изработват и приемат свои устави и правила за работа, свободно да избират свои органи и представители, да организират своето управление, както и да приемат програми за дейността си. </w:t>
      </w:r>
      <w:r w:rsidR="00C70AB7">
        <w:t xml:space="preserve">С оглед особения статус на тези организации в чл. 49 от </w:t>
      </w:r>
      <w:r w:rsidR="00D87272">
        <w:t>КТ</w:t>
      </w:r>
      <w:r w:rsidR="00C70AB7">
        <w:t xml:space="preserve"> е регламентирана специална процедура за придобиване от тях на качество на юридическо лице.</w:t>
      </w:r>
    </w:p>
    <w:p w14:paraId="04C18F55" w14:textId="77777777" w:rsidR="00C70AB7" w:rsidRDefault="00C70AB7" w:rsidP="00C70AB7">
      <w:pPr>
        <w:spacing w:line="276" w:lineRule="auto"/>
        <w:ind w:firstLine="720"/>
        <w:jc w:val="both"/>
      </w:pPr>
      <w:r w:rsidRPr="00C70AB7">
        <w:t>С</w:t>
      </w:r>
      <w:r>
        <w:t xml:space="preserve"> цел да се </w:t>
      </w:r>
      <w:r w:rsidR="001F3677">
        <w:t>гарантира</w:t>
      </w:r>
      <w:r w:rsidR="005E2FEA">
        <w:t>/улесни</w:t>
      </w:r>
      <w:r w:rsidR="001F3677">
        <w:t xml:space="preserve"> </w:t>
      </w:r>
      <w:r>
        <w:t xml:space="preserve">извършването на основната дейност </w:t>
      </w:r>
      <w:r w:rsidR="005E2FEA" w:rsidRPr="005E2FEA">
        <w:t xml:space="preserve">на синдикалните организации </w:t>
      </w:r>
      <w:r>
        <w:t xml:space="preserve">по </w:t>
      </w:r>
      <w:r w:rsidRPr="00C70AB7">
        <w:t>представи</w:t>
      </w:r>
      <w:r>
        <w:t>телство и</w:t>
      </w:r>
      <w:r w:rsidRPr="00C70AB7">
        <w:t xml:space="preserve"> защита</w:t>
      </w:r>
      <w:r>
        <w:t xml:space="preserve"> на</w:t>
      </w:r>
      <w:r w:rsidRPr="00C70AB7">
        <w:t xml:space="preserve"> интересите на работниците и служителите</w:t>
      </w:r>
      <w:r>
        <w:t xml:space="preserve"> с </w:t>
      </w:r>
      <w:r w:rsidRPr="00C70AB7">
        <w:t xml:space="preserve">разпоредбата на чл. 46 от </w:t>
      </w:r>
      <w:r>
        <w:t>КТ</w:t>
      </w:r>
      <w:r w:rsidRPr="00C70AB7">
        <w:t xml:space="preserve"> законодателят по императивен начин </w:t>
      </w:r>
      <w:r>
        <w:t xml:space="preserve">е </w:t>
      </w:r>
      <w:r w:rsidRPr="00C70AB7">
        <w:t>задълж</w:t>
      </w:r>
      <w:r>
        <w:t>ил</w:t>
      </w:r>
      <w:r w:rsidRPr="00C70AB7">
        <w:t xml:space="preserve"> държавните органи и работодателите да създават необходимите условия и да </w:t>
      </w:r>
      <w:r>
        <w:t xml:space="preserve">им </w:t>
      </w:r>
      <w:r w:rsidRPr="00C70AB7">
        <w:t>съдействат за осъществяване на техните присъщи функции и задачи, вкл. чрез колективно договаряне.</w:t>
      </w:r>
    </w:p>
    <w:p w14:paraId="10A46335" w14:textId="77777777" w:rsidR="008B1376" w:rsidRDefault="008B1376" w:rsidP="008B1376">
      <w:pPr>
        <w:spacing w:line="276" w:lineRule="auto"/>
        <w:ind w:firstLine="720"/>
        <w:jc w:val="both"/>
      </w:pPr>
      <w:r>
        <w:t xml:space="preserve">В чл. 44, ал. 1 от </w:t>
      </w:r>
      <w:r w:rsidR="00A63B55">
        <w:t>Закона за държавния служител (</w:t>
      </w:r>
      <w:r>
        <w:t>ЗДСл</w:t>
      </w:r>
      <w:r w:rsidR="00A63B55">
        <w:t>)</w:t>
      </w:r>
      <w:r>
        <w:t xml:space="preserve"> е установено правото на държавните служители свободно да образуват  синдикални организации, да встъпват и да прекратяват членството си в тях, като се съобразяват само с техните устави. Съгласно ал. 2 на същия член синдикалните организации на държавните служители имат право да приемат свои устави и правила за работа, както и да избират свои органи и представители. </w:t>
      </w:r>
    </w:p>
    <w:p w14:paraId="0D7EABFE" w14:textId="77777777" w:rsidR="008B1376" w:rsidRDefault="008B1376" w:rsidP="008B1376">
      <w:pPr>
        <w:spacing w:line="276" w:lineRule="auto"/>
        <w:ind w:firstLine="720"/>
        <w:jc w:val="both"/>
      </w:pPr>
      <w:r>
        <w:t xml:space="preserve">За да се реализира успешно синдикалната защита на държавните служители, в чл. 45, ал. 1 от ЗДСл изрично е въведено изискването синдикалните организации на държавните служители да придобият качеството на юридическо лице след вписването им по реда за сдруженията с нестопанска цел, предвиден в Закона за юридическите лица с нестопанска цел (ЗЮЛНЦ). При прекратяване на такава синдикална организация, имуществените отношения между нейните членове се уреждат съобразно предвиденото в техните устави, на основание чл. 45, ал. 2 от ЗДСл. </w:t>
      </w:r>
    </w:p>
    <w:p w14:paraId="4F98EA8B" w14:textId="77777777" w:rsidR="008B1376" w:rsidRDefault="008B1376" w:rsidP="008B1376">
      <w:pPr>
        <w:spacing w:line="276" w:lineRule="auto"/>
        <w:ind w:firstLine="720"/>
        <w:jc w:val="both"/>
      </w:pPr>
      <w:r>
        <w:lastRenderedPageBreak/>
        <w:t>За останалите синдикални организации е приложима уредбата в отделен закон, където има такава – за работниците и служителите по КТ и за държавни служители съгласно специални закони като Закона за Министерството на вътрешните работи (ЗМВР), а където няма и до влизането в сила на такава уредба се прилага ЗЮЛНЦ (§ 2, ал. 1 и ал. 2 от Преходните и заключителните разпоредби на ЗЮЛНЦ). За някои специфични категории държавни служители, например свързани с отбраната и националната сигурност, осъществяването на синдикална дейност е забранено (чл. 184 от Закона за отбраната и въоръжените сили на Република България и чл. 45, ал. 3 от Закона за Държавна агенция „Национална сигурност“).</w:t>
      </w:r>
    </w:p>
    <w:p w14:paraId="386AA3F9" w14:textId="77777777" w:rsidR="008B1376" w:rsidRDefault="008B1376" w:rsidP="008B1376">
      <w:pPr>
        <w:spacing w:line="276" w:lineRule="auto"/>
        <w:ind w:firstLine="720"/>
        <w:jc w:val="both"/>
      </w:pPr>
      <w:r>
        <w:t>Общото задължение на държавните органи да съдействат на синдикалните организации на държавните служители, като им предоставят безвъзмездно помещения и други материални условия за изпълнение на техните функции, е скрепено в чл. 46 от ЗДСл.</w:t>
      </w:r>
    </w:p>
    <w:p w14:paraId="6E215A40" w14:textId="77777777" w:rsidR="00C70AB7" w:rsidRDefault="00C70AB7" w:rsidP="00C70AB7">
      <w:pPr>
        <w:spacing w:line="276" w:lineRule="auto"/>
        <w:ind w:firstLine="720"/>
        <w:jc w:val="both"/>
      </w:pPr>
      <w:r>
        <w:t>Законодателството съдържа и множество закрилни механизми за синдикалните предс</w:t>
      </w:r>
      <w:r w:rsidR="00467DFB">
        <w:t xml:space="preserve">тавители и синдикалните членове. Така например в чл. 8, ал. 3 от КТ е установена императивна </w:t>
      </w:r>
      <w:r>
        <w:t>забрана за пряка и непряка дискриминация</w:t>
      </w:r>
      <w:r w:rsidR="00467DFB">
        <w:t xml:space="preserve"> по признак синдикално членство. Предвидено е правото на ползване на платен отпуск </w:t>
      </w:r>
      <w:r w:rsidR="00467DFB" w:rsidRPr="00467DFB">
        <w:t>на синдикални дейци</w:t>
      </w:r>
      <w:r w:rsidR="00467DFB">
        <w:t xml:space="preserve"> (чл. 159 от КТ). Регламентирано е</w:t>
      </w:r>
      <w:r>
        <w:t xml:space="preserve"> изискването за предварително разрешение за уволнение на </w:t>
      </w:r>
      <w:r w:rsidR="00467DFB" w:rsidRPr="00467DFB">
        <w:t>член на синдикално ръководство в предприятието, на териториален, отраслов или национален ръководен изборен синдикален орган, през времето, докато заема съответната синдикална длъжност и до 6 месеца след освобождаването му</w:t>
      </w:r>
      <w:r w:rsidR="00467DFB">
        <w:t xml:space="preserve"> (чл. 333, ал. 3 от КТ). </w:t>
      </w:r>
    </w:p>
    <w:p w14:paraId="10903E71" w14:textId="77777777" w:rsidR="00D87272" w:rsidRDefault="00D87272" w:rsidP="00C70AB7">
      <w:pPr>
        <w:spacing w:line="276" w:lineRule="auto"/>
        <w:ind w:firstLine="720"/>
        <w:jc w:val="both"/>
      </w:pPr>
      <w:r>
        <w:t xml:space="preserve">През 2023 г. </w:t>
      </w:r>
      <w:r w:rsidR="00AC465B">
        <w:t>с</w:t>
      </w:r>
      <w:r>
        <w:t xml:space="preserve"> промени в Наказателния кодекс </w:t>
      </w:r>
      <w:r w:rsidR="009337E8">
        <w:t xml:space="preserve">създаването на </w:t>
      </w:r>
      <w:r>
        <w:t>пречка за осъществяване на правото на синдикално сдружаване или на произтичащите от него права</w:t>
      </w:r>
      <w:r w:rsidR="009337E8" w:rsidRPr="009337E8">
        <w:t xml:space="preserve"> е установено като престъпен състав</w:t>
      </w:r>
      <w:r>
        <w:t xml:space="preserve">. </w:t>
      </w:r>
    </w:p>
    <w:p w14:paraId="08B82BD4" w14:textId="77777777" w:rsidR="002135D8" w:rsidRPr="002D558A" w:rsidRDefault="008B1376" w:rsidP="002D558A">
      <w:pPr>
        <w:spacing w:line="276" w:lineRule="auto"/>
        <w:ind w:firstLine="720"/>
        <w:jc w:val="both"/>
      </w:pPr>
      <w:r w:rsidRPr="008B1376">
        <w:t xml:space="preserve">В законодателството за държавната служба също са предвидени механизми относно синдикалните представители и синдикалните членове. При  заемане на държавна служба не се допускат дискриминация, привилегии или ограничения, основани на членуване в синдикални организации (чл. 7, ал. 6 от ЗДСл). В чл. 63а от ЗДСл е уреден платен отпуск за осъществяване на синдикална дейност, като нещатните членове на централни и отраслови ръководства на синдикалните организации по чл. 45 от ЗДСл, както и нещатните председатели на синдикалните ръководства в съответната администрация могат да ползват такъв в размер 25 работни часа за една календарна година. Предвидена е възможност в конкурсните комисии да участват и представители на синдикалните организации на държавните служители от съответната администрация (чл. 10б, ал. 2, изр. второ от ЗДСл). В Наредбата за условията и реда за оценяване изпълнението на служителите в държавната администрация (НУРОИСДА) е регламентирано участието на синдикалната организация на работниците и служителите в съответната администрация в процеса на оценяване. Оценяването се извършва под наблюдението и контрола на контролиращ ръководител и на синдикалната организация (чл. 3, ал. 2 от НУРОИСДА). Упълномощено лице от синдикалната организация има право да преглежда формуляра за оценка на служител, ако той е негов член и е подал писмено искане за становище от синдикалната организация (чл. 21, ал. 3 от НУРОИСДА). При подаването на възражение срещу поставената годишна оценка служителят може да изпрати копие до синдикалната организация в административната структура, в която членува (чл. 23, ал. 2 от НУРОИСДА), като тя може да даде становище (чл. 24, ал. 1 от НУРОИСДА). Освен това, синдикалните организации са оправомощени в чл. 128, ал. 1 от ЗДСл да подават сигнали до </w:t>
      </w:r>
      <w:r w:rsidR="00A63B55">
        <w:t>Изпълнителна агенция „Главна инспекция по труда“ (</w:t>
      </w:r>
      <w:r w:rsidRPr="008B1376">
        <w:t>ИА „ГИТ“</w:t>
      </w:r>
      <w:r w:rsidR="00A63B55">
        <w:t>)</w:t>
      </w:r>
      <w:r w:rsidRPr="008B1376">
        <w:t xml:space="preserve"> за извършване на внезапни проверки за </w:t>
      </w:r>
      <w:r w:rsidRPr="008B1376">
        <w:lastRenderedPageBreak/>
        <w:t>спазването на законодателството, свързано с изпълнението на държавната служба, и на правата и задълженията на страните по служебното правоотношение.</w:t>
      </w:r>
    </w:p>
    <w:p w14:paraId="1C760F07" w14:textId="77777777" w:rsidR="00C264D5" w:rsidRPr="002D558A" w:rsidRDefault="00C264D5" w:rsidP="002D558A">
      <w:pPr>
        <w:pStyle w:val="Heading3"/>
        <w:numPr>
          <w:ilvl w:val="0"/>
          <w:numId w:val="0"/>
        </w:numPr>
        <w:jc w:val="center"/>
        <w:rPr>
          <w:rFonts w:ascii="Times New Roman" w:hAnsi="Times New Roman"/>
          <w:sz w:val="24"/>
          <w:szCs w:val="24"/>
        </w:rPr>
      </w:pPr>
      <w:bookmarkStart w:id="7" w:name="_Toc216436496"/>
      <w:r w:rsidRPr="002D558A">
        <w:rPr>
          <w:rFonts w:ascii="Times New Roman" w:hAnsi="Times New Roman"/>
          <w:sz w:val="24"/>
          <w:szCs w:val="24"/>
        </w:rPr>
        <w:t xml:space="preserve">3.2. </w:t>
      </w:r>
      <w:r w:rsidR="00985876" w:rsidRPr="002D558A">
        <w:rPr>
          <w:rFonts w:ascii="Times New Roman" w:hAnsi="Times New Roman"/>
          <w:sz w:val="24"/>
          <w:szCs w:val="24"/>
        </w:rPr>
        <w:t>Развитие на н</w:t>
      </w:r>
      <w:r w:rsidRPr="002D558A">
        <w:rPr>
          <w:rFonts w:ascii="Times New Roman" w:hAnsi="Times New Roman"/>
          <w:sz w:val="24"/>
          <w:szCs w:val="24"/>
        </w:rPr>
        <w:t>ормативна</w:t>
      </w:r>
      <w:r w:rsidR="00020B04" w:rsidRPr="002D558A">
        <w:rPr>
          <w:rFonts w:ascii="Times New Roman" w:hAnsi="Times New Roman"/>
          <w:sz w:val="24"/>
          <w:szCs w:val="24"/>
        </w:rPr>
        <w:t>та</w:t>
      </w:r>
      <w:r w:rsidRPr="002D558A">
        <w:rPr>
          <w:rFonts w:ascii="Times New Roman" w:hAnsi="Times New Roman"/>
          <w:sz w:val="24"/>
          <w:szCs w:val="24"/>
        </w:rPr>
        <w:t xml:space="preserve"> уредба на колективното договаряне</w:t>
      </w:r>
      <w:bookmarkEnd w:id="7"/>
    </w:p>
    <w:p w14:paraId="782B3D0E" w14:textId="77777777" w:rsidR="00C264D5" w:rsidRPr="00E779F7" w:rsidRDefault="00C264D5" w:rsidP="00C264D5">
      <w:pPr>
        <w:spacing w:line="276" w:lineRule="auto"/>
        <w:ind w:firstLine="720"/>
        <w:jc w:val="both"/>
      </w:pPr>
      <w:r>
        <w:t xml:space="preserve">В </w:t>
      </w:r>
      <w:r w:rsidRPr="00E779F7">
        <w:t xml:space="preserve">националното законодателство уредбата относно колективното договаряне се съдържа в различни нормативни актове. </w:t>
      </w:r>
      <w:r w:rsidR="00B410E9" w:rsidRPr="00E779F7">
        <w:t>За</w:t>
      </w:r>
      <w:r w:rsidRPr="00E779F7">
        <w:t xml:space="preserve"> работещите по трудово правоотношение, които са преобладаващата част от заетите в страната, въпросите относно колективното договаряне са регламентирани в КТ. Колективното договаряне за лицата, работещи </w:t>
      </w:r>
      <w:r w:rsidR="008B1376" w:rsidRPr="00E779F7">
        <w:t>по</w:t>
      </w:r>
      <w:r w:rsidRPr="00E779F7">
        <w:t xml:space="preserve"> служебно правоотношение (държавните служители) се извършва </w:t>
      </w:r>
      <w:r w:rsidR="008B1376" w:rsidRPr="00E779F7">
        <w:t xml:space="preserve">съобразно разпоредбите на </w:t>
      </w:r>
      <w:r w:rsidRPr="00E779F7">
        <w:t>ЗДСл.</w:t>
      </w:r>
    </w:p>
    <w:p w14:paraId="2DD24729" w14:textId="77777777" w:rsidR="002135D8" w:rsidRPr="00E779F7" w:rsidRDefault="00E779F7" w:rsidP="002135D8">
      <w:pPr>
        <w:spacing w:line="276" w:lineRule="auto"/>
        <w:ind w:firstLine="720"/>
        <w:jc w:val="both"/>
      </w:pPr>
      <w:r w:rsidRPr="00E779F7">
        <w:t>К</w:t>
      </w:r>
      <w:r w:rsidR="002135D8" w:rsidRPr="00E779F7">
        <w:t xml:space="preserve">олективното трудово договаряне за работниците и служителите в България </w:t>
      </w:r>
      <w:r w:rsidRPr="00E779F7">
        <w:t>има дългогодишни традиции и натрупана практика</w:t>
      </w:r>
      <w:r w:rsidR="002135D8" w:rsidRPr="00E779F7">
        <w:t xml:space="preserve">. </w:t>
      </w:r>
      <w:r>
        <w:t>С</w:t>
      </w:r>
      <w:r w:rsidR="00AC465B" w:rsidRPr="00E779F7">
        <w:t>ъщинско</w:t>
      </w:r>
      <w:r>
        <w:t>то</w:t>
      </w:r>
      <w:r w:rsidR="002135D8" w:rsidRPr="00E779F7">
        <w:t xml:space="preserve"> колективно трудово договаряне </w:t>
      </w:r>
      <w:r>
        <w:t xml:space="preserve">в съвременните социално-икономически условия започва </w:t>
      </w:r>
      <w:r w:rsidR="002135D8" w:rsidRPr="00E779F7">
        <w:t>през 1991 г. в изпълнение на Постановление № 129 на Министерския съвет от м. юли 1991 г. във връзка с договарянето на работната заплата.</w:t>
      </w:r>
    </w:p>
    <w:p w14:paraId="7700BA25" w14:textId="77777777" w:rsidR="002135D8" w:rsidRDefault="002135D8" w:rsidP="002135D8">
      <w:pPr>
        <w:spacing w:line="276" w:lineRule="auto"/>
        <w:ind w:firstLine="720"/>
        <w:jc w:val="both"/>
      </w:pPr>
      <w:r w:rsidRPr="00E779F7">
        <w:t>С изменението и допълнението на Кодекса на труда от 1992 г. се създават необходимите правни гаранции за превръщането на колективното договаряне в основен механизъм за регулиране на трудовите</w:t>
      </w:r>
      <w:r>
        <w:t xml:space="preserve"> отношения. С тези промени за пръв път колективните трудови договори стават източник на норми за регулиране на индустриалните отношения. Създават се възможности за развитие на договорното начало за сметка на намаляване на императивните разпоредби. Преминава се към модел на правно регулиране на трудовите отношения, при който законът съдържа минимални</w:t>
      </w:r>
      <w:r w:rsidR="00B410E9">
        <w:t xml:space="preserve"> стандарти </w:t>
      </w:r>
      <w:r>
        <w:t>за закрила на труда, а определянето на по-благоприятни условия става чрез механизма на</w:t>
      </w:r>
      <w:r w:rsidR="00AC465B">
        <w:t xml:space="preserve"> колективното</w:t>
      </w:r>
      <w:r>
        <w:t xml:space="preserve"> договаряне.</w:t>
      </w:r>
    </w:p>
    <w:p w14:paraId="71F21DDE" w14:textId="77777777" w:rsidR="002135D8" w:rsidRDefault="002135D8" w:rsidP="002135D8">
      <w:pPr>
        <w:spacing w:line="276" w:lineRule="auto"/>
        <w:ind w:firstLine="720"/>
        <w:jc w:val="both"/>
      </w:pPr>
      <w:r>
        <w:t>В периода от</w:t>
      </w:r>
      <w:r w:rsidRPr="005E66AF">
        <w:t xml:space="preserve"> 1992 до 200</w:t>
      </w:r>
      <w:r>
        <w:t>0</w:t>
      </w:r>
      <w:r w:rsidRPr="005E66AF">
        <w:t xml:space="preserve"> г. са направени няколко изменения в </w:t>
      </w:r>
      <w:r>
        <w:t>Кодекса на труда</w:t>
      </w:r>
      <w:r w:rsidRPr="005E66AF">
        <w:t>, свързани с колективното трудово договаряне, с цел осигуряване на нормативна база, създаваща оптимални условия за ефективното му прилагане</w:t>
      </w:r>
      <w:r>
        <w:t xml:space="preserve"> в съществуващите към този момент социално-икономически условия</w:t>
      </w:r>
      <w:r w:rsidRPr="005E66AF">
        <w:t>.</w:t>
      </w:r>
    </w:p>
    <w:p w14:paraId="7070B45F" w14:textId="77777777" w:rsidR="002135D8" w:rsidRDefault="002135D8" w:rsidP="002135D8">
      <w:pPr>
        <w:spacing w:line="276" w:lineRule="auto"/>
        <w:ind w:firstLine="720"/>
        <w:jc w:val="both"/>
      </w:pPr>
      <w:r>
        <w:t>Последващата значима реформа в област</w:t>
      </w:r>
      <w:r w:rsidR="00AC465B">
        <w:t>та</w:t>
      </w:r>
      <w:r w:rsidR="006B6454">
        <w:t xml:space="preserve"> на колективното договаряне за работещите по трудово правоотношение</w:t>
      </w:r>
      <w:r>
        <w:t xml:space="preserve"> е направена с промените на КТ от 2001 г. </w:t>
      </w:r>
      <w:r w:rsidR="00AC465B">
        <w:t>Те са</w:t>
      </w:r>
      <w:r>
        <w:t xml:space="preserve"> свързани с ясно определяне на нивата на договаряне, вкл. възможността за сключване на колективни договори на ниво предприятие, бранш и отрасъл. Регламентирана е процедурата за разпростиране на прилагането на колективния договор или на негови клаузи във всички предприятия от отрасъла или бранша, което е нов механизъм за разширяване на обхвата на колективното договаряне, доказал се в много други държави в Европа. Направени са съществени изменения по отношение срока на действие на сключен колективен трудов договор и е предвиден срок за започване на  преговори за нов колективен трудов договор преди изтичането на действащия. Регламентирано е действието на сключените колективни договори спрямо работещите, както и възможност за присъединяване на работници и служители, които не са синдикални членове, към сключения договор в предприятието.</w:t>
      </w:r>
    </w:p>
    <w:p w14:paraId="2EC4A1EA" w14:textId="77777777" w:rsidR="000307D1" w:rsidRPr="00882E92" w:rsidRDefault="000307D1" w:rsidP="002135D8">
      <w:pPr>
        <w:spacing w:line="276" w:lineRule="auto"/>
        <w:ind w:firstLine="720"/>
        <w:jc w:val="both"/>
      </w:pPr>
      <w:r w:rsidRPr="00CE1A12">
        <w:t>С измененията на Кодекса на труда от 2008 г. се поставя на</w:t>
      </w:r>
      <w:r w:rsidRPr="00E906B8">
        <w:t>чалото на изграждането на информационна система за колективните трудови договори в Националния институт за помирение и арбитраж (НИПА) на основата на регистъра, поддържан от ИА „</w:t>
      </w:r>
      <w:r w:rsidRPr="00882E92">
        <w:t>ГИТ“.</w:t>
      </w:r>
    </w:p>
    <w:p w14:paraId="48845C28" w14:textId="77777777" w:rsidR="002135D8" w:rsidRDefault="002135D8" w:rsidP="002135D8">
      <w:pPr>
        <w:spacing w:line="276" w:lineRule="auto"/>
        <w:ind w:firstLine="720"/>
        <w:jc w:val="both"/>
      </w:pPr>
      <w:r>
        <w:t>С измененията на Кодекса на труда от 2020 г. са приети последните към момента промени в областта на колективното трудово договаряне. Те имат за цел да възобновят интереса към него, съответно да повишат и да насърчат създаването и членуването в синдикални и работодателски организации.</w:t>
      </w:r>
      <w:r w:rsidR="004E6FF7">
        <w:t xml:space="preserve"> Изрично е регламентирано задължението на </w:t>
      </w:r>
      <w:r w:rsidR="004E6FF7">
        <w:lastRenderedPageBreak/>
        <w:t>п</w:t>
      </w:r>
      <w:r w:rsidR="004E6FF7" w:rsidRPr="004E6FF7">
        <w:t xml:space="preserve">редставителните организации на работниците и служителите и на работодателите на национално равнище </w:t>
      </w:r>
      <w:r w:rsidR="004E6FF7">
        <w:t xml:space="preserve">да </w:t>
      </w:r>
      <w:r w:rsidR="004E6FF7" w:rsidRPr="004E6FF7">
        <w:t>полагат усилия за развитие на социалния диалог и сътрудничеството, които да допринасят за утвърждаване на колективното трудово договаряне</w:t>
      </w:r>
      <w:r w:rsidR="004E6FF7">
        <w:t xml:space="preserve">. </w:t>
      </w:r>
      <w:r>
        <w:t xml:space="preserve"> </w:t>
      </w:r>
      <w:r w:rsidR="00AC465B">
        <w:t>Урежда се възможността</w:t>
      </w:r>
      <w:r>
        <w:t xml:space="preserve"> за включването на клауза в колективния трудов договор относно присъединителна вноска на работници и служители, които не са членове на синдикалната организ</w:t>
      </w:r>
      <w:r w:rsidR="00AC465B">
        <w:t>ация, страна по него</w:t>
      </w:r>
      <w:r>
        <w:t>. Усъвършенствани са изискванията, свързани с разпростиране на сключените отраслови или браншови колективни трудови договори, като е приета ясна и прозрачна процедура, която има за цел да гарантира п</w:t>
      </w:r>
      <w:r w:rsidR="00AC465B">
        <w:t>равата на заинтересованите лица</w:t>
      </w:r>
      <w:r>
        <w:t>.</w:t>
      </w:r>
    </w:p>
    <w:p w14:paraId="18D055AE" w14:textId="77777777" w:rsidR="006B6454" w:rsidRPr="0030527C" w:rsidRDefault="006B6454" w:rsidP="002135D8">
      <w:pPr>
        <w:spacing w:line="276" w:lineRule="auto"/>
        <w:ind w:firstLine="720"/>
        <w:jc w:val="both"/>
      </w:pPr>
      <w:r w:rsidRPr="006B6454">
        <w:t xml:space="preserve">През 1999 г. е приет ЗДСл, като с </w:t>
      </w:r>
      <w:r w:rsidRPr="0030527C">
        <w:t>него се регламентират особеностите на правоотношението, свързано с полагане на труд от държавните служители</w:t>
      </w:r>
      <w:r w:rsidR="00843FAD" w:rsidRPr="0030527C">
        <w:t xml:space="preserve"> при и по повод изпълнението на държавната служба</w:t>
      </w:r>
      <w:r w:rsidRPr="0030527C">
        <w:t xml:space="preserve">. След приемането на ЗДСл колективното договаряне по отношение на държавните служители се регламентира от този нормативен акт, </w:t>
      </w:r>
      <w:r w:rsidR="00843FAD" w:rsidRPr="0030527C">
        <w:t xml:space="preserve">както и от други специални закони уреждащи държавната служба в определени области, като ЗМВР и др., </w:t>
      </w:r>
      <w:r w:rsidRPr="0030527C">
        <w:t xml:space="preserve">като </w:t>
      </w:r>
      <w:r w:rsidR="00257173" w:rsidRPr="0030527C">
        <w:t xml:space="preserve">не е </w:t>
      </w:r>
      <w:r w:rsidRPr="0030527C">
        <w:t>предвидена възможност за субсидиарно прилагане на КТ.</w:t>
      </w:r>
    </w:p>
    <w:p w14:paraId="0B73C450" w14:textId="77777777" w:rsidR="00843FAD" w:rsidRPr="0030527C" w:rsidRDefault="00843FAD" w:rsidP="00843FAD">
      <w:pPr>
        <w:spacing w:line="276" w:lineRule="auto"/>
        <w:ind w:firstLine="720"/>
        <w:jc w:val="both"/>
      </w:pPr>
      <w:r w:rsidRPr="0030527C">
        <w:t>Законодателят  ясно е разграничил служебните от трудовите правоотношения съответно в ЗДСл и в КТ. Разликата между тях е съществена, като се регулират от различни клонове на правото – съответно публичното и частното право, макар че служебното правоотношение се характеризира с елементи, присъщи и на трудовото правоотношение, като заплата, работно време, отпуски, почивки, обезщетения и др.</w:t>
      </w:r>
    </w:p>
    <w:p w14:paraId="733EEB34" w14:textId="77777777" w:rsidR="00843FAD" w:rsidRPr="0030527C" w:rsidRDefault="00843FAD" w:rsidP="00843FAD">
      <w:pPr>
        <w:spacing w:line="276" w:lineRule="auto"/>
        <w:ind w:firstLine="720"/>
        <w:jc w:val="both"/>
      </w:pPr>
      <w:r w:rsidRPr="0030527C">
        <w:t xml:space="preserve">Трудовото правоотношение в общия случай възниква между равнопоставени страни по силата на трудов договор, избор или конкурс, като няма законоустановени изисквания за подбор на кандидатите. Дори когато трудовото правоотношение възниква от избор или конкурс, преди постъпването на работа двете страни договарят размера на трудовото възнаграждение и други условия по трудовото правоотношение (чл. 107 от КТ). В трудовото право няма нормативно установен максимален размер на трудовото възнаграждение, с което двете страни да са задължени да се съобразяват. Предвид договорния елемент, работниците и служителите по трудово правоотношение чрез механизма на КТД могат колективно да договорят с работодателите права над минимално установените в КТ и подзаконовата уредба към него – на ниво предприятие, бранш, отрасъл и община. </w:t>
      </w:r>
    </w:p>
    <w:p w14:paraId="4FD2284B" w14:textId="77777777" w:rsidR="00843FAD" w:rsidRPr="0030527C" w:rsidRDefault="00843FAD" w:rsidP="00843FAD">
      <w:pPr>
        <w:spacing w:line="276" w:lineRule="auto"/>
        <w:ind w:firstLine="720"/>
        <w:jc w:val="both"/>
      </w:pPr>
      <w:r w:rsidRPr="0030527C">
        <w:t xml:space="preserve">Държавните  служители имат специален публично-правен статут и техните права и задължения са едностранно определени съгласно ЗДСл и др. закони, уреждащи специални категории държавни служители. Служебното правоотношение възниква между държавата и държавния служител, въз основа на административен акт след задължителен конкурс, при и по повод изпълнението на държавната служба и за подпомагане осъществяването на правомощията на орган на държавна власт (по арг. от чл. 2, ал. 1 от ЗДСл). При държавната служба подборът се осъществява на две нива – на основата на нормативно предвидените условия и пречки за заемане на държавна служба (несъвместимост) и чрез конкурсна процедура, предхождаща назначаването. Изпълнението на държавната служба е свързана и с редица ограничения, характерни за нея – ограничение на правото на стачка, непрекъсваемост на дейността, специфика на работното време, включително в контекста на защитата на националната сигурност, изисквания към поведението и др. Основно ограничение, съгласно Наредбата за заплатите на служителите в държавната администрация (НЗСДА), което има пряко отношение към възможностите за колективно договаряне, съставляват нормативно установените минимални и максимални размери на основните месечни заплати по нива и степени, за съответните длъжностни нива от </w:t>
      </w:r>
      <w:r w:rsidRPr="0030527C">
        <w:lastRenderedPageBreak/>
        <w:t>Класификатора на длъжностите в администрацията. В допълнение, индивидуалните брутни месечни заплати на служителите в държавната администрация се определят в рамките на разходите за заплати, възнаграждения и задължителни осигурителни вноски по бюджетите на първостепенните разпоредители с бюджет съгласно закона за държавния бюджет на Република България за съответната година и Закона за местното самоуправление и местната администрация (чл. 5, ал. 1 от НЗСДА). В държавната администрация се разходват публични средства, което подлежи на контрол от компетентните институции – Сметната палата и Агенцията за държавна финансова инспекция.</w:t>
      </w:r>
    </w:p>
    <w:p w14:paraId="4C60AF92" w14:textId="77777777" w:rsidR="00843FAD" w:rsidRPr="0030527C" w:rsidRDefault="00843FAD" w:rsidP="00843FAD">
      <w:pPr>
        <w:spacing w:line="276" w:lineRule="auto"/>
        <w:ind w:firstLine="720"/>
        <w:jc w:val="both"/>
      </w:pPr>
      <w:r w:rsidRPr="0030527C">
        <w:t xml:space="preserve">Друга съществена разлика в синдикалната дейност между служебните и трудовите правоотношения е в нивата и формите на сътрудничество, </w:t>
      </w:r>
      <w:r w:rsidR="00A63B55">
        <w:t xml:space="preserve">което </w:t>
      </w:r>
      <w:r w:rsidRPr="0030527C">
        <w:t>произтича от разликата в субектите (страните). При трудовото правоотношение една от страните е работодател, който по смисъла на КТ е всяко физическо лице, юридическо лице или негово поделение, както и всяко друго организационно и икономически обособено образувание (предприятие, учреждение, организация, кооперация, стопанство, заведение, домакинство, дружество и други подобни), което самостоятелно наема работници или служители по трудово правоотношение. В частния сектор работодатели са разнородни частноправни субекти, с разнородни дейности, частни интереси и бюджети. В публичния сектор функцията на втората страна се изпълнява не от частноправен субект, а от държавата/държавната администрация, чрез органа по назначаването. Предвид нейната единност</w:t>
      </w:r>
      <w:r w:rsidRPr="0030527C">
        <w:rPr>
          <w:rStyle w:val="FootnoteReference"/>
        </w:rPr>
        <w:footnoteReference w:id="3"/>
      </w:r>
      <w:r w:rsidRPr="0030527C">
        <w:t xml:space="preserve"> и публичноправен характер, държавната служба не се характеризира с работодател, а социалният диалог (сътрудничество) се провежда само в двустранна форма (между държавата/държавната администрация и синдикалните организации на държавните служители).</w:t>
      </w:r>
    </w:p>
    <w:p w14:paraId="343C4437" w14:textId="77777777" w:rsidR="00843FAD" w:rsidRPr="0030527C" w:rsidRDefault="00843FAD" w:rsidP="00843FAD">
      <w:pPr>
        <w:spacing w:line="276" w:lineRule="auto"/>
        <w:ind w:firstLine="720"/>
        <w:jc w:val="both"/>
      </w:pPr>
      <w:r w:rsidRPr="0030527C">
        <w:t xml:space="preserve">Спецификата на служебните спрямо трудовите правоотношения и произтичащите от нея специфики при синдикалната дейност на държавните служители и тяхното сътрудничество с държавата се признават и в международното право и правото на Европейския съюз. В чл. 6 от ратифицираната от България Конвенция № 98 на Международната организация на труда (МОТ) от 1949 г. за правото на организиране и на колективно договаряне изрично е посочено, че тя не се прилага за държавните служители. В Конвенция № 151 на МОТ за трудовите отношения в публичния сектор от 1978 г., която в настоящия План се предвижда да бъде ратифицирана от България, не се прави разлика между служители на трудово и служебно правоотношение в публичния сектор. Поради това чл. 7 от </w:t>
      </w:r>
      <w:r w:rsidR="00A63B55">
        <w:t>К</w:t>
      </w:r>
      <w:r w:rsidRPr="0030527C">
        <w:t xml:space="preserve">онвенцията предвижда, от една страна, мерките за насърчаване на механизмите за договаряне на условията на заетост между съответните органи на държавната власт и организациите на служителите в публичния сектор да бъдат съобразени с националните условия и да бъдат приложени където е необходимо, а от друга страна – алтернативно допуска прилагането на други методи, т.е. различни от договаряне, за осигуряване </w:t>
      </w:r>
      <w:r w:rsidRPr="0030527C">
        <w:lastRenderedPageBreak/>
        <w:t xml:space="preserve">участието на служителите от публичния сектор при определянето на тези условия. Конвенция № 154 на МОТ за колективното договаряне от 1981 г., също предвидена за ратифициране съгласно настоящия План, предвижда гъвкавост и адаптиране на начините на прилагане на правилата в публичния сектор: </w:t>
      </w:r>
      <w:r w:rsidRPr="0030527C">
        <w:rPr>
          <w:i/>
        </w:rPr>
        <w:t xml:space="preserve">„По отношение на обществените услуги, националните закони или подзаконови актове или националните практики могат да установят конкретни начини за прилагане на тази конвенция.“ </w:t>
      </w:r>
      <w:r w:rsidRPr="0030527C">
        <w:t>(чл. 1, пар. 3 от конвенцията).</w:t>
      </w:r>
    </w:p>
    <w:p w14:paraId="0711B319" w14:textId="77777777" w:rsidR="00843FAD" w:rsidRPr="0030527C" w:rsidRDefault="00843FAD" w:rsidP="00843FAD">
      <w:pPr>
        <w:spacing w:line="276" w:lineRule="auto"/>
        <w:ind w:firstLine="720"/>
        <w:jc w:val="both"/>
      </w:pPr>
      <w:r w:rsidRPr="0030527C">
        <w:t xml:space="preserve">Директива  (ЕС) 2022/2041 на Европейския парламент и на Съвета от 19 октомври 2022 година относно адекватните минимални работни заплати в Европейския съюз (Директива (ЕС) 2022/2041), която е в процес на транспониране и в изпълнение на чл. 4 от която се приема настоящият План, изрично предвижда съобразяване с националните специфики при формулирането на мерки за насърчаването на колективното договаряне. В този смисъл, съображение № 25 от Преамбюла съдържа следния текст: </w:t>
      </w:r>
      <w:r w:rsidRPr="0030527C">
        <w:rPr>
          <w:i/>
        </w:rPr>
        <w:t>„Равнищата на обхвата на колективното договаряне в държавите членки се различават значително поради редица фактори, включително националните традиции и практики, както и историческия контекст. Това следва да се взема предвид при анализа на напредъка към по-широк обхват на колективното договаряне, особено по отношение на плана за действие, предвиден в настоящата директива.“</w:t>
      </w:r>
    </w:p>
    <w:p w14:paraId="4D1073A3" w14:textId="77777777" w:rsidR="00843FAD" w:rsidRPr="0030527C" w:rsidRDefault="00843FAD" w:rsidP="00843FAD">
      <w:pPr>
        <w:spacing w:line="276" w:lineRule="auto"/>
        <w:ind w:firstLine="720"/>
        <w:jc w:val="both"/>
      </w:pPr>
      <w:r w:rsidRPr="0030527C">
        <w:t xml:space="preserve">Аналогично, съображение № 26 от Преамбюла на Препоръка на Съвета от 12 юни 2023 година относно укрепването на социалния диалог в Европейския съюз утвърждава, че препоръката </w:t>
      </w:r>
      <w:r w:rsidRPr="0030527C">
        <w:rPr>
          <w:i/>
        </w:rPr>
        <w:t>„насърчава мерки, които са адаптирани към националните традиции, норми и практики, като по този начин се зачитат националните особености, както и автономността на социалните партньори… Освен това в препоръката се вземат предвид специфичните обстоятелства в държавите членки и се допуска, че изборът на индивидуални мерки за нейното прилагане може да бъде определян от тези обстоятелства.“</w:t>
      </w:r>
      <w:r w:rsidRPr="0030527C">
        <w:t xml:space="preserve"> </w:t>
      </w:r>
    </w:p>
    <w:p w14:paraId="0B311ED7" w14:textId="77777777" w:rsidR="00843FAD" w:rsidRPr="0030527C" w:rsidRDefault="00843FAD" w:rsidP="00843FAD">
      <w:pPr>
        <w:spacing w:line="276" w:lineRule="auto"/>
        <w:ind w:firstLine="720"/>
        <w:jc w:val="both"/>
      </w:pPr>
      <w:r w:rsidRPr="0030527C">
        <w:t>В  духа на цитираните норми на международното право и правото на ЕС, при усъвършенстването на нормативната рамка на колективното договаряне в страната следва да бъдат взети предвид традициите на българската правна система по отношение на държавната служба с нейните два основни стълба – йерархичния характер на административното правоотношение и единността на държавната служба. От една страна административният (йерархичният) характер на службата не позволява колективно договаряне от класически тип при служебното правоотношение</w:t>
      </w:r>
      <w:r w:rsidR="00A63B55">
        <w:t>,</w:t>
      </w:r>
      <w:r w:rsidRPr="0030527C">
        <w:t xml:space="preserve"> каквото е налице при трудовото правоотношение, а в по-широкия контекст на утвърдения в правото на ЕС термин „социален диалог“, който обхваща и колективното договаряне при трудовите правоотношения</w:t>
      </w:r>
      <w:r w:rsidRPr="0030527C">
        <w:rPr>
          <w:rStyle w:val="FootnoteReference"/>
        </w:rPr>
        <w:footnoteReference w:id="4"/>
      </w:r>
      <w:r w:rsidRPr="0030527C">
        <w:t>.  От друга страна, нейната единност не позволява различна степен на договаряне по едни и същи елементи на службата в отделните администрации.</w:t>
      </w:r>
    </w:p>
    <w:p w14:paraId="7678E3C9" w14:textId="77777777" w:rsidR="002135D8" w:rsidRPr="0030527C" w:rsidRDefault="002135D8" w:rsidP="00C264D5">
      <w:pPr>
        <w:spacing w:line="276" w:lineRule="auto"/>
        <w:ind w:firstLine="720"/>
        <w:jc w:val="both"/>
        <w:rPr>
          <w:b/>
        </w:rPr>
      </w:pPr>
    </w:p>
    <w:p w14:paraId="16C79361" w14:textId="77777777" w:rsidR="00C264D5" w:rsidRPr="00CE2203" w:rsidRDefault="00C264D5" w:rsidP="00CE2203">
      <w:pPr>
        <w:pStyle w:val="Heading3"/>
        <w:numPr>
          <w:ilvl w:val="0"/>
          <w:numId w:val="0"/>
        </w:numPr>
        <w:ind w:left="720"/>
        <w:jc w:val="center"/>
        <w:rPr>
          <w:rStyle w:val="Heading3Char"/>
          <w:rFonts w:ascii="Times New Roman" w:hAnsi="Times New Roman"/>
          <w:b/>
          <w:sz w:val="24"/>
          <w:szCs w:val="24"/>
        </w:rPr>
      </w:pPr>
      <w:bookmarkStart w:id="8" w:name="_Toc216436497"/>
      <w:r w:rsidRPr="00CE2203">
        <w:rPr>
          <w:rFonts w:ascii="Times New Roman" w:hAnsi="Times New Roman"/>
          <w:sz w:val="24"/>
        </w:rPr>
        <w:lastRenderedPageBreak/>
        <w:t>3.</w:t>
      </w:r>
      <w:r w:rsidR="001975BF" w:rsidRPr="00CE2203">
        <w:rPr>
          <w:rFonts w:ascii="Times New Roman" w:hAnsi="Times New Roman"/>
          <w:sz w:val="24"/>
        </w:rPr>
        <w:t>3</w:t>
      </w:r>
      <w:r w:rsidRPr="00CE2203">
        <w:rPr>
          <w:rFonts w:ascii="Times New Roman" w:hAnsi="Times New Roman"/>
          <w:sz w:val="24"/>
        </w:rPr>
        <w:t>.</w:t>
      </w:r>
      <w:r w:rsidRPr="00CE2203">
        <w:rPr>
          <w:rFonts w:ascii="Times New Roman" w:hAnsi="Times New Roman"/>
          <w:b w:val="0"/>
          <w:sz w:val="24"/>
        </w:rPr>
        <w:t xml:space="preserve"> </w:t>
      </w:r>
      <w:r w:rsidR="001975BF" w:rsidRPr="00CE2203">
        <w:rPr>
          <w:rStyle w:val="Heading3Char"/>
          <w:rFonts w:ascii="Times New Roman" w:hAnsi="Times New Roman"/>
          <w:b/>
          <w:sz w:val="24"/>
          <w:szCs w:val="24"/>
        </w:rPr>
        <w:t>Нормативна уредба на к</w:t>
      </w:r>
      <w:r w:rsidRPr="00CE2203">
        <w:rPr>
          <w:rStyle w:val="Heading3Char"/>
          <w:rFonts w:ascii="Times New Roman" w:hAnsi="Times New Roman"/>
          <w:b/>
          <w:sz w:val="24"/>
          <w:szCs w:val="24"/>
        </w:rPr>
        <w:t>олективно</w:t>
      </w:r>
      <w:r w:rsidR="00020B04" w:rsidRPr="00CE2203">
        <w:rPr>
          <w:rStyle w:val="Heading3Char"/>
          <w:rFonts w:ascii="Times New Roman" w:hAnsi="Times New Roman"/>
          <w:b/>
          <w:sz w:val="24"/>
          <w:szCs w:val="24"/>
        </w:rPr>
        <w:t>то</w:t>
      </w:r>
      <w:r w:rsidRPr="00CE2203">
        <w:rPr>
          <w:rStyle w:val="Heading3Char"/>
          <w:rFonts w:ascii="Times New Roman" w:hAnsi="Times New Roman"/>
          <w:b/>
          <w:sz w:val="24"/>
          <w:szCs w:val="24"/>
        </w:rPr>
        <w:t xml:space="preserve"> договаряне за работниците и служителите по трудови правоотношения</w:t>
      </w:r>
      <w:bookmarkEnd w:id="8"/>
    </w:p>
    <w:p w14:paraId="016D9F5F" w14:textId="77777777" w:rsidR="00467DFB" w:rsidRPr="0030527C" w:rsidRDefault="00985876" w:rsidP="00C70AB7">
      <w:pPr>
        <w:spacing w:line="276" w:lineRule="auto"/>
        <w:ind w:firstLine="720"/>
        <w:jc w:val="both"/>
      </w:pPr>
      <w:r w:rsidRPr="0030527C">
        <w:t xml:space="preserve">Нормативната уредба на колективното договаряне за работниците и служителите по трудови правоотношения се съдържа в глава четвърта на Кодекса на труда. </w:t>
      </w:r>
      <w:r w:rsidR="006B6454" w:rsidRPr="0030527C">
        <w:t xml:space="preserve">В </w:t>
      </w:r>
      <w:r w:rsidRPr="0030527C">
        <w:t>нея</w:t>
      </w:r>
      <w:r w:rsidR="006B6454" w:rsidRPr="0030527C">
        <w:t xml:space="preserve"> е ясно определен  предметът на колективното договаряне - въпроси на трудовите и осигурителните отношения на работниците и служителите, които не са уредени с повелителни разпоредби на закона. Освен това е регламентирано изискването колективният трудов договор да не съдържа клаузи, които са по-неблагоприятни за работниците и служителите от установените в закона или в колективен трудов договор, с който работодателят е обвързан. По този начин се осигурява възможност чрез колективни трудови договори да се надграждат минималните изисквания на законодателството и да се договарят по-благоприятни условия на труд за работещите.</w:t>
      </w:r>
    </w:p>
    <w:p w14:paraId="6587BCA7" w14:textId="77777777" w:rsidR="006B6454" w:rsidRDefault="006B6454" w:rsidP="00C70AB7">
      <w:pPr>
        <w:spacing w:line="276" w:lineRule="auto"/>
        <w:ind w:firstLine="720"/>
        <w:jc w:val="both"/>
      </w:pPr>
      <w:r w:rsidRPr="0030527C">
        <w:t>Кодексът на труда изрично определя равнището, на коет</w:t>
      </w:r>
      <w:r>
        <w:t xml:space="preserve">о може да се сключва колективен трудов договор - </w:t>
      </w:r>
      <w:r w:rsidRPr="006B6454">
        <w:t xml:space="preserve">предприятия, </w:t>
      </w:r>
      <w:r w:rsidR="00B8070C" w:rsidRPr="006B6454">
        <w:t>отрасли</w:t>
      </w:r>
      <w:r w:rsidR="00B8070C">
        <w:t>,</w:t>
      </w:r>
      <w:r w:rsidR="00B8070C" w:rsidRPr="006B6454">
        <w:t xml:space="preserve"> </w:t>
      </w:r>
      <w:r w:rsidRPr="006B6454">
        <w:t>браншове и по общини</w:t>
      </w:r>
      <w:r>
        <w:t xml:space="preserve">. Характерна особеност е, че на </w:t>
      </w:r>
      <w:r w:rsidRPr="006B6454">
        <w:t xml:space="preserve">равнище предприятие, </w:t>
      </w:r>
      <w:r w:rsidR="00B8070C" w:rsidRPr="006B6454">
        <w:t xml:space="preserve">отрасъл </w:t>
      </w:r>
      <w:r w:rsidR="00B8070C">
        <w:t xml:space="preserve">и </w:t>
      </w:r>
      <w:r w:rsidRPr="006B6454">
        <w:t>бранш може да се сключи само един колективен трудов договор</w:t>
      </w:r>
      <w:r>
        <w:t xml:space="preserve">. </w:t>
      </w:r>
      <w:r w:rsidR="00316967">
        <w:t>Р</w:t>
      </w:r>
      <w:r>
        <w:t>егламентира</w:t>
      </w:r>
      <w:r w:rsidR="00316967">
        <w:t>на</w:t>
      </w:r>
      <w:r>
        <w:t xml:space="preserve"> </w:t>
      </w:r>
      <w:r w:rsidR="00B8070C">
        <w:t>е</w:t>
      </w:r>
      <w:r>
        <w:t xml:space="preserve"> процедурата за започване на преговори и задълженията от страна на работодателя или </w:t>
      </w:r>
      <w:r w:rsidRPr="006B6454">
        <w:t xml:space="preserve">групата работодатели </w:t>
      </w:r>
      <w:r>
        <w:t>да водят преговори и да предоставят информация</w:t>
      </w:r>
      <w:r w:rsidR="00090C93">
        <w:rPr>
          <w:lang w:val="en-US"/>
        </w:rPr>
        <w:t xml:space="preserve"> </w:t>
      </w:r>
      <w:r w:rsidR="00090C93">
        <w:t>на представителите на работниците и служителите</w:t>
      </w:r>
      <w:r>
        <w:t xml:space="preserve">. </w:t>
      </w:r>
      <w:r w:rsidR="00AC465B">
        <w:t xml:space="preserve">Контролните органи на инспекцията по труда имат възможност да извършват контрол и да прилагат принудителни административни мерки, когато не се изпълняват изискванията на КТ за преговори и предоставяне на информация. </w:t>
      </w:r>
      <w:r>
        <w:t xml:space="preserve">Нормативно е установена възможността, изискванията и процедурата за разпростиране на колективен трудов договор </w:t>
      </w:r>
      <w:r w:rsidRPr="006B6454">
        <w:t>на отраслово и браншово равнище</w:t>
      </w:r>
      <w:r>
        <w:t>.</w:t>
      </w:r>
    </w:p>
    <w:p w14:paraId="235D34E7" w14:textId="77777777" w:rsidR="006B6454" w:rsidRDefault="006B6454" w:rsidP="002D558A">
      <w:pPr>
        <w:spacing w:line="276" w:lineRule="auto"/>
        <w:ind w:firstLine="720"/>
        <w:jc w:val="both"/>
      </w:pPr>
      <w:r>
        <w:t>Регламентирани са изискванията за сключване и вписван</w:t>
      </w:r>
      <w:r w:rsidR="00705CD9">
        <w:t xml:space="preserve">е на колективния трудов договор, като е предвидено задължение това да става в специален регистър </w:t>
      </w:r>
      <w:r w:rsidR="00705CD9" w:rsidRPr="00705CD9">
        <w:t>в инспекцията по труда</w:t>
      </w:r>
      <w:r w:rsidR="00705CD9">
        <w:t xml:space="preserve">. </w:t>
      </w:r>
      <w:r w:rsidR="0024384F">
        <w:t xml:space="preserve">Установени са </w:t>
      </w:r>
      <w:r w:rsidR="00090C93">
        <w:t xml:space="preserve">и </w:t>
      </w:r>
      <w:r w:rsidR="0024384F">
        <w:t xml:space="preserve">изисквания относно влизането в сила и времетраенето на колективния трудов договор, както и </w:t>
      </w:r>
      <w:r w:rsidR="005743AA">
        <w:t xml:space="preserve">действието му </w:t>
      </w:r>
      <w:r w:rsidR="0024384F">
        <w:t xml:space="preserve">спрямо лицата. Изрично е предвидено правото на информация на работниците и служителите </w:t>
      </w:r>
      <w:r w:rsidR="0024384F" w:rsidRPr="0024384F">
        <w:t xml:space="preserve">за колективните трудови договори, сключени в предприятието, по отрасли, браншове или общини, с които </w:t>
      </w:r>
      <w:r w:rsidR="005743AA">
        <w:t xml:space="preserve">работодателят </w:t>
      </w:r>
      <w:r w:rsidR="0024384F" w:rsidRPr="0024384F">
        <w:t>е обвързан</w:t>
      </w:r>
      <w:r w:rsidR="0024384F">
        <w:t>, както и правото на искове за неизпълнение и за обявяване за недействителност на колективните трудови договори.</w:t>
      </w:r>
    </w:p>
    <w:p w14:paraId="49C345E1" w14:textId="77777777" w:rsidR="00985876" w:rsidRPr="002D558A" w:rsidRDefault="00985876" w:rsidP="002D558A">
      <w:pPr>
        <w:pStyle w:val="Heading3"/>
        <w:numPr>
          <w:ilvl w:val="0"/>
          <w:numId w:val="0"/>
        </w:numPr>
        <w:jc w:val="center"/>
        <w:rPr>
          <w:rFonts w:ascii="Times New Roman" w:hAnsi="Times New Roman"/>
          <w:sz w:val="24"/>
          <w:szCs w:val="24"/>
        </w:rPr>
      </w:pPr>
      <w:bookmarkStart w:id="9" w:name="_Toc216436498"/>
      <w:r w:rsidRPr="002D558A">
        <w:rPr>
          <w:rFonts w:ascii="Times New Roman" w:hAnsi="Times New Roman"/>
          <w:sz w:val="24"/>
          <w:szCs w:val="24"/>
        </w:rPr>
        <w:t>3.</w:t>
      </w:r>
      <w:r w:rsidR="001975BF" w:rsidRPr="002D558A">
        <w:rPr>
          <w:rFonts w:ascii="Times New Roman" w:hAnsi="Times New Roman"/>
          <w:sz w:val="24"/>
          <w:szCs w:val="24"/>
        </w:rPr>
        <w:t>4</w:t>
      </w:r>
      <w:r w:rsidRPr="002D558A">
        <w:rPr>
          <w:rFonts w:ascii="Times New Roman" w:hAnsi="Times New Roman"/>
          <w:sz w:val="24"/>
          <w:szCs w:val="24"/>
        </w:rPr>
        <w:t xml:space="preserve">. </w:t>
      </w:r>
      <w:r w:rsidR="001975BF" w:rsidRPr="002D558A">
        <w:rPr>
          <w:rFonts w:ascii="Times New Roman" w:hAnsi="Times New Roman"/>
          <w:sz w:val="24"/>
          <w:szCs w:val="24"/>
        </w:rPr>
        <w:t xml:space="preserve">Нормативна уредба на колективно договаряне за </w:t>
      </w:r>
      <w:r w:rsidRPr="002D558A">
        <w:rPr>
          <w:rFonts w:ascii="Times New Roman" w:hAnsi="Times New Roman"/>
          <w:sz w:val="24"/>
          <w:szCs w:val="24"/>
        </w:rPr>
        <w:t>държавните служители</w:t>
      </w:r>
      <w:bookmarkEnd w:id="9"/>
    </w:p>
    <w:p w14:paraId="635C98E9" w14:textId="77777777" w:rsidR="006B6454" w:rsidRDefault="00985876" w:rsidP="00C70AB7">
      <w:pPr>
        <w:spacing w:line="276" w:lineRule="auto"/>
        <w:ind w:firstLine="720"/>
        <w:jc w:val="both"/>
      </w:pPr>
      <w:r w:rsidRPr="00985876">
        <w:t xml:space="preserve">Нормативната уредба на колективното договаряне за </w:t>
      </w:r>
      <w:r>
        <w:t>държавните служители е в значително по-ограничен обхват. В чл. 44, ал. 1 от ЗДСл е установено правото на д</w:t>
      </w:r>
      <w:r w:rsidRPr="00985876">
        <w:t>ържавните служители свободно да образуват синдикални организации, да встъпват и да прекратяват членството си в тях, като се съобразяват само с техните устави.</w:t>
      </w:r>
      <w:r>
        <w:t xml:space="preserve"> За тези организации е регламентирано правото да </w:t>
      </w:r>
      <w:r w:rsidRPr="00985876">
        <w:t>представляват и защитават интересите на държавните служители пред държавните органи по въпросите на служебните и осигурителните отношения</w:t>
      </w:r>
      <w:r w:rsidR="00843FAD">
        <w:t xml:space="preserve"> </w:t>
      </w:r>
      <w:r w:rsidR="00843FAD" w:rsidRPr="00843FAD">
        <w:t>чрез закон</w:t>
      </w:r>
      <w:r w:rsidR="00843FAD">
        <w:t>ово определен инструментариум –</w:t>
      </w:r>
      <w:r w:rsidRPr="00985876">
        <w:t xml:space="preserve"> чрез предложения, искания и участие в подготовката на проекти за вътрешни правилници и наредби, които се отнасят до служебните отношения</w:t>
      </w:r>
      <w:r w:rsidR="00FB3326">
        <w:t>.</w:t>
      </w:r>
    </w:p>
    <w:p w14:paraId="72630A1E" w14:textId="77777777" w:rsidR="00A97B3C" w:rsidRDefault="00FB3326" w:rsidP="00A97B3C">
      <w:pPr>
        <w:spacing w:line="276" w:lineRule="auto"/>
        <w:ind w:firstLine="720"/>
        <w:jc w:val="both"/>
      </w:pPr>
      <w:r>
        <w:t>През 2016 г. с допълнение в ЗДСл е предвидено с</w:t>
      </w:r>
      <w:r w:rsidRPr="00FB3326">
        <w:t xml:space="preserve">ъс споразумение между синдикалните организации на държавните служители и Министерския съвет </w:t>
      </w:r>
      <w:r>
        <w:t xml:space="preserve">да </w:t>
      </w:r>
      <w:r w:rsidRPr="00FB3326">
        <w:t>се уреждат структурата, обхватът и формите на сътрудничество</w:t>
      </w:r>
      <w:r w:rsidR="00316967">
        <w:t>, като п</w:t>
      </w:r>
      <w:r w:rsidRPr="00FB3326">
        <w:t xml:space="preserve">роцедурата за сключването на споразумението и критериите към синдикалните организации </w:t>
      </w:r>
      <w:r w:rsidR="00316967">
        <w:t xml:space="preserve">да </w:t>
      </w:r>
      <w:r w:rsidRPr="00FB3326">
        <w:t xml:space="preserve">се определят с наредба на </w:t>
      </w:r>
      <w:r w:rsidRPr="00FB3326">
        <w:lastRenderedPageBreak/>
        <w:t>Министерския съвет</w:t>
      </w:r>
      <w:r>
        <w:t xml:space="preserve"> (чл. 46а, ал. </w:t>
      </w:r>
      <w:r w:rsidR="00A97B3C">
        <w:t xml:space="preserve">1 и </w:t>
      </w:r>
      <w:r>
        <w:t>2 от ЗДСл)</w:t>
      </w:r>
      <w:r w:rsidRPr="00FB3326">
        <w:t>.</w:t>
      </w:r>
      <w:r>
        <w:t xml:space="preserve"> </w:t>
      </w:r>
      <w:r w:rsidR="00A97B3C" w:rsidRPr="00A97B3C">
        <w:t xml:space="preserve">С ал. 3 на чл. 46а е добавен още един механизъм за синдикална защита на държавните служители – всички проекти на нормативни актове, свързани със служебните правоотношения, следва да се съгласуват със синдикалните организации на държавните служители.  </w:t>
      </w:r>
    </w:p>
    <w:p w14:paraId="5C881B2E" w14:textId="77777777" w:rsidR="00A97B3C" w:rsidRPr="0030527C" w:rsidRDefault="00A97B3C" w:rsidP="00A97B3C">
      <w:pPr>
        <w:spacing w:line="276" w:lineRule="auto"/>
        <w:ind w:firstLine="720"/>
        <w:jc w:val="both"/>
      </w:pPr>
      <w:r w:rsidRPr="0030527C">
        <w:t>В духа на единността на държавната служба и държавната администрация, законодателят предвижда и единно споразумение на централно ниво относно структурата, обхвата и формите на сътрудничеството на държавата със синдикалните организации на държавните служители. Със споразумението не би следвало да се създават условия за диференциация (неравностойно третиране) между служителите в държавната администрация въз основа на членството в синдикални организации. Освен това, кръгът от въпроси, които са предмет на споразумението, не следва да влизат в противоречие с повелителни разпоредби на законодателството за държавната служба. Разработването на критерии към синдикалните организации следва да бъде извършено след обсъждане и отчитане на гледните точки и аргументите на всички заинтересовани страни, които имат съществени интереси, притежават съответната информация и имат отношение към прилагането. Като мярка от настоящия План е предвидено да бъде разработена тази наредба, в сътрудничество със синдикалните организации.</w:t>
      </w:r>
    </w:p>
    <w:p w14:paraId="6C879E55" w14:textId="77777777" w:rsidR="00FB3326" w:rsidRDefault="00A97B3C" w:rsidP="00A97B3C">
      <w:pPr>
        <w:spacing w:line="276" w:lineRule="auto"/>
        <w:ind w:firstLine="720"/>
        <w:jc w:val="both"/>
      </w:pPr>
      <w:r w:rsidRPr="0030527C">
        <w:t>Следва да се отбележи, че в контекста на социалния диалог и в частност на колективното договаряне, предвид липсата на изрично разграничаване в повечето актове на ЕС между частния и публичния сектор, както и между трудовите и служебните правоотношения в публичния сектор, терминът „споразумение“ е утвърден и актуален, включително в цитираните по-горе Препоръка на Съвета относно укрепването на социалния диалог и Директива (ЕС) 2022/2041.</w:t>
      </w:r>
    </w:p>
    <w:p w14:paraId="29D20EED" w14:textId="77777777" w:rsidR="00FB3326" w:rsidRDefault="001975BF" w:rsidP="00C70AB7">
      <w:pPr>
        <w:spacing w:line="276" w:lineRule="auto"/>
        <w:ind w:firstLine="720"/>
        <w:jc w:val="both"/>
      </w:pPr>
      <w:r>
        <w:t xml:space="preserve">Независимо от </w:t>
      </w:r>
      <w:r w:rsidR="00A97B3C">
        <w:t>ограничената</w:t>
      </w:r>
      <w:r w:rsidR="00316967">
        <w:t xml:space="preserve"> нормативна </w:t>
      </w:r>
      <w:r>
        <w:t xml:space="preserve">уредба относно колективното договаряне в </w:t>
      </w:r>
      <w:r w:rsidR="00A97B3C">
        <w:t>областта</w:t>
      </w:r>
      <w:r>
        <w:t xml:space="preserve"> на държавната служба</w:t>
      </w:r>
      <w:r w:rsidR="00A97B3C" w:rsidRPr="00A97B3C">
        <w:t xml:space="preserve"> и при липсата на предвидената в чл. 46а от </w:t>
      </w:r>
      <w:r w:rsidR="00A97B3C">
        <w:t>ЗДСл</w:t>
      </w:r>
      <w:r w:rsidR="00A97B3C" w:rsidRPr="00A97B3C">
        <w:t xml:space="preserve"> наредба</w:t>
      </w:r>
      <w:r>
        <w:t xml:space="preserve">, практиката показва, че се сключват </w:t>
      </w:r>
      <w:r w:rsidR="00A97B3C">
        <w:t xml:space="preserve">отделни </w:t>
      </w:r>
      <w:r>
        <w:t>споразумения</w:t>
      </w:r>
      <w:r w:rsidRPr="001975BF">
        <w:t xml:space="preserve"> в </w:t>
      </w:r>
      <w:r w:rsidR="00A97B3C">
        <w:t>различните администрации</w:t>
      </w:r>
      <w:r w:rsidR="00A97B3C" w:rsidRPr="00A97B3C">
        <w:t xml:space="preserve"> по въпросите на служебните и осигурителните отношения, на основание чл. 44, ал. 3 от ЗДСл.</w:t>
      </w:r>
      <w:r w:rsidR="00A97B3C">
        <w:t xml:space="preserve"> С тях се договаря ограничен кръг от</w:t>
      </w:r>
      <w:r>
        <w:t xml:space="preserve"> въпроси, свързани с условията на труд </w:t>
      </w:r>
      <w:r w:rsidR="00A97B3C">
        <w:t>и заетост</w:t>
      </w:r>
      <w:r w:rsidR="005E4374">
        <w:t>т</w:t>
      </w:r>
      <w:r w:rsidR="00A97B3C">
        <w:t xml:space="preserve">а </w:t>
      </w:r>
      <w:r>
        <w:t>на държавните служители</w:t>
      </w:r>
      <w:r w:rsidR="00A97B3C">
        <w:t>, които не са определ</w:t>
      </w:r>
      <w:r w:rsidR="005E4374">
        <w:t>е</w:t>
      </w:r>
      <w:r w:rsidR="00A97B3C">
        <w:t>ни с императивни норми</w:t>
      </w:r>
      <w:r>
        <w:t>.</w:t>
      </w:r>
    </w:p>
    <w:p w14:paraId="7A93713C" w14:textId="77777777" w:rsidR="00AC465B" w:rsidRDefault="00A97B3C" w:rsidP="001126B2">
      <w:pPr>
        <w:spacing w:line="276" w:lineRule="auto"/>
        <w:ind w:firstLine="720"/>
        <w:jc w:val="both"/>
      </w:pPr>
      <w:r w:rsidRPr="00A97B3C">
        <w:t>Предвид   изложеното и с оглед на спецификите на националното законодателство, диалогът със синдикалните организации по хоризонтални за държавната служба въпроси следва да бъде доразвит нормативно, като въз основа на нормативната уредба бъдат хармонизирани и усъвършенствани и добрите практики в синдикалната дейност в държавната служба.</w:t>
      </w:r>
    </w:p>
    <w:p w14:paraId="056C1485" w14:textId="77777777" w:rsidR="00AC465B" w:rsidRPr="002D558A" w:rsidRDefault="00AC465B" w:rsidP="002D558A">
      <w:pPr>
        <w:pStyle w:val="Heading3"/>
        <w:numPr>
          <w:ilvl w:val="0"/>
          <w:numId w:val="0"/>
        </w:numPr>
        <w:jc w:val="center"/>
        <w:rPr>
          <w:rFonts w:ascii="Times New Roman" w:hAnsi="Times New Roman"/>
          <w:sz w:val="24"/>
          <w:szCs w:val="24"/>
        </w:rPr>
      </w:pPr>
      <w:bookmarkStart w:id="10" w:name="_Toc216436499"/>
      <w:r w:rsidRPr="002D558A">
        <w:rPr>
          <w:rFonts w:ascii="Times New Roman" w:hAnsi="Times New Roman"/>
          <w:sz w:val="24"/>
          <w:szCs w:val="24"/>
        </w:rPr>
        <w:t>3.5. Уреждане на колективните трудови спорове</w:t>
      </w:r>
      <w:bookmarkEnd w:id="10"/>
    </w:p>
    <w:p w14:paraId="1E5BE066" w14:textId="77777777" w:rsidR="00AC465B" w:rsidRDefault="00C76A53" w:rsidP="00C70AB7">
      <w:pPr>
        <w:spacing w:line="276" w:lineRule="auto"/>
        <w:ind w:firstLine="720"/>
        <w:jc w:val="both"/>
      </w:pPr>
      <w:r>
        <w:t xml:space="preserve">Законът за уреждане на колективните трудови спорове (ЗУКТС) </w:t>
      </w:r>
      <w:r w:rsidRPr="00C76A53">
        <w:t>установява реда за уреждане на колективните трудови спорове между работници и работодатели по въпроси на трудовите и осигурителните отношения и жизненото равнище</w:t>
      </w:r>
      <w:r>
        <w:t xml:space="preserve">. В него са </w:t>
      </w:r>
      <w:r w:rsidR="00D8590D">
        <w:t xml:space="preserve">регламентирани </w:t>
      </w:r>
      <w:r>
        <w:t xml:space="preserve">както процедурни въпроси за уреждане на споровете, така и материално-правни норми, уреждащи правата и задълженията при възникнал колективен трудов спор, вкл. и във връзка с правото на стачка. </w:t>
      </w:r>
      <w:r w:rsidR="004C529B" w:rsidRPr="004C529B">
        <w:t>С измененията на ЗУКТС от 2001 г. беше  създадена правна възможност при възникване на колективен трудов спор между работници и работодатели, по който спор не се постигне споразумение или някоя от страните откаже да преговаря, всяка от тях да потърси съдействие за уреждането му чрез посредничество и/или арбитраж от Националния институт за помирение и арбитраж (НИПА).</w:t>
      </w:r>
      <w:r w:rsidR="004C529B" w:rsidRPr="004C529B">
        <w:rPr>
          <w:lang w:val="en-US"/>
        </w:rPr>
        <w:t xml:space="preserve"> </w:t>
      </w:r>
      <w:r w:rsidR="004C529B">
        <w:t>Р</w:t>
      </w:r>
      <w:r w:rsidR="004C529B" w:rsidRPr="004C529B">
        <w:t xml:space="preserve">егламентира </w:t>
      </w:r>
      <w:r w:rsidR="004C529B">
        <w:t xml:space="preserve">се </w:t>
      </w:r>
      <w:r w:rsidR="004C529B" w:rsidRPr="004C529B">
        <w:t>и статут</w:t>
      </w:r>
      <w:r w:rsidR="005E4374">
        <w:t>ът</w:t>
      </w:r>
      <w:r w:rsidR="004C529B" w:rsidRPr="004C529B">
        <w:t xml:space="preserve"> на НИПА като </w:t>
      </w:r>
      <w:r w:rsidR="004C529B" w:rsidRPr="004C529B">
        <w:lastRenderedPageBreak/>
        <w:t xml:space="preserve">юридическо лице към министъра на труда и социалната политика с ранг на изпълнителна агенция, който е оправомощен да съдейства за доброволното уреждане на колективни трудови спорове между работници и работодатели. </w:t>
      </w:r>
      <w:r w:rsidR="004C529B">
        <w:t>Р</w:t>
      </w:r>
      <w:r w:rsidR="004C529B" w:rsidRPr="004C529B">
        <w:t xml:space="preserve">азписани </w:t>
      </w:r>
      <w:r w:rsidR="004C529B">
        <w:t xml:space="preserve">са и </w:t>
      </w:r>
      <w:r w:rsidR="005E4374">
        <w:t>статутът</w:t>
      </w:r>
      <w:r w:rsidR="004C529B" w:rsidRPr="004C529B">
        <w:t xml:space="preserve"> и правомощията на едноличния арбитър и ар</w:t>
      </w:r>
      <w:r w:rsidR="005E4374">
        <w:t>битражната комисия, както и редът</w:t>
      </w:r>
      <w:r w:rsidR="004C529B" w:rsidRPr="004C529B">
        <w:t xml:space="preserve"> и сроковете за разглеждане на арбитражните спорове пред НИПА. </w:t>
      </w:r>
      <w:r>
        <w:t>Основната цел на ЗУКТС е регламентиране на механизми за цивилизовано уреждане на колективните трудови спорове с приоритет към търсенето на взаим</w:t>
      </w:r>
      <w:r w:rsidR="00DF3455">
        <w:t>н</w:t>
      </w:r>
      <w:r>
        <w:t xml:space="preserve">оприемливи решения. В тази връзка приоритет при решаването на колективните трудови спорове имат способите за доброволното им уреждане, в т.ч. непосредствените преговори, посредничеството и трудовия арбитраж. Основна роля в този процес има НИПА, който е структура с трипартитно </w:t>
      </w:r>
      <w:r w:rsidR="005A4855">
        <w:t>управление</w:t>
      </w:r>
      <w:r>
        <w:t>.</w:t>
      </w:r>
    </w:p>
    <w:p w14:paraId="45BC77BB" w14:textId="77777777" w:rsidR="006E6FE0" w:rsidRPr="001126B2" w:rsidRDefault="004C529B" w:rsidP="001126B2">
      <w:pPr>
        <w:spacing w:line="276" w:lineRule="auto"/>
        <w:ind w:firstLine="720"/>
        <w:jc w:val="both"/>
      </w:pPr>
      <w:r w:rsidRPr="004C529B">
        <w:t>С измененията на чл.14 ЗУКТС от 2006 г. при спазването на определени изисквания (т.н. „минимални дейности“) се регламентира възможността за провеждане на стачка</w:t>
      </w:r>
      <w:r>
        <w:t>, в т.ч. и</w:t>
      </w:r>
      <w:r w:rsidRPr="004C529B">
        <w:t xml:space="preserve"> в секторите „здравеопазване“ и „енергетика“. </w:t>
      </w:r>
      <w:r>
        <w:t xml:space="preserve">Създадено е </w:t>
      </w:r>
      <w:r w:rsidRPr="004C529B">
        <w:t>задълж</w:t>
      </w:r>
      <w:r>
        <w:t xml:space="preserve">ение за </w:t>
      </w:r>
      <w:r w:rsidRPr="004C529B">
        <w:t xml:space="preserve">страните </w:t>
      </w:r>
      <w:r>
        <w:t xml:space="preserve">по колективен трудов спор </w:t>
      </w:r>
      <w:r w:rsidRPr="004C529B">
        <w:t>да постигнат споразумение и да осигурят условия за осъществяване през време на стачката на дейности</w:t>
      </w:r>
      <w:r>
        <w:t xml:space="preserve"> от значим обществен интерес</w:t>
      </w:r>
      <w:r w:rsidRPr="004C529B">
        <w:t xml:space="preserve">, </w:t>
      </w:r>
      <w:r>
        <w:t xml:space="preserve">а в случай на неспособност за постигане на споразумение е предвиден т.н. задължителен арбитраж от НИПА за определяне на минималните дейности. </w:t>
      </w:r>
    </w:p>
    <w:p w14:paraId="6A4A1021" w14:textId="77777777" w:rsidR="006E6FE0" w:rsidRPr="001126B2" w:rsidRDefault="006E6FE0" w:rsidP="001126B2">
      <w:pPr>
        <w:pStyle w:val="Heading3"/>
        <w:numPr>
          <w:ilvl w:val="0"/>
          <w:numId w:val="0"/>
        </w:numPr>
        <w:jc w:val="center"/>
        <w:rPr>
          <w:rFonts w:ascii="Times New Roman" w:hAnsi="Times New Roman"/>
          <w:sz w:val="24"/>
          <w:szCs w:val="24"/>
        </w:rPr>
      </w:pPr>
      <w:bookmarkStart w:id="11" w:name="_Toc216436500"/>
      <w:r w:rsidRPr="001126B2">
        <w:rPr>
          <w:rFonts w:ascii="Times New Roman" w:hAnsi="Times New Roman"/>
          <w:sz w:val="24"/>
          <w:szCs w:val="24"/>
        </w:rPr>
        <w:t>3.</w:t>
      </w:r>
      <w:r w:rsidR="00826918" w:rsidRPr="001126B2">
        <w:rPr>
          <w:rFonts w:ascii="Times New Roman" w:hAnsi="Times New Roman"/>
          <w:sz w:val="24"/>
          <w:szCs w:val="24"/>
        </w:rPr>
        <w:t>6</w:t>
      </w:r>
      <w:r w:rsidRPr="001126B2">
        <w:rPr>
          <w:rFonts w:ascii="Times New Roman" w:hAnsi="Times New Roman"/>
          <w:sz w:val="24"/>
          <w:szCs w:val="24"/>
        </w:rPr>
        <w:t>. Институционална рамка</w:t>
      </w:r>
      <w:bookmarkEnd w:id="11"/>
    </w:p>
    <w:p w14:paraId="3659C1F7" w14:textId="77777777" w:rsidR="007D7324" w:rsidRPr="00E835A3" w:rsidRDefault="001975BF" w:rsidP="004E6FF7">
      <w:pPr>
        <w:spacing w:line="276" w:lineRule="auto"/>
        <w:ind w:firstLine="720"/>
        <w:jc w:val="both"/>
      </w:pPr>
      <w:r>
        <w:t xml:space="preserve">Министерският съвет е </w:t>
      </w:r>
      <w:r w:rsidRPr="001975BF">
        <w:t>централен колегиален орган на изпълнителната власт с обща компетентност</w:t>
      </w:r>
      <w:r>
        <w:t xml:space="preserve">. Той </w:t>
      </w:r>
      <w:r w:rsidRPr="001975BF">
        <w:t>осъществява сътрудничество с ръководните органи на синдикатите</w:t>
      </w:r>
      <w:r>
        <w:t xml:space="preserve"> и</w:t>
      </w:r>
      <w:r w:rsidRPr="001975BF">
        <w:t xml:space="preserve"> на организациите на работодателите</w:t>
      </w:r>
      <w:r>
        <w:t>.</w:t>
      </w:r>
      <w:r w:rsidR="007F6237">
        <w:t xml:space="preserve"> </w:t>
      </w:r>
      <w:r w:rsidR="00A97B3C" w:rsidRPr="00A97B3C">
        <w:t>С нормата  на чл. 46а, ал. 1 от ЗДСл е предвидено Министерският съвет да взема пряко участие в социалния диалог по отношение на държавната служба, като сключва регламентираното споразумение със синдикалните организации на държавните служители.</w:t>
      </w:r>
    </w:p>
    <w:p w14:paraId="2C7303DD" w14:textId="77777777" w:rsidR="006E6FE0" w:rsidRDefault="006E6FE0" w:rsidP="006E6FE0">
      <w:pPr>
        <w:spacing w:line="276" w:lineRule="auto"/>
        <w:ind w:firstLine="720"/>
        <w:jc w:val="both"/>
      </w:pPr>
      <w:r w:rsidRPr="00E835A3">
        <w:t>Министърът</w:t>
      </w:r>
      <w:r w:rsidR="004E6FF7">
        <w:t xml:space="preserve"> на труда и социалната политика</w:t>
      </w:r>
      <w:r w:rsidRPr="00E835A3">
        <w:t xml:space="preserve"> е централен едноличен орган на изпълнителната власт със специална компетентност </w:t>
      </w:r>
      <w:r w:rsidR="00EB0CEE">
        <w:t xml:space="preserve">да </w:t>
      </w:r>
      <w:r w:rsidRPr="00E835A3">
        <w:t>ръководи, координира и контролира осъществяването на държавната политика в областта на трудов</w:t>
      </w:r>
      <w:r w:rsidR="00E139E8">
        <w:t>ите и непосредствено свързаните с тях отношения (</w:t>
      </w:r>
      <w:r w:rsidR="00E139E8" w:rsidRPr="00E835A3">
        <w:t xml:space="preserve">включително и на колективното </w:t>
      </w:r>
      <w:r w:rsidR="00F645E1">
        <w:t xml:space="preserve">трудово </w:t>
      </w:r>
      <w:r w:rsidR="00E139E8" w:rsidRPr="00E835A3">
        <w:t>договаряне</w:t>
      </w:r>
      <w:r w:rsidR="00E139E8">
        <w:t>), осигурителните отношения , както и въпросите на жизненото равнище в сътрудничество и след консултации с представителните организации на работниците и служителите и на работодателите</w:t>
      </w:r>
      <w:r w:rsidRPr="00E835A3">
        <w:t>. Важно правомощие на министър</w:t>
      </w:r>
      <w:r w:rsidR="00296DDD">
        <w:t>а</w:t>
      </w:r>
      <w:r w:rsidRPr="00E835A3">
        <w:t xml:space="preserve"> във връзка с колективното</w:t>
      </w:r>
      <w:r w:rsidR="00F645E1">
        <w:t xml:space="preserve"> трудово</w:t>
      </w:r>
      <w:r w:rsidRPr="00E835A3">
        <w:t xml:space="preserve"> договаряне е възможността да </w:t>
      </w:r>
      <w:r w:rsidR="001975BF" w:rsidRPr="00E835A3">
        <w:t>разпростира</w:t>
      </w:r>
      <w:r w:rsidRPr="00E835A3">
        <w:t xml:space="preserve"> действието на колективни трудови договори върху всички предприятия в </w:t>
      </w:r>
      <w:r w:rsidR="00F645E1">
        <w:t xml:space="preserve">отрасъл или </w:t>
      </w:r>
      <w:r w:rsidRPr="00E835A3">
        <w:t xml:space="preserve">бранш, след съответно искане на </w:t>
      </w:r>
      <w:r w:rsidR="001975BF" w:rsidRPr="00E835A3">
        <w:t>страните</w:t>
      </w:r>
      <w:r w:rsidRPr="00E835A3">
        <w:t>.</w:t>
      </w:r>
    </w:p>
    <w:p w14:paraId="5367F4AC" w14:textId="77777777" w:rsidR="006E6FE0" w:rsidRDefault="006E6FE0" w:rsidP="006E6FE0">
      <w:pPr>
        <w:spacing w:line="276" w:lineRule="auto"/>
        <w:ind w:firstLine="720"/>
        <w:jc w:val="both"/>
      </w:pPr>
      <w:r w:rsidRPr="00E835A3">
        <w:t>Националният съвет за тристранно сътрудничество (НСТС</w:t>
      </w:r>
      <w:r w:rsidR="001975BF">
        <w:t>) е</w:t>
      </w:r>
      <w:r w:rsidRPr="00E835A3">
        <w:t xml:space="preserve"> консултативен орган към Министерския съвет, в който участват представители на прави</w:t>
      </w:r>
      <w:r w:rsidR="001975BF">
        <w:t xml:space="preserve">телството и представителните организации на работниците и служителите </w:t>
      </w:r>
      <w:r w:rsidRPr="00E835A3">
        <w:t>и</w:t>
      </w:r>
      <w:r w:rsidR="001975BF">
        <w:t xml:space="preserve"> на</w:t>
      </w:r>
      <w:r w:rsidRPr="00E835A3">
        <w:t xml:space="preserve"> работодателите. НСТС обсъжда и дава становища по проектозакони и други нормативни актове, свързани с трудовите и осигурителните отношения, което пряко влияе върху рамката и съдържанието на колективните договори.</w:t>
      </w:r>
      <w:r w:rsidR="004E6FF7" w:rsidRPr="004E6FF7">
        <w:t xml:space="preserve"> </w:t>
      </w:r>
      <w:r w:rsidR="004E6FF7">
        <w:t>П</w:t>
      </w:r>
      <w:r w:rsidR="004E6FF7" w:rsidRPr="004E6FF7">
        <w:t xml:space="preserve">редставителните организации на работниците и служителите и на работодателите на национално равнище </w:t>
      </w:r>
      <w:r w:rsidR="00C15E1C">
        <w:t xml:space="preserve">се насърчават </w:t>
      </w:r>
      <w:r w:rsidR="004E6FF7" w:rsidRPr="004E6FF7">
        <w:t>да полагат усилия за развитие на социалния диалог и сътрудничеството, които да допринасят за утвърждаване на колективното трудово договаряне.</w:t>
      </w:r>
    </w:p>
    <w:p w14:paraId="56225DF3" w14:textId="77777777" w:rsidR="004E6FF7" w:rsidRPr="00E835A3" w:rsidRDefault="004E6FF7" w:rsidP="006E6FE0">
      <w:pPr>
        <w:spacing w:line="276" w:lineRule="auto"/>
        <w:ind w:firstLine="720"/>
        <w:jc w:val="both"/>
      </w:pPr>
      <w:r>
        <w:t>Организации</w:t>
      </w:r>
      <w:r w:rsidR="00C15E1C">
        <w:t>те</w:t>
      </w:r>
      <w:r>
        <w:t xml:space="preserve"> на работниците и служителите и на работодателите </w:t>
      </w:r>
      <w:r w:rsidRPr="004E6FF7">
        <w:t>представляват и защитават своите интереси чрез колективно преговаряне, участие в тристранното сътрудничество и чрез други действия съгласно закона.</w:t>
      </w:r>
      <w:r>
        <w:t xml:space="preserve"> Колективните трудови договори в </w:t>
      </w:r>
      <w:r>
        <w:lastRenderedPageBreak/>
        <w:t xml:space="preserve">предприятията се сключват между работодателя и синдикалните организации в предприятието. </w:t>
      </w:r>
      <w:r w:rsidRPr="004E6FF7">
        <w:t>Колективен трудов договор по отрасли и браншове се сключва между съответните представителни организации на работниците и служителите и на работодателите</w:t>
      </w:r>
      <w:r>
        <w:t xml:space="preserve">. </w:t>
      </w:r>
    </w:p>
    <w:p w14:paraId="7F7B0997" w14:textId="77777777" w:rsidR="006E6FE0" w:rsidRPr="00E835A3" w:rsidRDefault="00A63B55" w:rsidP="006E6FE0">
      <w:pPr>
        <w:spacing w:line="276" w:lineRule="auto"/>
        <w:ind w:firstLine="720"/>
        <w:jc w:val="both"/>
      </w:pPr>
      <w:r>
        <w:t xml:space="preserve">НИПА </w:t>
      </w:r>
      <w:r w:rsidR="00C15E1C">
        <w:t>съдейства</w:t>
      </w:r>
      <w:r w:rsidR="006E6FE0" w:rsidRPr="00E835A3">
        <w:t xml:space="preserve"> за доброволното уреждане</w:t>
      </w:r>
      <w:r>
        <w:t xml:space="preserve"> на колективни трудови спорове</w:t>
      </w:r>
      <w:r w:rsidR="006E6FE0" w:rsidRPr="00E835A3">
        <w:t>, събира и анализира данни за колективното договаряне и споровете, като всяка година публикува годишен доклад относно колективното договаряне в Република България.</w:t>
      </w:r>
    </w:p>
    <w:p w14:paraId="2E2BEFA6" w14:textId="77777777" w:rsidR="006E6FE0" w:rsidRPr="00E835A3" w:rsidRDefault="006E6FE0" w:rsidP="006E6FE0">
      <w:pPr>
        <w:spacing w:line="276" w:lineRule="auto"/>
        <w:ind w:firstLine="720"/>
        <w:jc w:val="both"/>
        <w:rPr>
          <w:highlight w:val="yellow"/>
        </w:rPr>
      </w:pPr>
      <w:r w:rsidRPr="00E835A3">
        <w:t xml:space="preserve">ИА </w:t>
      </w:r>
      <w:r w:rsidR="00A63B55">
        <w:t>„</w:t>
      </w:r>
      <w:r w:rsidRPr="00E835A3">
        <w:t>ГИТ</w:t>
      </w:r>
      <w:r w:rsidR="00A63B55">
        <w:t>“</w:t>
      </w:r>
      <w:r w:rsidRPr="00E835A3">
        <w:t xml:space="preserve"> чрез </w:t>
      </w:r>
      <w:r w:rsidR="00C15E1C">
        <w:t xml:space="preserve">териториалните </w:t>
      </w:r>
      <w:r w:rsidRPr="00E835A3">
        <w:t xml:space="preserve">дирекции "Инспекция по труда" вписва колективните трудови договори и допълнителните споразумения към тях в специални регистри. ИА ГИТ осъществява контрол по спазването на трудовото законодателство, което включва и изпълнението на </w:t>
      </w:r>
      <w:r w:rsidR="001975BF">
        <w:t xml:space="preserve">задълженията на работодателите </w:t>
      </w:r>
      <w:r w:rsidR="004E6FF7" w:rsidRPr="004E6FF7">
        <w:t>за преговаряне и за предоставяне на информация</w:t>
      </w:r>
      <w:r w:rsidRPr="00E835A3">
        <w:t>.</w:t>
      </w:r>
    </w:p>
    <w:p w14:paraId="66958EA4" w14:textId="77777777" w:rsidR="006E6FE0" w:rsidRPr="006E6FE0" w:rsidRDefault="006E6FE0" w:rsidP="003457C3">
      <w:pPr>
        <w:spacing w:line="276" w:lineRule="auto"/>
        <w:ind w:firstLine="720"/>
        <w:jc w:val="both"/>
      </w:pPr>
    </w:p>
    <w:p w14:paraId="128E1388" w14:textId="77777777" w:rsidR="00E835A3" w:rsidRDefault="00003617" w:rsidP="001126B2">
      <w:pPr>
        <w:spacing w:line="276" w:lineRule="auto"/>
        <w:jc w:val="center"/>
        <w:rPr>
          <w:b/>
        </w:rPr>
      </w:pPr>
      <w:bookmarkStart w:id="12" w:name="_Toc216436501"/>
      <w:r w:rsidRPr="001126B2">
        <w:rPr>
          <w:rStyle w:val="Heading2Char"/>
          <w:rFonts w:ascii="Times New Roman" w:hAnsi="Times New Roman"/>
          <w:color w:val="auto"/>
          <w:sz w:val="24"/>
          <w:szCs w:val="24"/>
        </w:rPr>
        <w:t>4</w:t>
      </w:r>
      <w:r w:rsidR="00E835A3" w:rsidRPr="001126B2">
        <w:rPr>
          <w:rStyle w:val="Heading2Char"/>
          <w:rFonts w:ascii="Times New Roman" w:hAnsi="Times New Roman"/>
          <w:color w:val="auto"/>
          <w:sz w:val="24"/>
          <w:szCs w:val="24"/>
        </w:rPr>
        <w:t>. Състояние и тенденции в колективното договаряне в Република България</w:t>
      </w:r>
      <w:bookmarkEnd w:id="12"/>
      <w:r w:rsidR="00AB0F3D" w:rsidRPr="00AB0F3D">
        <w:rPr>
          <w:rStyle w:val="FootnoteReference"/>
          <w:b/>
        </w:rPr>
        <w:footnoteReference w:customMarkFollows="1" w:id="5"/>
        <w:sym w:font="Symbol" w:char="F02A"/>
      </w:r>
    </w:p>
    <w:p w14:paraId="6F8FF5BC" w14:textId="77777777" w:rsidR="00D97DB9" w:rsidRPr="001126B2" w:rsidRDefault="00D97DB9" w:rsidP="001126B2">
      <w:pPr>
        <w:pStyle w:val="Heading3"/>
        <w:numPr>
          <w:ilvl w:val="0"/>
          <w:numId w:val="0"/>
        </w:numPr>
        <w:jc w:val="center"/>
        <w:rPr>
          <w:rFonts w:ascii="Times New Roman" w:hAnsi="Times New Roman"/>
          <w:sz w:val="24"/>
          <w:szCs w:val="24"/>
        </w:rPr>
      </w:pPr>
      <w:bookmarkStart w:id="13" w:name="_Toc216436502"/>
      <w:r w:rsidRPr="001126B2">
        <w:rPr>
          <w:rFonts w:ascii="Times New Roman" w:hAnsi="Times New Roman"/>
          <w:sz w:val="24"/>
          <w:szCs w:val="24"/>
        </w:rPr>
        <w:t>4.1. Брой на колективните договори</w:t>
      </w:r>
      <w:bookmarkEnd w:id="13"/>
    </w:p>
    <w:p w14:paraId="00D32962" w14:textId="77777777" w:rsidR="00364C2D" w:rsidRDefault="005237BC" w:rsidP="00882E92">
      <w:pPr>
        <w:spacing w:line="276" w:lineRule="auto"/>
        <w:ind w:firstLine="720"/>
        <w:jc w:val="both"/>
      </w:pPr>
      <w:r>
        <w:t>При анализа на с</w:t>
      </w:r>
      <w:r w:rsidRPr="005237BC">
        <w:t>ъстояние</w:t>
      </w:r>
      <w:r w:rsidR="00A768EE">
        <w:t>то</w:t>
      </w:r>
      <w:r w:rsidRPr="005237BC">
        <w:t xml:space="preserve"> на колективното договаряне в </w:t>
      </w:r>
      <w:r>
        <w:t xml:space="preserve">страната са изследвани данните за сключените </w:t>
      </w:r>
      <w:r w:rsidR="00F645E1">
        <w:rPr>
          <w:i/>
        </w:rPr>
        <w:t>К</w:t>
      </w:r>
      <w:r w:rsidRPr="008F3A54">
        <w:rPr>
          <w:i/>
        </w:rPr>
        <w:t>олективни трудови договори</w:t>
      </w:r>
      <w:r>
        <w:t xml:space="preserve"> (КТД), уреждащи правата на работещите по трудови правоотношения</w:t>
      </w:r>
      <w:r w:rsidR="00826918">
        <w:t>, както</w:t>
      </w:r>
      <w:r>
        <w:t xml:space="preserve"> и </w:t>
      </w:r>
      <w:r w:rsidR="00F645E1">
        <w:rPr>
          <w:i/>
        </w:rPr>
        <w:t>С</w:t>
      </w:r>
      <w:r w:rsidRPr="008F3A54">
        <w:rPr>
          <w:i/>
        </w:rPr>
        <w:t>поразуменията по ЗДСл</w:t>
      </w:r>
      <w:r>
        <w:t xml:space="preserve"> (С</w:t>
      </w:r>
      <w:r w:rsidR="00913E8A">
        <w:t>З</w:t>
      </w:r>
      <w:r w:rsidR="00200774">
        <w:t>ДСл)</w:t>
      </w:r>
      <w:r>
        <w:t>. Поради обстоятелството, че предметът на КТД и С</w:t>
      </w:r>
      <w:r w:rsidR="00913E8A">
        <w:t>З</w:t>
      </w:r>
      <w:r>
        <w:t xml:space="preserve">ДСл е сравнително </w:t>
      </w:r>
      <w:r w:rsidR="00A97B3C" w:rsidRPr="00B421BD">
        <w:t xml:space="preserve">сходен </w:t>
      </w:r>
      <w:r w:rsidRPr="00B421BD">
        <w:t xml:space="preserve"> – </w:t>
      </w:r>
      <w:r w:rsidR="00200774" w:rsidRPr="00B421BD">
        <w:t>колективно</w:t>
      </w:r>
      <w:r w:rsidR="00A97B3C" w:rsidRPr="00B421BD">
        <w:t xml:space="preserve"> уреждане на трудови права</w:t>
      </w:r>
      <w:r w:rsidR="00200774" w:rsidRPr="00B421BD">
        <w:t xml:space="preserve"> и </w:t>
      </w:r>
      <w:r w:rsidR="00A97B3C" w:rsidRPr="00B421BD">
        <w:t>защита</w:t>
      </w:r>
      <w:r w:rsidR="00200774" w:rsidRPr="00B421BD">
        <w:t xml:space="preserve"> на</w:t>
      </w:r>
      <w:r w:rsidR="00A97B3C" w:rsidRPr="00B421BD">
        <w:t xml:space="preserve"> правата на работниците и служителите/държавните служители пред работодателите/държавните органи по въпросите на трудовите/служебните и осигурителните отношения</w:t>
      </w:r>
      <w:r w:rsidRPr="00B421BD">
        <w:t>, изследването обхваща и двата вида</w:t>
      </w:r>
      <w:r w:rsidR="00826918" w:rsidRPr="00B421BD">
        <w:t xml:space="preserve"> съглашения</w:t>
      </w:r>
      <w:r w:rsidRPr="00B421BD">
        <w:t>, като се използва</w:t>
      </w:r>
      <w:r w:rsidR="00826918" w:rsidRPr="00B421BD">
        <w:t xml:space="preserve"> събирателният </w:t>
      </w:r>
      <w:r w:rsidRPr="00B421BD">
        <w:t>термин</w:t>
      </w:r>
      <w:r w:rsidR="00826918" w:rsidRPr="00B421BD">
        <w:t xml:space="preserve"> колективни договори</w:t>
      </w:r>
      <w:r w:rsidRPr="00B421BD">
        <w:t xml:space="preserve"> </w:t>
      </w:r>
      <w:r w:rsidR="00826918" w:rsidRPr="00B421BD">
        <w:t>(</w:t>
      </w:r>
      <w:r w:rsidRPr="00B421BD">
        <w:t>КД</w:t>
      </w:r>
      <w:r w:rsidR="00826918" w:rsidRPr="00B421BD">
        <w:t>)</w:t>
      </w:r>
      <w:r w:rsidRPr="00B421BD">
        <w:t>.</w:t>
      </w:r>
    </w:p>
    <w:p w14:paraId="3FE74049" w14:textId="77777777" w:rsidR="00882E92" w:rsidRPr="00E835A3" w:rsidRDefault="005237BC" w:rsidP="00E14ED4">
      <w:pPr>
        <w:spacing w:line="276" w:lineRule="auto"/>
        <w:ind w:firstLine="720"/>
        <w:jc w:val="both"/>
      </w:pPr>
      <w:r>
        <w:t>За периода от 2011 г. до края на</w:t>
      </w:r>
      <w:r w:rsidR="00882E92">
        <w:t xml:space="preserve"> 2024</w:t>
      </w:r>
      <w:r w:rsidR="00E835A3" w:rsidRPr="00E835A3">
        <w:t xml:space="preserve"> г. </w:t>
      </w:r>
      <w:r>
        <w:t>има склю</w:t>
      </w:r>
      <w:r w:rsidR="00E835A3" w:rsidRPr="00E835A3">
        <w:t xml:space="preserve">чени общо </w:t>
      </w:r>
      <w:r w:rsidR="004B57E5" w:rsidRPr="00EC12E6">
        <w:t>20 566</w:t>
      </w:r>
      <w:r w:rsidR="004B57E5" w:rsidRPr="004B57E5">
        <w:t xml:space="preserve"> </w:t>
      </w:r>
      <w:r w:rsidR="00003617">
        <w:t>КД</w:t>
      </w:r>
      <w:r>
        <w:t xml:space="preserve"> </w:t>
      </w:r>
      <w:r w:rsidR="00E835A3" w:rsidRPr="00E835A3">
        <w:t>и анекси към тях, като само част от тях са действащи към момента. Понятието „действащи КД“ обхваща КТД и С</w:t>
      </w:r>
      <w:r w:rsidR="00913E8A">
        <w:t>З</w:t>
      </w:r>
      <w:r w:rsidR="00E835A3" w:rsidRPr="00E835A3">
        <w:t>ДСл към определена дата, чиито срок на действие не е изтекъл или уговорения</w:t>
      </w:r>
      <w:r w:rsidR="00826918">
        <w:t>т</w:t>
      </w:r>
      <w:r w:rsidR="00E835A3" w:rsidRPr="00E835A3">
        <w:t xml:space="preserve"> срок е бил продължен с анекс. </w:t>
      </w:r>
    </w:p>
    <w:p w14:paraId="259A0664" w14:textId="77777777" w:rsidR="00E835A3" w:rsidRPr="003819EA" w:rsidRDefault="00E835A3" w:rsidP="004E6FF7">
      <w:pPr>
        <w:spacing w:line="276" w:lineRule="auto"/>
        <w:ind w:firstLine="720"/>
        <w:jc w:val="both"/>
        <w:rPr>
          <w:color w:val="FF0000"/>
        </w:rPr>
      </w:pPr>
      <w:r w:rsidRPr="00E835A3">
        <w:t xml:space="preserve">В регистъра на ИА </w:t>
      </w:r>
      <w:r w:rsidR="00EB7883">
        <w:t>„</w:t>
      </w:r>
      <w:r w:rsidRPr="00E835A3">
        <w:t>ГИТ</w:t>
      </w:r>
      <w:r w:rsidR="00EB7883">
        <w:t>“</w:t>
      </w:r>
      <w:r w:rsidRPr="00E835A3">
        <w:t xml:space="preserve"> към 31.12.202</w:t>
      </w:r>
      <w:r w:rsidR="004B57E5">
        <w:rPr>
          <w:lang w:val="en-US"/>
        </w:rPr>
        <w:t>4</w:t>
      </w:r>
      <w:r w:rsidRPr="00E835A3">
        <w:t xml:space="preserve"> г. са вписани</w:t>
      </w:r>
      <w:r w:rsidR="005237BC">
        <w:t xml:space="preserve"> общо</w:t>
      </w:r>
      <w:r w:rsidRPr="00E835A3">
        <w:t xml:space="preserve"> </w:t>
      </w:r>
      <w:r w:rsidR="004B57E5" w:rsidRPr="00EC12E6">
        <w:t>1 497</w:t>
      </w:r>
      <w:r w:rsidR="004B57E5" w:rsidRPr="004B57E5">
        <w:t xml:space="preserve"> </w:t>
      </w:r>
      <w:r w:rsidRPr="00E835A3">
        <w:t>действащи към този момент</w:t>
      </w:r>
      <w:r w:rsidRPr="00E835A3">
        <w:rPr>
          <w:lang w:val="en-US"/>
        </w:rPr>
        <w:t xml:space="preserve"> </w:t>
      </w:r>
      <w:r w:rsidRPr="00E835A3">
        <w:t>КД на равнище „предприятие“ и в структурит</w:t>
      </w:r>
      <w:r w:rsidR="005237BC">
        <w:t xml:space="preserve">е на държавната администрация. </w:t>
      </w:r>
      <w:r w:rsidR="00826918">
        <w:t>Анализът показва</w:t>
      </w:r>
      <w:r w:rsidR="005237BC">
        <w:t>, че 6</w:t>
      </w:r>
      <w:r w:rsidRPr="00E835A3">
        <w:rPr>
          <w:lang w:val="en-US"/>
        </w:rPr>
        <w:t xml:space="preserve"> </w:t>
      </w:r>
      <w:r w:rsidR="005237BC">
        <w:t xml:space="preserve">от </w:t>
      </w:r>
      <w:r w:rsidR="00826918">
        <w:t>КД</w:t>
      </w:r>
      <w:r w:rsidR="005237BC">
        <w:t xml:space="preserve"> </w:t>
      </w:r>
      <w:r w:rsidRPr="00E835A3">
        <w:t xml:space="preserve">не отговарят на </w:t>
      </w:r>
      <w:r w:rsidR="005237BC" w:rsidRPr="00B421BD">
        <w:rPr>
          <w:color w:val="000000" w:themeColor="text1"/>
        </w:rPr>
        <w:t>изискванията</w:t>
      </w:r>
      <w:r w:rsidR="00130A2B" w:rsidRPr="00B421BD">
        <w:rPr>
          <w:color w:val="000000" w:themeColor="text1"/>
          <w:lang w:val="en-US"/>
        </w:rPr>
        <w:t xml:space="preserve"> </w:t>
      </w:r>
      <w:r w:rsidR="00130A2B" w:rsidRPr="00B421BD">
        <w:rPr>
          <w:color w:val="000000" w:themeColor="text1"/>
        </w:rPr>
        <w:t>на законодателството</w:t>
      </w:r>
      <w:r w:rsidR="005237BC" w:rsidRPr="00B421BD">
        <w:rPr>
          <w:color w:val="000000" w:themeColor="text1"/>
        </w:rPr>
        <w:t xml:space="preserve"> една от страните да е синдикална организация, доколкото </w:t>
      </w:r>
      <w:r w:rsidRPr="00B421BD">
        <w:rPr>
          <w:color w:val="000000" w:themeColor="text1"/>
        </w:rPr>
        <w:t xml:space="preserve">са сключени между работодател </w:t>
      </w:r>
      <w:r w:rsidRPr="00E835A3">
        <w:t>и „работник“</w:t>
      </w:r>
      <w:r w:rsidR="005237BC">
        <w:t>;</w:t>
      </w:r>
      <w:r w:rsidRPr="00E835A3">
        <w:rPr>
          <w:lang w:val="en-US"/>
        </w:rPr>
        <w:t xml:space="preserve"> </w:t>
      </w:r>
      <w:r w:rsidRPr="00E835A3">
        <w:t>„представител на работниците“</w:t>
      </w:r>
      <w:r w:rsidR="005237BC">
        <w:t>;</w:t>
      </w:r>
      <w:r w:rsidRPr="00E835A3">
        <w:t xml:space="preserve"> „представител на служителите“ и</w:t>
      </w:r>
      <w:r w:rsidR="005237BC">
        <w:t>ли</w:t>
      </w:r>
      <w:r w:rsidRPr="00E835A3">
        <w:t xml:space="preserve"> „упълномощени представители</w:t>
      </w:r>
      <w:r w:rsidRPr="00E835A3">
        <w:rPr>
          <w:lang w:val="en-US"/>
        </w:rPr>
        <w:t xml:space="preserve"> </w:t>
      </w:r>
      <w:r w:rsidR="00130A2B">
        <w:t>на колектива“.</w:t>
      </w:r>
    </w:p>
    <w:p w14:paraId="20F3EF6A" w14:textId="77777777" w:rsidR="005237BC" w:rsidRDefault="00E835A3" w:rsidP="004E6FF7">
      <w:pPr>
        <w:spacing w:line="276" w:lineRule="auto"/>
        <w:ind w:firstLine="720"/>
        <w:jc w:val="both"/>
      </w:pPr>
      <w:r w:rsidRPr="00E835A3">
        <w:t>През периода 2011–202</w:t>
      </w:r>
      <w:r w:rsidR="00BE1049">
        <w:rPr>
          <w:lang w:val="en-US"/>
        </w:rPr>
        <w:t>4</w:t>
      </w:r>
      <w:r w:rsidRPr="00E835A3">
        <w:t xml:space="preserve"> г. се наблюдава отчетлива низходяща тенденция в броя на действащите КД на ниво предприятие. През 2011 г. техният брой е бил 2084, а к</w:t>
      </w:r>
      <w:r w:rsidR="005237BC">
        <w:t>ъм 202</w:t>
      </w:r>
      <w:r w:rsidR="00BE1049">
        <w:rPr>
          <w:lang w:val="en-US"/>
        </w:rPr>
        <w:t>4</w:t>
      </w:r>
      <w:r w:rsidR="005237BC">
        <w:t xml:space="preserve"> г. той намалява до </w:t>
      </w:r>
      <w:r w:rsidR="005237BC" w:rsidRPr="00EC12E6">
        <w:t>14</w:t>
      </w:r>
      <w:r w:rsidR="004B57E5" w:rsidRPr="00EC12E6">
        <w:rPr>
          <w:lang w:val="en-US"/>
        </w:rPr>
        <w:t>9</w:t>
      </w:r>
      <w:r w:rsidR="005237BC" w:rsidRPr="00EC12E6">
        <w:t>7</w:t>
      </w:r>
      <w:r w:rsidR="005237BC">
        <w:t xml:space="preserve">. Това </w:t>
      </w:r>
      <w:r w:rsidRPr="00E835A3">
        <w:t xml:space="preserve">представлява спад от </w:t>
      </w:r>
      <w:r w:rsidR="00882E92">
        <w:t>около</w:t>
      </w:r>
      <w:r w:rsidRPr="00E835A3">
        <w:t xml:space="preserve"> 30%. </w:t>
      </w:r>
    </w:p>
    <w:p w14:paraId="49347B1E" w14:textId="77777777" w:rsidR="00E14ED4" w:rsidRPr="008C13AC" w:rsidRDefault="00E835A3" w:rsidP="004E6FF7">
      <w:pPr>
        <w:spacing w:line="276" w:lineRule="auto"/>
        <w:ind w:firstLine="720"/>
        <w:jc w:val="both"/>
      </w:pPr>
      <w:r w:rsidRPr="00E835A3">
        <w:t xml:space="preserve">Данните </w:t>
      </w:r>
      <w:r w:rsidR="005237BC">
        <w:t>показват</w:t>
      </w:r>
      <w:r w:rsidRPr="00E835A3">
        <w:t xml:space="preserve"> значително редуциране на </w:t>
      </w:r>
      <w:r w:rsidR="005237BC">
        <w:t>броя на КТД</w:t>
      </w:r>
      <w:r w:rsidRPr="00E835A3">
        <w:t xml:space="preserve"> в частния сектор</w:t>
      </w:r>
      <w:r w:rsidR="00826918">
        <w:t>. Това се</w:t>
      </w:r>
      <w:r w:rsidRPr="00E835A3">
        <w:t xml:space="preserve"> дължи на </w:t>
      </w:r>
      <w:r w:rsidR="005237BC">
        <w:t>промяната в структурата</w:t>
      </w:r>
      <w:r w:rsidRPr="00E835A3">
        <w:t xml:space="preserve"> на предприятията, намалена синдикална </w:t>
      </w:r>
      <w:r w:rsidR="005237BC">
        <w:t>плътност</w:t>
      </w:r>
      <w:r w:rsidRPr="00E835A3">
        <w:t xml:space="preserve"> и по-ниска</w:t>
      </w:r>
      <w:r w:rsidR="005237BC">
        <w:t>та</w:t>
      </w:r>
      <w:r w:rsidRPr="00E835A3">
        <w:t xml:space="preserve"> ангажираност от страна на</w:t>
      </w:r>
      <w:r w:rsidR="005237BC">
        <w:t xml:space="preserve"> някои от</w:t>
      </w:r>
      <w:r w:rsidRPr="00E835A3">
        <w:t xml:space="preserve"> работодателите.</w:t>
      </w:r>
      <w:r w:rsidR="005237BC">
        <w:t xml:space="preserve"> </w:t>
      </w:r>
      <w:r w:rsidRPr="00E835A3">
        <w:t xml:space="preserve">В същото време, в публичния сектор, и по-конкретно в администрацията, се наблюдава плавно нарастване – от 112 </w:t>
      </w:r>
    </w:p>
    <w:p w14:paraId="7D63FDEB" w14:textId="77777777" w:rsidR="00E14ED4" w:rsidRPr="00E835A3" w:rsidRDefault="00E835A3" w:rsidP="008C13AC">
      <w:pPr>
        <w:spacing w:line="276" w:lineRule="auto"/>
        <w:jc w:val="both"/>
      </w:pPr>
      <w:r w:rsidRPr="00E835A3">
        <w:t>действащи С</w:t>
      </w:r>
      <w:r w:rsidR="00913E8A">
        <w:t>З</w:t>
      </w:r>
      <w:r w:rsidRPr="00E835A3">
        <w:t xml:space="preserve">ДСл през 2011 г. до </w:t>
      </w:r>
      <w:r w:rsidR="00EB76E9" w:rsidRPr="00EC12E6">
        <w:rPr>
          <w:lang w:val="en-US"/>
        </w:rPr>
        <w:t>176</w:t>
      </w:r>
      <w:r w:rsidR="00EB76E9" w:rsidRPr="00E835A3">
        <w:t xml:space="preserve"> </w:t>
      </w:r>
      <w:r w:rsidRPr="00E835A3">
        <w:t>през 202</w:t>
      </w:r>
      <w:r w:rsidR="00EB76E9">
        <w:rPr>
          <w:lang w:val="en-US"/>
        </w:rPr>
        <w:t>4</w:t>
      </w:r>
      <w:r w:rsidRPr="00E835A3">
        <w:t xml:space="preserve"> г.</w:t>
      </w:r>
      <w:r w:rsidR="005237BC">
        <w:t xml:space="preserve"> Тенденцията на ръст при </w:t>
      </w:r>
      <w:r w:rsidR="005237BC" w:rsidRPr="00E835A3">
        <w:t>С</w:t>
      </w:r>
      <w:r w:rsidR="00913E8A">
        <w:t>З</w:t>
      </w:r>
      <w:r w:rsidR="005237BC" w:rsidRPr="00E835A3">
        <w:t>ДСл</w:t>
      </w:r>
      <w:r w:rsidR="005237BC">
        <w:t xml:space="preserve"> е устойчива </w:t>
      </w:r>
      <w:r w:rsidRPr="00E835A3">
        <w:t>през последните години.</w:t>
      </w:r>
    </w:p>
    <w:p w14:paraId="00112047" w14:textId="77777777" w:rsidR="00E835A3" w:rsidRPr="00E835A3" w:rsidRDefault="00E835A3" w:rsidP="004E6FF7">
      <w:pPr>
        <w:spacing w:line="276" w:lineRule="auto"/>
        <w:ind w:firstLine="720"/>
        <w:jc w:val="both"/>
      </w:pPr>
      <w:r w:rsidRPr="00E835A3">
        <w:lastRenderedPageBreak/>
        <w:t>На браншово/отраслово ниво броят на договор</w:t>
      </w:r>
      <w:r w:rsidR="005237BC">
        <w:t>ите е с тенденция за спад, въпреки относително малкия</w:t>
      </w:r>
      <w:r w:rsidR="00A768EE">
        <w:t>т</w:t>
      </w:r>
      <w:r w:rsidR="005237BC">
        <w:t xml:space="preserve"> брой на сключените колективни договори </w:t>
      </w:r>
      <w:r w:rsidRPr="00E835A3">
        <w:t xml:space="preserve">– от 21 през 2011 г. до </w:t>
      </w:r>
      <w:r w:rsidRPr="00EC12E6">
        <w:t>1</w:t>
      </w:r>
      <w:r w:rsidR="00EB76E9" w:rsidRPr="00EC12E6">
        <w:rPr>
          <w:lang w:val="en-US"/>
        </w:rPr>
        <w:t>5</w:t>
      </w:r>
      <w:r w:rsidRPr="00E835A3">
        <w:t xml:space="preserve"> през 202</w:t>
      </w:r>
      <w:r w:rsidR="00EB76E9">
        <w:rPr>
          <w:lang w:val="en-US"/>
        </w:rPr>
        <w:t>4</w:t>
      </w:r>
      <w:r w:rsidRPr="00E835A3">
        <w:t xml:space="preserve"> г. При общинските договори тенденцията е без ясно изразена посока – броя</w:t>
      </w:r>
      <w:r w:rsidR="005237BC">
        <w:t>т</w:t>
      </w:r>
      <w:r w:rsidRPr="00E835A3">
        <w:t xml:space="preserve"> на действащите КТД варира в диапазона 48–63, като към края на 202</w:t>
      </w:r>
      <w:r w:rsidR="00EB76E9">
        <w:rPr>
          <w:lang w:val="en-US"/>
        </w:rPr>
        <w:t>4</w:t>
      </w:r>
      <w:r w:rsidRPr="00E835A3">
        <w:t xml:space="preserve"> г. те са </w:t>
      </w:r>
      <w:r w:rsidRPr="00EC12E6">
        <w:t>5</w:t>
      </w:r>
      <w:r w:rsidR="00EB76E9" w:rsidRPr="00EC12E6">
        <w:rPr>
          <w:lang w:val="en-US"/>
        </w:rPr>
        <w:t>8</w:t>
      </w:r>
      <w:r w:rsidRPr="00E835A3">
        <w:t>.</w:t>
      </w:r>
    </w:p>
    <w:p w14:paraId="2C0FF9AB" w14:textId="77777777" w:rsidR="00E835A3" w:rsidRPr="00E835A3" w:rsidRDefault="00E835A3" w:rsidP="004E6FF7">
      <w:pPr>
        <w:spacing w:line="276" w:lineRule="auto"/>
        <w:ind w:firstLine="720"/>
        <w:jc w:val="both"/>
      </w:pPr>
      <w:r w:rsidRPr="00E835A3">
        <w:t xml:space="preserve">Общият брой на действащите </w:t>
      </w:r>
      <w:r w:rsidR="00597316">
        <w:t>КД</w:t>
      </w:r>
      <w:r w:rsidRPr="00E835A3">
        <w:rPr>
          <w:lang w:val="en-US"/>
        </w:rPr>
        <w:t xml:space="preserve"> e</w:t>
      </w:r>
      <w:r w:rsidRPr="00E835A3">
        <w:t xml:space="preserve"> индикатор за общото състояние на колективното договаряне и показва ясна низходяща тенденция: от 2153 през 2011 г. до </w:t>
      </w:r>
      <w:r w:rsidR="00EB76E9" w:rsidRPr="00EC12E6">
        <w:rPr>
          <w:lang w:val="en-US"/>
        </w:rPr>
        <w:t>1497</w:t>
      </w:r>
      <w:r w:rsidR="00EB76E9" w:rsidRPr="00E835A3">
        <w:t xml:space="preserve"> </w:t>
      </w:r>
      <w:r w:rsidRPr="00E835A3">
        <w:t>през 202</w:t>
      </w:r>
      <w:r w:rsidR="00EB76E9">
        <w:rPr>
          <w:lang w:val="en-US"/>
        </w:rPr>
        <w:t>4</w:t>
      </w:r>
      <w:r w:rsidRPr="00E835A3">
        <w:t xml:space="preserve"> г., с най-висока стойност през 2012 г. (2290) и постоянен спад след това.</w:t>
      </w:r>
    </w:p>
    <w:p w14:paraId="7BE9DF99" w14:textId="77777777" w:rsidR="00E835A3" w:rsidRPr="00E835A3" w:rsidRDefault="00E835A3" w:rsidP="004E6FF7">
      <w:pPr>
        <w:spacing w:line="276" w:lineRule="auto"/>
        <w:ind w:firstLine="720"/>
        <w:jc w:val="both"/>
      </w:pPr>
      <w:r w:rsidRPr="00E835A3">
        <w:t>Сключените КД през 202</w:t>
      </w:r>
      <w:r w:rsidR="00220667">
        <w:t>4</w:t>
      </w:r>
      <w:r w:rsidRPr="00E835A3">
        <w:t xml:space="preserve"> г. са общо </w:t>
      </w:r>
      <w:r w:rsidR="00EC12E6" w:rsidRPr="00EC12E6">
        <w:rPr>
          <w:lang w:val="en-US"/>
        </w:rPr>
        <w:t>897</w:t>
      </w:r>
      <w:r w:rsidRPr="00E835A3">
        <w:t xml:space="preserve">, а сключените анекси към действащи КД са </w:t>
      </w:r>
      <w:r w:rsidR="00EC12E6" w:rsidRPr="00EC12E6">
        <w:rPr>
          <w:lang w:val="en-US"/>
        </w:rPr>
        <w:t>298</w:t>
      </w:r>
      <w:r w:rsidR="00220667">
        <w:t xml:space="preserve"> </w:t>
      </w:r>
      <w:r w:rsidRPr="00E835A3">
        <w:t xml:space="preserve">на брой. </w:t>
      </w:r>
      <w:r w:rsidR="00597316" w:rsidRPr="00E835A3">
        <w:t>Преобладаващата</w:t>
      </w:r>
      <w:r w:rsidR="00597316">
        <w:t xml:space="preserve"> част от тях (</w:t>
      </w:r>
      <w:r w:rsidRPr="00E835A3">
        <w:t>80% от всички) са сключени за максималния допустим срок от 2 години. Значителна разлика се забелязва в съотношението на сключените КД средно за</w:t>
      </w:r>
      <w:r w:rsidR="00597316">
        <w:t xml:space="preserve"> </w:t>
      </w:r>
      <w:r w:rsidRPr="00E835A3">
        <w:t xml:space="preserve">изследвания период между предприятията от обществения и частния сектор. </w:t>
      </w:r>
    </w:p>
    <w:p w14:paraId="5633ED30" w14:textId="77777777" w:rsidR="00E835A3" w:rsidRDefault="00E835A3" w:rsidP="004E6FF7">
      <w:pPr>
        <w:spacing w:line="276" w:lineRule="auto"/>
        <w:ind w:firstLine="720"/>
        <w:jc w:val="both"/>
      </w:pPr>
      <w:r w:rsidRPr="00E835A3">
        <w:t xml:space="preserve">От общо сключени </w:t>
      </w:r>
      <w:r w:rsidR="00EC12E6" w:rsidRPr="00EC12E6">
        <w:rPr>
          <w:lang w:val="en-US"/>
        </w:rPr>
        <w:t>897</w:t>
      </w:r>
      <w:r w:rsidR="00220667" w:rsidRPr="00E835A3">
        <w:t xml:space="preserve"> </w:t>
      </w:r>
      <w:r w:rsidR="00597316">
        <w:t>КД</w:t>
      </w:r>
      <w:r w:rsidRPr="00E835A3">
        <w:t xml:space="preserve"> през 202</w:t>
      </w:r>
      <w:r w:rsidR="00BE1049">
        <w:rPr>
          <w:lang w:val="en-US"/>
        </w:rPr>
        <w:t>4</w:t>
      </w:r>
      <w:r w:rsidRPr="00E835A3">
        <w:t xml:space="preserve"> г., </w:t>
      </w:r>
      <w:r w:rsidR="00EC12E6" w:rsidRPr="00EC12E6">
        <w:rPr>
          <w:lang w:val="en-US"/>
        </w:rPr>
        <w:t>8</w:t>
      </w:r>
      <w:r w:rsidR="00EB76E9" w:rsidRPr="00EC12E6">
        <w:rPr>
          <w:lang w:val="en-US"/>
        </w:rPr>
        <w:t>07</w:t>
      </w:r>
      <w:r w:rsidR="00EB76E9" w:rsidRPr="00E835A3">
        <w:t xml:space="preserve"> </w:t>
      </w:r>
      <w:r w:rsidRPr="00E835A3">
        <w:t xml:space="preserve">са на равнище предприятие, </w:t>
      </w:r>
      <w:r w:rsidR="00EC12E6" w:rsidRPr="00EC12E6">
        <w:rPr>
          <w:lang w:val="en-US"/>
        </w:rPr>
        <w:t>7</w:t>
      </w:r>
      <w:r w:rsidRPr="00E835A3">
        <w:t xml:space="preserve"> са отраслови/браншови и </w:t>
      </w:r>
      <w:r w:rsidR="00EC12E6" w:rsidRPr="00EC12E6">
        <w:rPr>
          <w:lang w:val="en-US"/>
        </w:rPr>
        <w:t>83</w:t>
      </w:r>
      <w:r w:rsidR="00BE1049" w:rsidRPr="00E835A3">
        <w:t xml:space="preserve"> </w:t>
      </w:r>
      <w:r w:rsidRPr="00E835A3">
        <w:t xml:space="preserve">са на равнище община. Въпреки нарастването с близо </w:t>
      </w:r>
      <w:r w:rsidR="00EC12E6" w:rsidRPr="00EC12E6">
        <w:rPr>
          <w:lang w:val="en-US"/>
        </w:rPr>
        <w:t>10</w:t>
      </w:r>
      <w:r w:rsidRPr="00EC12E6">
        <w:t>%</w:t>
      </w:r>
      <w:r w:rsidRPr="00E835A3">
        <w:t xml:space="preserve"> пункта на динамиката на сключените договори и анекси за 202</w:t>
      </w:r>
      <w:r w:rsidR="00EC12E6">
        <w:rPr>
          <w:lang w:val="en-US"/>
        </w:rPr>
        <w:t>3</w:t>
      </w:r>
      <w:r w:rsidRPr="00E835A3">
        <w:t xml:space="preserve"> г. спрямо предходната година на равнище „предприятие“, </w:t>
      </w:r>
      <w:r w:rsidR="00EC12E6">
        <w:t xml:space="preserve">през 2024 г. </w:t>
      </w:r>
      <w:r w:rsidRPr="00E835A3">
        <w:t>общата тенденция към намаление на техния брой се запазва. В държавната администрация тенденцията е противоположна – значително нарастват сключените споразумения за държавния служител, като се наблюдава ръст и при сключените КТД и анекси.</w:t>
      </w:r>
    </w:p>
    <w:p w14:paraId="211F26FA" w14:textId="77777777" w:rsidR="00597316" w:rsidRPr="00E835A3" w:rsidRDefault="00597316" w:rsidP="00882E92">
      <w:pPr>
        <w:spacing w:line="276" w:lineRule="auto"/>
        <w:jc w:val="both"/>
      </w:pPr>
    </w:p>
    <w:p w14:paraId="432704CF" w14:textId="77777777" w:rsidR="00D97DB9" w:rsidRDefault="002F0A12" w:rsidP="00882E92">
      <w:pPr>
        <w:spacing w:line="276" w:lineRule="auto"/>
        <w:jc w:val="both"/>
        <w:rPr>
          <w:lang w:val="en-US"/>
        </w:rPr>
      </w:pPr>
      <w:r>
        <w:rPr>
          <w:lang w:val="en-US"/>
        </w:rPr>
        <w:pict w14:anchorId="0E64B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32.1pt">
            <v:imagedata r:id="rId9" o:title="2024_КТД_действащи общо, предприятия и администрация"/>
          </v:shape>
        </w:pict>
      </w:r>
    </w:p>
    <w:p w14:paraId="4AF057AF" w14:textId="77777777" w:rsidR="00882E92" w:rsidRPr="00882E92" w:rsidRDefault="00882E92" w:rsidP="00882E92">
      <w:pPr>
        <w:spacing w:line="276" w:lineRule="auto"/>
        <w:jc w:val="both"/>
        <w:rPr>
          <w:lang w:val="en-US"/>
        </w:rPr>
      </w:pPr>
    </w:p>
    <w:p w14:paraId="0160B04A" w14:textId="77777777" w:rsidR="00E14ED4" w:rsidRDefault="00D97DB9" w:rsidP="00E14ED4">
      <w:pPr>
        <w:spacing w:line="276" w:lineRule="auto"/>
        <w:ind w:firstLine="720"/>
        <w:jc w:val="both"/>
      </w:pPr>
      <w:r>
        <w:t xml:space="preserve">Тенденцията за намаляване на броя на КД освен на ниво предприятия е видима и на ниво отрасъл и бранш, макар и да има отчетено минимално </w:t>
      </w:r>
      <w:r w:rsidR="00826918">
        <w:t>покачване</w:t>
      </w:r>
      <w:r>
        <w:t xml:space="preserve"> през 202</w:t>
      </w:r>
      <w:r w:rsidR="005C2996">
        <w:rPr>
          <w:lang w:val="en-US"/>
        </w:rPr>
        <w:t>4</w:t>
      </w:r>
      <w:r>
        <w:t xml:space="preserve"> г. На общинско ниво има запазване на нивото на сключените КД през периода, като през 202</w:t>
      </w:r>
      <w:r w:rsidR="005C2996">
        <w:rPr>
          <w:lang w:val="en-US"/>
        </w:rPr>
        <w:t>4</w:t>
      </w:r>
      <w:r>
        <w:t xml:space="preserve"> г. отново има положителна тенденция за повишаване на</w:t>
      </w:r>
      <w:r w:rsidR="00826918">
        <w:t xml:space="preserve"> техния</w:t>
      </w:r>
      <w:r>
        <w:t xml:space="preserve"> бро</w:t>
      </w:r>
      <w:r w:rsidR="00826918">
        <w:t>й</w:t>
      </w:r>
      <w:r>
        <w:t>.</w:t>
      </w:r>
      <w:r w:rsidR="001421F9">
        <w:t xml:space="preserve"> </w:t>
      </w:r>
      <w:r w:rsidR="00527E25" w:rsidRPr="00527E25">
        <w:t xml:space="preserve">Общият брой на действащите договори и споразумения в страната към края на всяка година постепенно намалява. Въпреки това, за 2024 г. се отчита ръст в сравнение с предходната година. Общият брой на всички КТД/СДСл по равнища на договаряне нараства с 3.4% пункта, съответно при КТД с 3.2% пункта, при СДСл – със 6.7% пункта. </w:t>
      </w:r>
    </w:p>
    <w:p w14:paraId="7557C6F2" w14:textId="77777777" w:rsidR="00E14ED4" w:rsidRDefault="00E14ED4" w:rsidP="00E14ED4">
      <w:pPr>
        <w:spacing w:line="276" w:lineRule="auto"/>
        <w:ind w:firstLine="720"/>
        <w:jc w:val="both"/>
      </w:pPr>
      <w:r>
        <w:t>---------------------</w:t>
      </w:r>
    </w:p>
    <w:p w14:paraId="4378175E" w14:textId="77777777" w:rsidR="00E14ED4" w:rsidRDefault="00E14ED4" w:rsidP="00E14ED4">
      <w:pPr>
        <w:spacing w:line="276" w:lineRule="auto"/>
        <w:ind w:firstLine="720"/>
        <w:jc w:val="both"/>
      </w:pPr>
    </w:p>
    <w:p w14:paraId="71255447" w14:textId="77777777" w:rsidR="00E14ED4" w:rsidRDefault="00E14ED4" w:rsidP="004E6FF7">
      <w:pPr>
        <w:spacing w:line="276" w:lineRule="auto"/>
        <w:ind w:firstLine="720"/>
        <w:jc w:val="both"/>
      </w:pPr>
    </w:p>
    <w:p w14:paraId="401F0D8C" w14:textId="77777777" w:rsidR="00D97DB9" w:rsidRDefault="00D97DB9" w:rsidP="00882E92">
      <w:pPr>
        <w:spacing w:line="276" w:lineRule="auto"/>
        <w:jc w:val="both"/>
        <w:rPr>
          <w:lang w:val="en-US"/>
        </w:rPr>
      </w:pPr>
    </w:p>
    <w:p w14:paraId="0257811D" w14:textId="77777777" w:rsidR="00C82DD8" w:rsidRPr="00882E92" w:rsidRDefault="002F0A12" w:rsidP="00D97DB9">
      <w:pPr>
        <w:pStyle w:val="NormalWeb"/>
        <w:rPr>
          <w:lang w:val="en-US"/>
        </w:rPr>
      </w:pPr>
      <w:r>
        <w:rPr>
          <w:lang w:val="en-US"/>
        </w:rPr>
        <w:pict w14:anchorId="48718DBA">
          <v:shape id="_x0000_i1026" type="#_x0000_t75" style="width:468pt;height:232.1pt">
            <v:imagedata r:id="rId10" o:title="2024_КТД_действащи браншови и общински"/>
          </v:shape>
        </w:pict>
      </w:r>
    </w:p>
    <w:p w14:paraId="7200F36C" w14:textId="77777777" w:rsidR="00882E92" w:rsidRDefault="00882E92" w:rsidP="004E6FF7">
      <w:pPr>
        <w:spacing w:line="276" w:lineRule="auto"/>
        <w:ind w:firstLine="720"/>
        <w:jc w:val="both"/>
      </w:pPr>
      <w:r w:rsidRPr="00882E92">
        <w:t>Тенденцията при действащите КТД на равнище „Отрасъл/Бранш“ също е негативна, въпреки нарастването за последните три години. На общинско равнище на договаряне броят на КТД за дейности, финансирани от общинския бюджет, устойчиво поддържа ниво над достигнатото през 2011 г., като се отбелязва 20.8% пункта увеличение за 2024 г. в сравнение с 2011 г.</w:t>
      </w:r>
    </w:p>
    <w:p w14:paraId="298777CA" w14:textId="77777777" w:rsidR="00D97DB9" w:rsidRDefault="00D97DB9" w:rsidP="004E6FF7">
      <w:pPr>
        <w:spacing w:line="276" w:lineRule="auto"/>
        <w:ind w:firstLine="720"/>
        <w:jc w:val="both"/>
      </w:pPr>
      <w:r>
        <w:t xml:space="preserve">Следва да </w:t>
      </w:r>
      <w:r w:rsidR="00831CAC">
        <w:t xml:space="preserve">се </w:t>
      </w:r>
      <w:r>
        <w:t xml:space="preserve">отчете, че </w:t>
      </w:r>
      <w:r w:rsidR="001F2710">
        <w:t xml:space="preserve">социалните партньори </w:t>
      </w:r>
      <w:r w:rsidR="00681064">
        <w:t>не показват</w:t>
      </w:r>
      <w:r w:rsidR="00826918" w:rsidRPr="003819EA">
        <w:rPr>
          <w:color w:val="FF0000"/>
        </w:rPr>
        <w:t xml:space="preserve"> </w:t>
      </w:r>
      <w:r w:rsidR="003819EA" w:rsidRPr="00681064">
        <w:rPr>
          <w:color w:val="000000" w:themeColor="text1"/>
        </w:rPr>
        <w:t xml:space="preserve">взаимен </w:t>
      </w:r>
      <w:r w:rsidR="00826918">
        <w:t xml:space="preserve">интерес към </w:t>
      </w:r>
      <w:r>
        <w:t>механизм</w:t>
      </w:r>
      <w:r w:rsidR="00826918">
        <w:t>а з</w:t>
      </w:r>
      <w:r>
        <w:t>а разпростиране на колективното договаряне</w:t>
      </w:r>
      <w:r w:rsidR="00826918">
        <w:t>, като той се използва много ограничено</w:t>
      </w:r>
      <w:r>
        <w:t xml:space="preserve">. Разпростирането традиционно се иска и се извършва единствено по отношение на работещите в пивоварния бранш. Към момента това е единственият действащ </w:t>
      </w:r>
      <w:r w:rsidR="00826918">
        <w:t xml:space="preserve">браншови </w:t>
      </w:r>
      <w:r>
        <w:t>колективен трудов договор, който е разпрострян със заповед на министъра на труда и социалната политика.</w:t>
      </w:r>
    </w:p>
    <w:p w14:paraId="4D0B4D09" w14:textId="77777777" w:rsidR="00597316" w:rsidRDefault="004325AF" w:rsidP="000D5749">
      <w:pPr>
        <w:spacing w:line="276" w:lineRule="auto"/>
        <w:ind w:firstLine="720"/>
        <w:jc w:val="both"/>
      </w:pPr>
      <w:r w:rsidRPr="004325AF">
        <w:t>Данните за периода 20</w:t>
      </w:r>
      <w:r w:rsidR="00DD506B">
        <w:rPr>
          <w:lang w:val="en-US"/>
        </w:rPr>
        <w:t>10</w:t>
      </w:r>
      <w:r w:rsidRPr="004325AF">
        <w:t>-202</w:t>
      </w:r>
      <w:r w:rsidR="00DD506B">
        <w:rPr>
          <w:lang w:val="en-US"/>
        </w:rPr>
        <w:t>4</w:t>
      </w:r>
      <w:r w:rsidRPr="004325AF">
        <w:t xml:space="preserve"> г. показват, че най-голям е броят на сключените договори на равнище „предприятие“ в образованието, здравеопазването и преработващата промишленост. В условно определяния за „реален“ сектор – селско стопанство, индустрия и търговия, сключените договори и анекси средно за изследвания период са 27.9%, а в сектора, определян „на бюджетна издръжка“ – образование, здравеопазване, държавно управление и култура, сключените договори съставляват средно 72.1%. В индустриалния сектор средно за периода 20</w:t>
      </w:r>
      <w:r w:rsidR="001F2710">
        <w:rPr>
          <w:lang w:val="en-US"/>
        </w:rPr>
        <w:t>10</w:t>
      </w:r>
      <w:r w:rsidRPr="004325AF">
        <w:t>-20</w:t>
      </w:r>
      <w:r w:rsidR="001F2710">
        <w:rPr>
          <w:lang w:val="en-US"/>
        </w:rPr>
        <w:t>24</w:t>
      </w:r>
      <w:r w:rsidRPr="004325AF">
        <w:t xml:space="preserve"> г. над половината от сключените договори и анекси се отчитат в преработващата промишленост, като добивната промишленост и енергетиката имат сходен дял от около 10%, а сключените договори в предприятията от водния сектор достигат 18%. Най-малък е относителният им дял в строителството – 5%.</w:t>
      </w:r>
      <w:r w:rsidR="001421F9">
        <w:t xml:space="preserve"> </w:t>
      </w:r>
      <w:r w:rsidR="00597316">
        <w:t xml:space="preserve">Тези данни се потвърждават и от </w:t>
      </w:r>
      <w:r w:rsidR="00E835A3" w:rsidRPr="00E835A3">
        <w:t>разделение</w:t>
      </w:r>
      <w:r w:rsidR="00597316">
        <w:t xml:space="preserve">то на сключените КД </w:t>
      </w:r>
      <w:r w:rsidR="00E835A3" w:rsidRPr="00E835A3">
        <w:t>по икономически дейности, като с най-голям дял са сключените в сектор „Образование“ (</w:t>
      </w:r>
      <w:r w:rsidRPr="000D5749">
        <w:t>365</w:t>
      </w:r>
      <w:r w:rsidR="00E835A3" w:rsidRPr="00E835A3">
        <w:t xml:space="preserve">), на следващо място </w:t>
      </w:r>
      <w:r w:rsidR="00597316" w:rsidRPr="00E835A3">
        <w:t>„</w:t>
      </w:r>
      <w:r w:rsidR="00597316">
        <w:t>Хуманно з</w:t>
      </w:r>
      <w:r w:rsidR="00597316" w:rsidRPr="00E835A3">
        <w:t>дравеопазване</w:t>
      </w:r>
      <w:r w:rsidR="00597316">
        <w:t xml:space="preserve"> и социална работа</w:t>
      </w:r>
      <w:r w:rsidR="00597316" w:rsidRPr="00E835A3">
        <w:t>“ (</w:t>
      </w:r>
      <w:r w:rsidRPr="000D5749">
        <w:t>212</w:t>
      </w:r>
      <w:r w:rsidR="00597316" w:rsidRPr="00E835A3">
        <w:t>)</w:t>
      </w:r>
      <w:r w:rsidR="00597316">
        <w:t xml:space="preserve">, а едва на трето място е сектор </w:t>
      </w:r>
      <w:r w:rsidR="00E835A3" w:rsidRPr="00E835A3">
        <w:t>„</w:t>
      </w:r>
      <w:r>
        <w:t>Държавно упра</w:t>
      </w:r>
      <w:r w:rsidR="001421F9">
        <w:t>в</w:t>
      </w:r>
      <w:r>
        <w:t>ление</w:t>
      </w:r>
      <w:r w:rsidR="00E835A3" w:rsidRPr="00E835A3">
        <w:t>“ (</w:t>
      </w:r>
      <w:r w:rsidR="00E835A3" w:rsidRPr="000D5749">
        <w:t>1</w:t>
      </w:r>
      <w:r w:rsidRPr="000D5749">
        <w:t>00</w:t>
      </w:r>
      <w:r w:rsidR="00E835A3" w:rsidRPr="00E835A3">
        <w:t>).</w:t>
      </w:r>
    </w:p>
    <w:p w14:paraId="45972524" w14:textId="77777777" w:rsidR="00E835A3" w:rsidRPr="001126B2" w:rsidRDefault="00E835A3" w:rsidP="001126B2">
      <w:pPr>
        <w:pStyle w:val="Heading3"/>
        <w:numPr>
          <w:ilvl w:val="0"/>
          <w:numId w:val="0"/>
        </w:numPr>
        <w:jc w:val="center"/>
        <w:rPr>
          <w:rFonts w:ascii="Times New Roman" w:hAnsi="Times New Roman"/>
          <w:sz w:val="24"/>
          <w:szCs w:val="24"/>
        </w:rPr>
      </w:pPr>
      <w:bookmarkStart w:id="14" w:name="_Toc216436503"/>
      <w:r w:rsidRPr="001126B2">
        <w:rPr>
          <w:rFonts w:ascii="Times New Roman" w:hAnsi="Times New Roman"/>
          <w:sz w:val="24"/>
          <w:szCs w:val="24"/>
        </w:rPr>
        <w:lastRenderedPageBreak/>
        <w:t>4.</w:t>
      </w:r>
      <w:r w:rsidR="00D97DB9" w:rsidRPr="001126B2">
        <w:rPr>
          <w:rFonts w:ascii="Times New Roman" w:hAnsi="Times New Roman"/>
          <w:sz w:val="24"/>
          <w:szCs w:val="24"/>
        </w:rPr>
        <w:t>2.</w:t>
      </w:r>
      <w:r w:rsidRPr="001126B2">
        <w:rPr>
          <w:rFonts w:ascii="Times New Roman" w:hAnsi="Times New Roman"/>
          <w:sz w:val="24"/>
          <w:szCs w:val="24"/>
        </w:rPr>
        <w:t xml:space="preserve"> Обхват </w:t>
      </w:r>
      <w:r w:rsidR="00D97DB9" w:rsidRPr="001126B2">
        <w:rPr>
          <w:rFonts w:ascii="Times New Roman" w:hAnsi="Times New Roman"/>
          <w:sz w:val="24"/>
          <w:szCs w:val="24"/>
        </w:rPr>
        <w:t>спря</w:t>
      </w:r>
      <w:r w:rsidR="00831CAC" w:rsidRPr="001126B2">
        <w:rPr>
          <w:rFonts w:ascii="Times New Roman" w:hAnsi="Times New Roman"/>
          <w:sz w:val="24"/>
          <w:szCs w:val="24"/>
        </w:rPr>
        <w:t>м</w:t>
      </w:r>
      <w:r w:rsidR="00D97DB9" w:rsidRPr="001126B2">
        <w:rPr>
          <w:rFonts w:ascii="Times New Roman" w:hAnsi="Times New Roman"/>
          <w:sz w:val="24"/>
          <w:szCs w:val="24"/>
        </w:rPr>
        <w:t>о лицата, за които се прилагат колективните договори</w:t>
      </w:r>
      <w:bookmarkEnd w:id="14"/>
    </w:p>
    <w:p w14:paraId="5278ABDF" w14:textId="77777777" w:rsidR="00E835A3" w:rsidRDefault="00D97DB9" w:rsidP="004E6FF7">
      <w:pPr>
        <w:spacing w:line="276" w:lineRule="auto"/>
        <w:ind w:firstLine="720"/>
        <w:jc w:val="both"/>
      </w:pPr>
      <w:r>
        <w:t>Обратно на тенденцията за намаляване на общия брой на КД п</w:t>
      </w:r>
      <w:r w:rsidR="00E835A3" w:rsidRPr="00E835A3">
        <w:t xml:space="preserve">рез периода 2011–2023 г. се наблюдава общо нарастване на броя на наетите лица, обхванати от действащи </w:t>
      </w:r>
      <w:r w:rsidR="00697589">
        <w:t>КД</w:t>
      </w:r>
      <w:r w:rsidR="00E835A3" w:rsidRPr="00E835A3">
        <w:t>.</w:t>
      </w:r>
      <w:r w:rsidR="00697589">
        <w:t xml:space="preserve"> </w:t>
      </w:r>
      <w:r w:rsidR="00E835A3" w:rsidRPr="00E835A3">
        <w:t>През 2011 г. броят на обхванатите лица</w:t>
      </w:r>
      <w:r w:rsidR="00826918">
        <w:t xml:space="preserve"> от колективно договаряне</w:t>
      </w:r>
      <w:r w:rsidR="00E835A3" w:rsidRPr="00E835A3">
        <w:t xml:space="preserve"> е 324 557. До 2012 г. той нараства до 361 783, след което следва лек спад и стабилизация около 345–348 хиляди в периода 2013–2015 г. След 2016 г. броят започва отново да нараства, достигайки </w:t>
      </w:r>
      <w:r w:rsidR="00697589">
        <w:t>най-високата стойност от</w:t>
      </w:r>
      <w:r w:rsidR="00E835A3" w:rsidRPr="00E835A3">
        <w:t xml:space="preserve"> </w:t>
      </w:r>
      <w:r w:rsidR="00697589" w:rsidRPr="00E835A3">
        <w:t xml:space="preserve">377 919 лица </w:t>
      </w:r>
      <w:r w:rsidR="00E835A3" w:rsidRPr="00E835A3">
        <w:t>през 2019 г. Въпреки краткосрочен спад през пандемичната 2020 г., общото ниво остава високо и през 2023 г. е 370</w:t>
      </w:r>
      <w:r w:rsidR="00736EE1">
        <w:t> </w:t>
      </w:r>
      <w:r w:rsidR="00E835A3" w:rsidRPr="00E835A3">
        <w:t>110</w:t>
      </w:r>
      <w:r w:rsidR="00736EE1">
        <w:t xml:space="preserve">, което е близо до нивото преди пандемията от </w:t>
      </w:r>
      <w:r w:rsidR="00736EE1">
        <w:rPr>
          <w:lang w:val="en-US"/>
        </w:rPr>
        <w:t>COVID-19</w:t>
      </w:r>
      <w:r w:rsidR="00E835A3" w:rsidRPr="00E835A3">
        <w:t>. Това показва устойчива активност в колективното договаряне и обхвата му върху наетите лица, особено в последните години.</w:t>
      </w:r>
    </w:p>
    <w:p w14:paraId="7A666306" w14:textId="77777777" w:rsidR="004B57E5" w:rsidRDefault="00697589" w:rsidP="00E906B8">
      <w:pPr>
        <w:pStyle w:val="NormalWeb"/>
      </w:pPr>
      <w:r>
        <w:rPr>
          <w:noProof/>
        </w:rPr>
        <w:drawing>
          <wp:inline distT="0" distB="0" distL="0" distR="0" wp14:anchorId="4756F63B" wp14:editId="6E311138">
            <wp:extent cx="6015857" cy="2353586"/>
            <wp:effectExtent l="0" t="0" r="4445" b="8890"/>
            <wp:docPr id="6" name="Picture 6" descr="C:\Users\nsalchev\AppData\Local\Microsoft\Windows\INetCache\Content.Outlook\CYADFY82\КТД_общ брой спрямо наети лиц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salchev\AppData\Local\Microsoft\Windows\INetCache\Content.Outlook\CYADFY82\КТД_общ брой спрямо наети лица.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8179" cy="2366231"/>
                    </a:xfrm>
                    <a:prstGeom prst="rect">
                      <a:avLst/>
                    </a:prstGeom>
                    <a:noFill/>
                    <a:ln>
                      <a:noFill/>
                    </a:ln>
                  </pic:spPr>
                </pic:pic>
              </a:graphicData>
            </a:graphic>
          </wp:inline>
        </w:drawing>
      </w:r>
    </w:p>
    <w:p w14:paraId="44F1D54A" w14:textId="77777777" w:rsidR="00581635" w:rsidRDefault="00E835A3" w:rsidP="004E6FF7">
      <w:pPr>
        <w:spacing w:line="276" w:lineRule="auto"/>
        <w:ind w:firstLine="720"/>
        <w:jc w:val="both"/>
      </w:pPr>
      <w:r w:rsidRPr="00E835A3">
        <w:t xml:space="preserve">Когато се разделят по сектори, броят на наетите лица в частния сектор е най-съществен. През 2011 г. те са 290 182, а до 2012 г. достигат 329 472. След това се наблюдава известен спад до 2016 г., когато </w:t>
      </w:r>
      <w:r w:rsidR="00697589">
        <w:t>спадат</w:t>
      </w:r>
      <w:r w:rsidRPr="00E835A3">
        <w:t xml:space="preserve"> до 299</w:t>
      </w:r>
      <w:r w:rsidR="00697589">
        <w:t> </w:t>
      </w:r>
      <w:r w:rsidRPr="00E835A3">
        <w:t>324</w:t>
      </w:r>
      <w:r w:rsidR="00697589">
        <w:t xml:space="preserve"> лица</w:t>
      </w:r>
      <w:r w:rsidRPr="00E835A3">
        <w:t>. През 2018–2021 г. този показател остава стабилен около 292–274 хиляди, но през 2023 г. се отбелязва рекорден ръст. Това се дължи на сключване на по-мащабни КД или включване на големи работодатели в системата на колективното договаряне.</w:t>
      </w:r>
      <w:r w:rsidR="004B503E" w:rsidRPr="004B503E">
        <w:t xml:space="preserve"> </w:t>
      </w:r>
    </w:p>
    <w:p w14:paraId="0C905852" w14:textId="77777777" w:rsidR="00E835A3" w:rsidRPr="00E835A3" w:rsidRDefault="004B503E" w:rsidP="004E6FF7">
      <w:pPr>
        <w:spacing w:line="276" w:lineRule="auto"/>
        <w:ind w:firstLine="720"/>
        <w:jc w:val="both"/>
      </w:pPr>
      <w:r w:rsidRPr="004B503E">
        <w:t xml:space="preserve">Според данните от НИПА в края на 2024 г. </w:t>
      </w:r>
      <w:r>
        <w:t xml:space="preserve">общо </w:t>
      </w:r>
      <w:r w:rsidRPr="004B503E">
        <w:t>370 110 работници и служители са обхванати от действащи колективни договори, което е 15.6 % от всички работещи в страната.</w:t>
      </w:r>
    </w:p>
    <w:p w14:paraId="1898EC80" w14:textId="77777777" w:rsidR="00E835A3" w:rsidRDefault="00E835A3" w:rsidP="004E6FF7">
      <w:pPr>
        <w:spacing w:line="276" w:lineRule="auto"/>
        <w:ind w:firstLine="720"/>
        <w:jc w:val="both"/>
      </w:pPr>
      <w:r w:rsidRPr="00E835A3">
        <w:t xml:space="preserve">В администрацията броят на обхванатите лица започва с 34 375 през 2011 г. и преминава през умерени колебания. През 2016–2017 г. се наблюдава рязък скок – от </w:t>
      </w:r>
      <w:r w:rsidR="00697589">
        <w:t>около 40 000 до над 84 000 души. След този период обхватът в администрацията</w:t>
      </w:r>
      <w:r w:rsidRPr="00E835A3">
        <w:t xml:space="preserve"> се запазва</w:t>
      </w:r>
      <w:r w:rsidR="00697589">
        <w:t xml:space="preserve"> на</w:t>
      </w:r>
      <w:r w:rsidRPr="00E835A3">
        <w:t xml:space="preserve"> стабилн</w:t>
      </w:r>
      <w:r w:rsidR="00697589">
        <w:t>о ниво</w:t>
      </w:r>
      <w:r w:rsidRPr="00E835A3">
        <w:t xml:space="preserve"> до 2023 г.</w:t>
      </w:r>
      <w:r w:rsidR="00831CAC">
        <w:t>,</w:t>
      </w:r>
      <w:r w:rsidRPr="00E835A3">
        <w:t xml:space="preserve"> </w:t>
      </w:r>
      <w:r w:rsidR="00736EE1">
        <w:t>когато са обхванати</w:t>
      </w:r>
      <w:r w:rsidRPr="00E835A3">
        <w:t xml:space="preserve"> 83 125 лица. Това говори за укрепване на колективното договаряне в публичния сектор, особено след 2016 г.</w:t>
      </w:r>
    </w:p>
    <w:p w14:paraId="3DB5B282" w14:textId="77777777" w:rsidR="00A26C91" w:rsidRDefault="00A26C91" w:rsidP="00A26C91">
      <w:pPr>
        <w:spacing w:line="276" w:lineRule="auto"/>
        <w:ind w:firstLine="720"/>
        <w:jc w:val="both"/>
      </w:pPr>
      <w:r w:rsidRPr="004B57E5">
        <w:t xml:space="preserve">Към края на 2024 г. в сравнение с базисната 2011 г. наетите лица, за които са в сила действащите КТД и СДСл, са се увеличили с 11.4% пункта, като спрямо предходната година се отчита намаление с -1.7% пункта. По-съществено е намалението на наетите в обхвата на КТД в предприятията -2.1% пункта. В държавната администрация значителния ръст на обхванатите от КТД и СДСл след 31.12.2018 г. в сравнение с предходните години се дължи на подписано споразумение за служителите в МВР, като равнището им за последните години е постоянно. Отчита се спад на наетите в обхвата на КТД за 2024 г. в сравнение с </w:t>
      </w:r>
      <w:r w:rsidRPr="004B57E5">
        <w:lastRenderedPageBreak/>
        <w:t>2023 г. в държавната администрация с 3.8% пункта при същевременно увеличение на обхвата на СДСл с 1.5% пункта</w:t>
      </w:r>
      <w:r>
        <w:t>.</w:t>
      </w:r>
    </w:p>
    <w:p w14:paraId="7E8DEE0E" w14:textId="77777777" w:rsidR="00AC5950" w:rsidRDefault="00AC5950" w:rsidP="004E6FF7">
      <w:pPr>
        <w:spacing w:line="276" w:lineRule="auto"/>
        <w:ind w:firstLine="720"/>
        <w:jc w:val="both"/>
      </w:pPr>
    </w:p>
    <w:p w14:paraId="25F27E35" w14:textId="77777777" w:rsidR="00AC5950" w:rsidRPr="00AC5950" w:rsidRDefault="00B44CC3" w:rsidP="001126B2">
      <w:pPr>
        <w:pStyle w:val="Heading1"/>
        <w:numPr>
          <w:ilvl w:val="0"/>
          <w:numId w:val="0"/>
        </w:numPr>
        <w:jc w:val="center"/>
      </w:pPr>
      <w:bookmarkStart w:id="15" w:name="_Toc216436504"/>
      <w:r>
        <w:rPr>
          <w:lang w:val="en-US"/>
        </w:rPr>
        <w:t>IV.</w:t>
      </w:r>
      <w:r w:rsidR="00AC5950" w:rsidRPr="00AC5950">
        <w:t xml:space="preserve"> </w:t>
      </w:r>
      <w:r w:rsidRPr="00AC5950">
        <w:t>ОСНОВНИ ИЗВОДИ И ПРЕДИЗВИКАТЕЛСТВА ПРЕД КОЛЕКТИВНОТО ДОГОВАРЯНЕ</w:t>
      </w:r>
      <w:bookmarkEnd w:id="15"/>
    </w:p>
    <w:p w14:paraId="62E0791D" w14:textId="77777777" w:rsidR="003C795A" w:rsidRDefault="003C795A" w:rsidP="00AC5950">
      <w:pPr>
        <w:spacing w:line="276" w:lineRule="auto"/>
        <w:ind w:firstLine="709"/>
        <w:jc w:val="both"/>
      </w:pPr>
      <w:r w:rsidRPr="003C795A">
        <w:t>Колективното договаряне е процес, в който държавата не може</w:t>
      </w:r>
      <w:r w:rsidR="00736EE1">
        <w:t xml:space="preserve"> и не трябва да има пряко участие,</w:t>
      </w:r>
      <w:r w:rsidRPr="003C795A">
        <w:t xml:space="preserve"> предвид принцип</w:t>
      </w:r>
      <w:r w:rsidR="00F645E1">
        <w:t>а</w:t>
      </w:r>
      <w:r w:rsidRPr="003C795A">
        <w:t xml:space="preserve"> за зачитането на автономията на социалните партньори. В тази връзка държавата </w:t>
      </w:r>
      <w:r w:rsidR="003819EA" w:rsidRPr="00681064">
        <w:rPr>
          <w:color w:val="000000" w:themeColor="text1"/>
        </w:rPr>
        <w:t xml:space="preserve">следва </w:t>
      </w:r>
      <w:r w:rsidRPr="003C795A">
        <w:t>да подпомага</w:t>
      </w:r>
      <w:r w:rsidR="00913E8A">
        <w:t xml:space="preserve"> и насърчава</w:t>
      </w:r>
      <w:r w:rsidRPr="003C795A">
        <w:t xml:space="preserve"> социалните партньори, но не и да изземва техните функции.</w:t>
      </w:r>
      <w:r>
        <w:t xml:space="preserve"> Поради това основно предизвикателство пред колективното договаряне е предприемането на координирани мерки от всички заинтересовани страни – организациите на работниците и служителите, на работодателите и на държавата.</w:t>
      </w:r>
    </w:p>
    <w:p w14:paraId="589340C6" w14:textId="77777777" w:rsidR="00F34C53" w:rsidRDefault="00F34C53" w:rsidP="00AC5950">
      <w:pPr>
        <w:spacing w:line="276" w:lineRule="auto"/>
        <w:ind w:firstLine="709"/>
        <w:jc w:val="both"/>
      </w:pPr>
      <w:r>
        <w:t>Общата тенденция в</w:t>
      </w:r>
      <w:r w:rsidR="00F645E1">
        <w:t xml:space="preserve"> повечето </w:t>
      </w:r>
      <w:r>
        <w:t xml:space="preserve">индустриални държави е спадане на нивото на колективното договаряне и намаляване на неговия обхват. </w:t>
      </w:r>
      <w:r w:rsidR="00E835A3" w:rsidRPr="00E835A3">
        <w:t>Въпреки</w:t>
      </w:r>
      <w:r>
        <w:t xml:space="preserve"> утвърдените традиции и </w:t>
      </w:r>
      <w:r w:rsidR="00E835A3" w:rsidRPr="00E835A3">
        <w:t xml:space="preserve">развитието на </w:t>
      </w:r>
      <w:r w:rsidRPr="00E835A3">
        <w:t>нормативната</w:t>
      </w:r>
      <w:r>
        <w:t xml:space="preserve"> уредба в тази област и в България се отчита трайна тенденция за намаляване на броя на сключваните колективни договори. Положително развитие е запазването и дори лекото повишаване на броя на обхванатите лица, независимо от намаляването на броя на сключените колективни договори.</w:t>
      </w:r>
    </w:p>
    <w:p w14:paraId="2428D3B5" w14:textId="77777777" w:rsidR="00F34C53" w:rsidRDefault="00F34C53" w:rsidP="00AC5950">
      <w:pPr>
        <w:spacing w:line="276" w:lineRule="auto"/>
        <w:ind w:firstLine="709"/>
        <w:jc w:val="both"/>
      </w:pPr>
      <w:r>
        <w:t>Основно предизвикателство пред колективното договаряне в страната е повишаване на неговия обхват спрямо работещите в</w:t>
      </w:r>
      <w:r w:rsidR="00764C3B">
        <w:t xml:space="preserve"> МСП</w:t>
      </w:r>
      <w:r>
        <w:t xml:space="preserve">. </w:t>
      </w:r>
      <w:r w:rsidR="00E835A3" w:rsidRPr="00E835A3">
        <w:t>Най-висок дял 87.4% средно за периода</w:t>
      </w:r>
      <w:r>
        <w:t xml:space="preserve"> от 2011 г. – 2023 г.</w:t>
      </w:r>
      <w:r w:rsidR="00E835A3" w:rsidRPr="00E835A3">
        <w:t xml:space="preserve"> се отчита при водене на преговори за сключване на КД в големите</w:t>
      </w:r>
      <w:r w:rsidR="00E835A3" w:rsidRPr="00E835A3">
        <w:rPr>
          <w:lang w:val="en-US"/>
        </w:rPr>
        <w:t xml:space="preserve"> </w:t>
      </w:r>
      <w:r w:rsidR="00E835A3" w:rsidRPr="00E835A3">
        <w:t>предпр</w:t>
      </w:r>
      <w:r>
        <w:t>иятия/административни структури. Същевременно</w:t>
      </w:r>
      <w:r w:rsidR="00E835A3" w:rsidRPr="00E835A3">
        <w:t xml:space="preserve"> относителният дял на наетите в малките</w:t>
      </w:r>
      <w:r w:rsidR="00E835A3" w:rsidRPr="00E835A3">
        <w:rPr>
          <w:lang w:val="en-US"/>
        </w:rPr>
        <w:t xml:space="preserve"> </w:t>
      </w:r>
      <w:r w:rsidR="00E835A3" w:rsidRPr="00E835A3">
        <w:t>пре</w:t>
      </w:r>
      <w:r>
        <w:t xml:space="preserve">дприятия/административни </w:t>
      </w:r>
      <w:r w:rsidR="00E835A3" w:rsidRPr="00E835A3">
        <w:t>структури</w:t>
      </w:r>
      <w:r w:rsidR="00736EE1">
        <w:t xml:space="preserve"> в икономиката</w:t>
      </w:r>
      <w:r w:rsidR="00E835A3" w:rsidRPr="00E835A3">
        <w:t xml:space="preserve"> е най-висок – 86.2%, което е една</w:t>
      </w:r>
      <w:r>
        <w:t xml:space="preserve"> </w:t>
      </w:r>
      <w:r w:rsidR="00E835A3" w:rsidRPr="00E835A3">
        <w:t xml:space="preserve">от причините за сравнително по-ниския обхват на колективното договаряне </w:t>
      </w:r>
      <w:r>
        <w:t>в страната</w:t>
      </w:r>
      <w:r w:rsidR="00E835A3" w:rsidRPr="00E835A3">
        <w:t>. Слабото участие на микропредприятията</w:t>
      </w:r>
      <w:r w:rsidR="00736EE1">
        <w:t xml:space="preserve"> в колективното договаряне</w:t>
      </w:r>
      <w:r w:rsidR="00E835A3" w:rsidRPr="00E835A3">
        <w:t>, които представляват над 90% от всички фирми в България, показва системен дефицит на социален диалог</w:t>
      </w:r>
      <w:r w:rsidR="00F645E1">
        <w:t xml:space="preserve"> на това ниво</w:t>
      </w:r>
      <w:r w:rsidR="00E835A3" w:rsidRPr="00E835A3">
        <w:t xml:space="preserve">. </w:t>
      </w:r>
      <w:r>
        <w:t>В тези предприятия</w:t>
      </w:r>
      <w:r w:rsidR="00E835A3" w:rsidRPr="00E835A3">
        <w:t xml:space="preserve"> често няма синдикално присъствие</w:t>
      </w:r>
      <w:r>
        <w:t>, което ограничава изобщо възможността за сключване на КТД на ниво предприятие</w:t>
      </w:r>
      <w:r w:rsidR="00E835A3" w:rsidRPr="00E835A3">
        <w:t xml:space="preserve">. </w:t>
      </w:r>
    </w:p>
    <w:p w14:paraId="4D4E902F" w14:textId="77777777" w:rsidR="00F34C53" w:rsidRDefault="00F34C53" w:rsidP="00AC5950">
      <w:pPr>
        <w:spacing w:line="276" w:lineRule="auto"/>
        <w:ind w:firstLine="709"/>
        <w:jc w:val="both"/>
      </w:pPr>
      <w:r>
        <w:t>Предвид структурата на предприят</w:t>
      </w:r>
      <w:r w:rsidR="00736EE1">
        <w:t xml:space="preserve">ията и икономиката на страната </w:t>
      </w:r>
      <w:r>
        <w:t xml:space="preserve">съществено </w:t>
      </w:r>
      <w:r w:rsidR="00E835A3" w:rsidRPr="00E835A3">
        <w:t>предизвикателство</w:t>
      </w:r>
      <w:r>
        <w:t xml:space="preserve"> за повишаване на обхвата на колективното договаряне</w:t>
      </w:r>
      <w:r w:rsidR="00E835A3" w:rsidRPr="00E835A3">
        <w:t xml:space="preserve"> е ниск</w:t>
      </w:r>
      <w:r>
        <w:t>ата активност на двустранен социален диалог на ниво</w:t>
      </w:r>
      <w:r w:rsidR="00F645E1">
        <w:t xml:space="preserve"> отрасъл и бранш</w:t>
      </w:r>
      <w:r>
        <w:t xml:space="preserve">. Това </w:t>
      </w:r>
      <w:r w:rsidR="00E835A3" w:rsidRPr="00E835A3">
        <w:t>ограничава възможността за разширяване на обхвата на колективното договаряне</w:t>
      </w:r>
      <w:r>
        <w:t>, доколкото прави почти невъзможно обхващането с колективно договаряне на работещите в</w:t>
      </w:r>
      <w:r w:rsidR="00764C3B">
        <w:t xml:space="preserve"> МСП</w:t>
      </w:r>
      <w:r w:rsidR="00736EE1">
        <w:t>, особено в микропредприятията</w:t>
      </w:r>
      <w:r w:rsidR="00E835A3" w:rsidRPr="00E835A3">
        <w:t xml:space="preserve">. </w:t>
      </w:r>
    </w:p>
    <w:p w14:paraId="59FE3536" w14:textId="77777777" w:rsidR="00B518F5" w:rsidRPr="00E779F7" w:rsidRDefault="00B518F5" w:rsidP="00B518F5">
      <w:pPr>
        <w:spacing w:line="276" w:lineRule="auto"/>
        <w:ind w:firstLine="709"/>
        <w:jc w:val="both"/>
      </w:pPr>
      <w:r w:rsidRPr="00E835A3">
        <w:t>Без</w:t>
      </w:r>
      <w:r>
        <w:t xml:space="preserve"> повишаване </w:t>
      </w:r>
      <w:r w:rsidRPr="00E779F7">
        <w:t xml:space="preserve">на броя на сключените отраслови и браншови колективни договор, огромна част от работниците ще продължат да не са обхванати от </w:t>
      </w:r>
      <w:r w:rsidR="00A47B7E" w:rsidRPr="00E779F7">
        <w:t>колективното договаряне.</w:t>
      </w:r>
      <w:r w:rsidRPr="00E779F7">
        <w:t xml:space="preserve"> Реалното повишаване на обхвата на колективното договаряне е възможно да се постигне </w:t>
      </w:r>
      <w:r w:rsidR="003819EA" w:rsidRPr="00E779F7">
        <w:t xml:space="preserve">предимно </w:t>
      </w:r>
      <w:r w:rsidRPr="00E779F7">
        <w:t xml:space="preserve">чрез активизиране на браншовото и отрасловото колективно договаряне. Значим напредък в това отношение може да се постигне при </w:t>
      </w:r>
      <w:r w:rsidR="003819EA" w:rsidRPr="00E779F7">
        <w:t xml:space="preserve">взаимно </w:t>
      </w:r>
      <w:r w:rsidRPr="00E779F7">
        <w:t>желание от страна на синдикалните и работодателските организации за увеличаване на броя на разпрострените колективни трудови договори.</w:t>
      </w:r>
    </w:p>
    <w:p w14:paraId="084C462B" w14:textId="77777777" w:rsidR="00B518F5" w:rsidRDefault="00E835A3" w:rsidP="00AC5950">
      <w:pPr>
        <w:spacing w:line="276" w:lineRule="auto"/>
        <w:ind w:firstLine="709"/>
        <w:jc w:val="both"/>
      </w:pPr>
      <w:r w:rsidRPr="00E835A3">
        <w:t>Ограничена</w:t>
      </w:r>
      <w:r w:rsidR="00A47B7E">
        <w:t>та</w:t>
      </w:r>
      <w:r w:rsidRPr="00E835A3">
        <w:t xml:space="preserve"> приложимост на отрасловите и браншовите договори се дължи и на разликите в </w:t>
      </w:r>
      <w:r w:rsidR="001D3794">
        <w:t>представителността на</w:t>
      </w:r>
      <w:r w:rsidR="001D3794" w:rsidRPr="00E835A3">
        <w:t xml:space="preserve"> </w:t>
      </w:r>
      <w:r w:rsidRPr="00E835A3">
        <w:t>организации</w:t>
      </w:r>
      <w:r w:rsidR="001D3794">
        <w:t>те</w:t>
      </w:r>
      <w:r w:rsidRPr="00E835A3">
        <w:t xml:space="preserve"> на работниците и служителите и съответно на работодателите в различните сектори. Забелязва се изключително силно присъствие на синдикални организации в </w:t>
      </w:r>
      <w:r w:rsidR="00F34C53">
        <w:t xml:space="preserve">публичния </w:t>
      </w:r>
      <w:r w:rsidRPr="00E835A3">
        <w:t>сектор</w:t>
      </w:r>
      <w:r w:rsidR="00F34C53">
        <w:t>, например в</w:t>
      </w:r>
      <w:r w:rsidRPr="00E835A3">
        <w:t xml:space="preserve"> „Образование“</w:t>
      </w:r>
      <w:r w:rsidR="00F34C53">
        <w:t xml:space="preserve"> и „Здравеопазване“</w:t>
      </w:r>
      <w:r w:rsidRPr="00E835A3">
        <w:t xml:space="preserve">, </w:t>
      </w:r>
      <w:r w:rsidR="00B518F5">
        <w:t xml:space="preserve">но сравнително слабо присъствие в реалния сектор, с изключение на традиционно добре синдикализирания сектор „Индустрия“. </w:t>
      </w:r>
      <w:r w:rsidR="00F645E1">
        <w:t>Н</w:t>
      </w:r>
      <w:r w:rsidR="00B518F5">
        <w:t xml:space="preserve">ивото на договаряне в сектора </w:t>
      </w:r>
      <w:r w:rsidR="00B518F5">
        <w:lastRenderedPageBreak/>
        <w:t>на услугите е много ниско, макар и броя</w:t>
      </w:r>
      <w:r w:rsidR="00736EE1">
        <w:t>т</w:t>
      </w:r>
      <w:r w:rsidR="00B518F5">
        <w:t xml:space="preserve"> на заетите лица в този сектор да е значителен.</w:t>
      </w:r>
      <w:r w:rsidR="00736EE1">
        <w:t xml:space="preserve"> В тази връзка поддържането на актуална и своевременна информация за браншовите и отрасловите структури на признатите организации на работниците и служителите и на работодателите може да окаже положително влияние върху активизирането на секторния социален диалог.</w:t>
      </w:r>
    </w:p>
    <w:p w14:paraId="712C8229" w14:textId="77777777" w:rsidR="003C795A" w:rsidRDefault="00B518F5" w:rsidP="003C795A">
      <w:pPr>
        <w:spacing w:line="276" w:lineRule="auto"/>
        <w:ind w:firstLine="709"/>
        <w:jc w:val="both"/>
      </w:pPr>
      <w:r>
        <w:t>Допълнителен фактор, който има отношение към нивото на колективното договаряне, е р</w:t>
      </w:r>
      <w:r w:rsidRPr="00E835A3">
        <w:t>азвитието на обществото и икономиката, по-специално по-широкото използване на напреднали информацио</w:t>
      </w:r>
      <w:r>
        <w:t>нни и комуникационни технологии</w:t>
      </w:r>
      <w:r w:rsidRPr="00E835A3">
        <w:t xml:space="preserve">, </w:t>
      </w:r>
      <w:r>
        <w:t xml:space="preserve">които </w:t>
      </w:r>
      <w:r w:rsidRPr="00E835A3">
        <w:t>пораждат</w:t>
      </w:r>
      <w:r>
        <w:t xml:space="preserve"> и</w:t>
      </w:r>
      <w:r w:rsidRPr="00E835A3">
        <w:t xml:space="preserve"> „нови форми на заетост“.</w:t>
      </w:r>
      <w:r>
        <w:t xml:space="preserve"> Има очевидна </w:t>
      </w:r>
      <w:r w:rsidRPr="00E835A3">
        <w:t xml:space="preserve">необходимост от въвеждането на правна рамка, която ясно да дефинира новите форми на заетост и да очертае </w:t>
      </w:r>
      <w:r>
        <w:t>възможността на заетите в тях лица да са част от обхва</w:t>
      </w:r>
      <w:r w:rsidR="003C795A">
        <w:t xml:space="preserve">та на колективното договаряне. </w:t>
      </w:r>
    </w:p>
    <w:p w14:paraId="538A54FB" w14:textId="77777777" w:rsidR="00736EE1" w:rsidRDefault="003C795A" w:rsidP="003C795A">
      <w:pPr>
        <w:spacing w:line="276" w:lineRule="auto"/>
        <w:ind w:firstLine="709"/>
        <w:jc w:val="both"/>
      </w:pPr>
      <w:r>
        <w:t>Нормативната уредба следва да е ясна</w:t>
      </w:r>
      <w:r w:rsidR="00524D4B">
        <w:t xml:space="preserve"> и пълна</w:t>
      </w:r>
      <w:r w:rsidR="001D3794">
        <w:t>,</w:t>
      </w:r>
      <w:r w:rsidR="008F3A54">
        <w:rPr>
          <w:lang w:val="en-US"/>
        </w:rPr>
        <w:t xml:space="preserve"> </w:t>
      </w:r>
      <w:r>
        <w:t>да позволява воденето на конструктив</w:t>
      </w:r>
      <w:r w:rsidR="00481780">
        <w:t>е</w:t>
      </w:r>
      <w:r>
        <w:t>н</w:t>
      </w:r>
      <w:r w:rsidR="00481780">
        <w:t>, справедлив</w:t>
      </w:r>
      <w:r w:rsidR="00481780" w:rsidRPr="00481780">
        <w:t xml:space="preserve"> и прозрачен социален диалог</w:t>
      </w:r>
      <w:r w:rsidR="00481780">
        <w:t xml:space="preserve"> и </w:t>
      </w:r>
      <w:r>
        <w:t xml:space="preserve">да улеснява процеса по </w:t>
      </w:r>
      <w:r w:rsidR="00481780" w:rsidRPr="00481780">
        <w:t xml:space="preserve">сключване на колективни договори и споразумения и </w:t>
      </w:r>
      <w:r>
        <w:t xml:space="preserve">регистриране на сключените колективни </w:t>
      </w:r>
      <w:r w:rsidR="00481780">
        <w:t>трудови договори. В тази връзка, е необходимо да бъде</w:t>
      </w:r>
      <w:r>
        <w:t xml:space="preserve"> </w:t>
      </w:r>
      <w:r w:rsidR="00481780">
        <w:t>доразвита нормативната уредба</w:t>
      </w:r>
      <w:r>
        <w:t xml:space="preserve"> на </w:t>
      </w:r>
      <w:r w:rsidR="001D3794">
        <w:t>законодателството</w:t>
      </w:r>
      <w:r>
        <w:t xml:space="preserve"> по отношение на колективното договаряне в държавната администрация</w:t>
      </w:r>
      <w:r w:rsidR="000514BE">
        <w:t>.</w:t>
      </w:r>
      <w:r>
        <w:t xml:space="preserve"> </w:t>
      </w:r>
      <w:r w:rsidR="000514BE" w:rsidRPr="000514BE">
        <w:t>Процесът на усъвършенстване</w:t>
      </w:r>
      <w:r w:rsidR="000514BE">
        <w:t xml:space="preserve"> на нормативната уредба включва</w:t>
      </w:r>
      <w:r w:rsidR="000514BE" w:rsidRPr="000514BE">
        <w:t xml:space="preserve"> и по-пълноценно прилагане</w:t>
      </w:r>
      <w:r>
        <w:t xml:space="preserve"> на утвърдените международни стандарти в област</w:t>
      </w:r>
      <w:r w:rsidR="000514BE">
        <w:t>та на социалния диалог</w:t>
      </w:r>
      <w:r>
        <w:t xml:space="preserve">. </w:t>
      </w:r>
    </w:p>
    <w:p w14:paraId="7CEB0536" w14:textId="77777777" w:rsidR="003C795A" w:rsidRDefault="008C192C" w:rsidP="003C795A">
      <w:pPr>
        <w:spacing w:line="276" w:lineRule="auto"/>
        <w:ind w:firstLine="709"/>
        <w:jc w:val="both"/>
      </w:pPr>
      <w:r>
        <w:t>С оглед все по-широкото използване на цифровите технологии е обосновано предприемане</w:t>
      </w:r>
      <w:r w:rsidR="001D3794">
        <w:t>то</w:t>
      </w:r>
      <w:r>
        <w:t xml:space="preserve"> на нормативни промени, чрез ко</w:t>
      </w:r>
      <w:r w:rsidR="001D3794">
        <w:t>и</w:t>
      </w:r>
      <w:r>
        <w:t xml:space="preserve">то да се позволи воденето на преговори, сключването на колективни трудови договори и тяхната регистрация да се извършва чрез дигитални средства. Това ще е основа и за разширяване на обхвата </w:t>
      </w:r>
      <w:r w:rsidR="001D3794">
        <w:t xml:space="preserve">по отношение на </w:t>
      </w:r>
      <w:r>
        <w:t xml:space="preserve">новите форми на заетост, при които традиционната работа в помещения </w:t>
      </w:r>
      <w:r w:rsidR="001D3794">
        <w:t xml:space="preserve">на </w:t>
      </w:r>
      <w:r>
        <w:t>работодателя е все по-рядко приложима.</w:t>
      </w:r>
    </w:p>
    <w:p w14:paraId="5F33D543" w14:textId="77777777" w:rsidR="008C192C" w:rsidRDefault="00292AA3" w:rsidP="003C795A">
      <w:pPr>
        <w:spacing w:line="276" w:lineRule="auto"/>
        <w:ind w:firstLine="709"/>
        <w:jc w:val="both"/>
      </w:pPr>
      <w:r>
        <w:t>Достъпът до информация, добри практики и анализи от ст</w:t>
      </w:r>
      <w:r w:rsidR="001D3794">
        <w:t>р</w:t>
      </w:r>
      <w:r>
        <w:t xml:space="preserve">ана на организациите на работниците и служителите и на работодателите е ключово за </w:t>
      </w:r>
      <w:r w:rsidR="008901D2">
        <w:t>повишаване на възможностите за водене на преговори и сключване на колективни договори</w:t>
      </w:r>
      <w:r>
        <w:t xml:space="preserve">. В тази връзка държавата следва да  предприеме необходимите мерки, чрез които да се </w:t>
      </w:r>
      <w:r w:rsidR="008901D2">
        <w:t xml:space="preserve"> подпомогне изграждането на капацитета на социалните партньори, включително чрез</w:t>
      </w:r>
      <w:r w:rsidR="00C468F4">
        <w:t xml:space="preserve"> </w:t>
      </w:r>
      <w:r w:rsidR="00C468F4" w:rsidRPr="00C468F4">
        <w:t>финансиране при условията на Оперативна програма „Развитие на човешките ресурси“ 2021-2027</w:t>
      </w:r>
      <w:r w:rsidR="00C468F4">
        <w:t xml:space="preserve">, </w:t>
      </w:r>
      <w:r w:rsidR="008901D2">
        <w:t>публикуване на необходимата информация на общодостъпен източник в интернет и чрез провеждане на целенасочени обучения.</w:t>
      </w:r>
    </w:p>
    <w:p w14:paraId="628953DD" w14:textId="77777777" w:rsidR="008901D2" w:rsidRDefault="00D35099" w:rsidP="003C795A">
      <w:pPr>
        <w:spacing w:line="276" w:lineRule="auto"/>
        <w:ind w:firstLine="709"/>
        <w:jc w:val="both"/>
      </w:pPr>
      <w:r>
        <w:t xml:space="preserve">Освен осигуряване на информация от страна на държавата е необходимо да се гарантира и спазването на задълженията от страна на работодателите за водене на преговори и предоставяне на необходимата информация на синдикалните организации. В тази връзка контролните органи на ИА </w:t>
      </w:r>
      <w:r w:rsidR="001421F9">
        <w:t>„</w:t>
      </w:r>
      <w:r>
        <w:t>ГИТ</w:t>
      </w:r>
      <w:r w:rsidR="001421F9">
        <w:t>“</w:t>
      </w:r>
      <w:r>
        <w:t xml:space="preserve"> следва да продължават активните си действия, когато получат сигнал за нарушаване на </w:t>
      </w:r>
      <w:r w:rsidR="00605C61">
        <w:t>трудовото законодателство</w:t>
      </w:r>
      <w:r>
        <w:t>.</w:t>
      </w:r>
    </w:p>
    <w:p w14:paraId="49632E09" w14:textId="77777777" w:rsidR="002E2D79" w:rsidRDefault="00D35099" w:rsidP="003C795A">
      <w:pPr>
        <w:spacing w:line="276" w:lineRule="auto"/>
        <w:ind w:firstLine="709"/>
        <w:jc w:val="both"/>
      </w:pPr>
      <w:r>
        <w:t>Основна роля в колективното договаряне имат организациите на работниците и служителите и на работодателите. Поради това активната дейност, която извършват представителните организации</w:t>
      </w:r>
      <w:r w:rsidR="00605C61">
        <w:t>,</w:t>
      </w:r>
      <w:r>
        <w:t xml:space="preserve"> за популяризиране на колективното договаряне сред своите членове е ключовият фактор, чрез който може да се постигне реален ефект при насърчаване на колективното </w:t>
      </w:r>
      <w:r w:rsidR="00605C61">
        <w:t>договаряне</w:t>
      </w:r>
      <w:r>
        <w:t>.</w:t>
      </w:r>
    </w:p>
    <w:p w14:paraId="7CE9E68F" w14:textId="77777777" w:rsidR="002E2D79" w:rsidRDefault="002E2D79" w:rsidP="003C795A">
      <w:pPr>
        <w:spacing w:line="276" w:lineRule="auto"/>
        <w:ind w:firstLine="709"/>
        <w:jc w:val="both"/>
      </w:pPr>
    </w:p>
    <w:p w14:paraId="343EED3E" w14:textId="77777777" w:rsidR="002E2D79" w:rsidRPr="002E2D79" w:rsidRDefault="00CC1902" w:rsidP="001126B2">
      <w:pPr>
        <w:pStyle w:val="Heading1"/>
        <w:numPr>
          <w:ilvl w:val="0"/>
          <w:numId w:val="0"/>
        </w:numPr>
        <w:jc w:val="center"/>
      </w:pPr>
      <w:bookmarkStart w:id="16" w:name="_Toc216436505"/>
      <w:r>
        <w:rPr>
          <w:lang w:val="en-US"/>
        </w:rPr>
        <w:lastRenderedPageBreak/>
        <w:t>V.</w:t>
      </w:r>
      <w:r w:rsidRPr="002E2D79">
        <w:t xml:space="preserve"> </w:t>
      </w:r>
      <w:r>
        <w:t>С</w:t>
      </w:r>
      <w:r w:rsidRPr="002E2D79">
        <w:t>ТРАТЕГИЧЕСК</w:t>
      </w:r>
      <w:r>
        <w:t>А</w:t>
      </w:r>
      <w:r w:rsidRPr="002E2D79">
        <w:t xml:space="preserve"> И ОПЕРАТИВНИ ЦЕЛИ</w:t>
      </w:r>
      <w:bookmarkEnd w:id="16"/>
    </w:p>
    <w:p w14:paraId="6D202F93" w14:textId="77777777" w:rsidR="007D7C83" w:rsidRDefault="002E2D79" w:rsidP="002E2D79">
      <w:pPr>
        <w:spacing w:line="276" w:lineRule="auto"/>
        <w:ind w:firstLine="709"/>
        <w:jc w:val="both"/>
      </w:pPr>
      <w:r>
        <w:t xml:space="preserve">Визията на </w:t>
      </w:r>
      <w:r w:rsidR="00CC1902">
        <w:t xml:space="preserve">Планът за насърчаване на колективното договаряне </w:t>
      </w:r>
      <w:r w:rsidRPr="002E2D79">
        <w:t>2026 – 2030 г.</w:t>
      </w:r>
      <w:r>
        <w:rPr>
          <w:b/>
        </w:rPr>
        <w:t xml:space="preserve"> </w:t>
      </w:r>
      <w:r>
        <w:t xml:space="preserve">е </w:t>
      </w:r>
      <w:r w:rsidR="007D7C83">
        <w:t>подобряване на благосъстоянието на работещите чрез колективно договаряне</w:t>
      </w:r>
      <w:r>
        <w:t xml:space="preserve">. </w:t>
      </w:r>
    </w:p>
    <w:p w14:paraId="06CE0242" w14:textId="77777777" w:rsidR="002E2D79" w:rsidRDefault="002E2D79" w:rsidP="007D7C83">
      <w:pPr>
        <w:spacing w:line="276" w:lineRule="auto"/>
        <w:ind w:firstLine="709"/>
        <w:jc w:val="both"/>
      </w:pPr>
      <w:r>
        <w:t>В тази връзка ще се реализ</w:t>
      </w:r>
      <w:r w:rsidR="007D7C83">
        <w:t xml:space="preserve">ират мерки за постигане на Стратегическата цел „Повишаване на обхвата на колективното договаряне“. </w:t>
      </w:r>
    </w:p>
    <w:p w14:paraId="2839482A" w14:textId="77777777" w:rsidR="002E2D79" w:rsidRDefault="002E2D79" w:rsidP="002E2D79">
      <w:pPr>
        <w:spacing w:line="276" w:lineRule="auto"/>
        <w:ind w:firstLine="709"/>
        <w:jc w:val="both"/>
      </w:pPr>
      <w:r>
        <w:t>Стратегическата цел ще се реализира и отчита чрез показатели за изпълнение</w:t>
      </w:r>
      <w:r w:rsidR="0083715C">
        <w:t xml:space="preserve"> на конкретни мерки за насърчаване на колективното договаряне</w:t>
      </w:r>
      <w:r w:rsidR="00E20B93">
        <w:t xml:space="preserve">, които са </w:t>
      </w:r>
      <w:r w:rsidR="0083715C">
        <w:t xml:space="preserve">обособени в </w:t>
      </w:r>
      <w:r w:rsidR="00E20B93">
        <w:t>две категории – законодателни и незаконодателни.</w:t>
      </w:r>
      <w:r w:rsidR="005355C9">
        <w:t xml:space="preserve"> </w:t>
      </w:r>
      <w:r w:rsidR="00722445">
        <w:t>Основната цел е повишаване на обхвата на колективното договаряне, който в края на периода да достигне до двадесет на сто.</w:t>
      </w:r>
    </w:p>
    <w:p w14:paraId="389230DA" w14:textId="77777777" w:rsidR="00E20B93" w:rsidRDefault="00E20B93" w:rsidP="00E20B93">
      <w:pPr>
        <w:spacing w:line="276" w:lineRule="auto"/>
        <w:ind w:firstLine="709"/>
        <w:jc w:val="both"/>
      </w:pPr>
      <w:r>
        <w:t xml:space="preserve">Законодателните </w:t>
      </w:r>
      <w:r w:rsidR="0083715C">
        <w:t xml:space="preserve">мерки </w:t>
      </w:r>
      <w:r>
        <w:t>са свързани с усъвършенстване на националното законодателство в областта</w:t>
      </w:r>
      <w:r w:rsidR="00963C80">
        <w:t xml:space="preserve"> на колективното договаряне</w:t>
      </w:r>
      <w:r w:rsidR="00581635">
        <w:t>:</w:t>
      </w:r>
      <w:r>
        <w:t xml:space="preserve"> </w:t>
      </w:r>
    </w:p>
    <w:p w14:paraId="5B68DA82" w14:textId="77777777" w:rsidR="00E20B93" w:rsidRPr="00E20B93" w:rsidRDefault="0083715C" w:rsidP="00E20B93">
      <w:pPr>
        <w:pStyle w:val="ListParagraph"/>
        <w:numPr>
          <w:ilvl w:val="0"/>
          <w:numId w:val="43"/>
        </w:numPr>
        <w:spacing w:line="276" w:lineRule="auto"/>
        <w:ind w:left="0" w:firstLine="709"/>
        <w:jc w:val="both"/>
        <w:rPr>
          <w:sz w:val="24"/>
          <w:szCs w:val="24"/>
        </w:rPr>
      </w:pPr>
      <w:r>
        <w:rPr>
          <w:sz w:val="24"/>
          <w:szCs w:val="24"/>
        </w:rPr>
        <w:t xml:space="preserve">Промени в </w:t>
      </w:r>
      <w:r w:rsidR="00E20B93" w:rsidRPr="00E20B93">
        <w:rPr>
          <w:sz w:val="24"/>
          <w:szCs w:val="24"/>
        </w:rPr>
        <w:t xml:space="preserve">Кодекса на труда: Целта е да се регламентират новите форми на труд (напр. дигитални платформи) и възможността за </w:t>
      </w:r>
      <w:r w:rsidR="00734AF2">
        <w:rPr>
          <w:sz w:val="24"/>
          <w:szCs w:val="24"/>
        </w:rPr>
        <w:t xml:space="preserve">заетите в тях да участват </w:t>
      </w:r>
      <w:r w:rsidR="00E20B93" w:rsidRPr="00E20B93">
        <w:rPr>
          <w:sz w:val="24"/>
          <w:szCs w:val="24"/>
        </w:rPr>
        <w:t>в колективното договаряне, както и да се усъвършенстват изискванията във връзка с колективното трудово договаряне, вкл. и възможността за електронното сключване на КТД.</w:t>
      </w:r>
    </w:p>
    <w:p w14:paraId="609399B9" w14:textId="77777777" w:rsidR="00E20B93" w:rsidRPr="00E20B93" w:rsidRDefault="0083715C" w:rsidP="00E20B93">
      <w:pPr>
        <w:pStyle w:val="ListParagraph"/>
        <w:numPr>
          <w:ilvl w:val="0"/>
          <w:numId w:val="43"/>
        </w:numPr>
        <w:spacing w:line="276" w:lineRule="auto"/>
        <w:ind w:left="0" w:firstLine="709"/>
        <w:jc w:val="both"/>
        <w:rPr>
          <w:sz w:val="24"/>
          <w:szCs w:val="24"/>
        </w:rPr>
      </w:pPr>
      <w:r>
        <w:rPr>
          <w:sz w:val="24"/>
          <w:szCs w:val="24"/>
        </w:rPr>
        <w:t xml:space="preserve">Промени в </w:t>
      </w:r>
      <w:r w:rsidR="00E20B93" w:rsidRPr="00E20B93">
        <w:rPr>
          <w:sz w:val="24"/>
          <w:szCs w:val="24"/>
        </w:rPr>
        <w:t>Закона за държавния служител</w:t>
      </w:r>
      <w:r w:rsidR="005355C9" w:rsidRPr="005355C9">
        <w:rPr>
          <w:sz w:val="24"/>
          <w:szCs w:val="24"/>
        </w:rPr>
        <w:t xml:space="preserve"> и разработване на проект на наредба по чл. 46а от</w:t>
      </w:r>
      <w:r w:rsidR="00581635">
        <w:rPr>
          <w:sz w:val="24"/>
          <w:szCs w:val="24"/>
          <w:lang w:val="en-US"/>
        </w:rPr>
        <w:t xml:space="preserve"> </w:t>
      </w:r>
      <w:r w:rsidR="001421F9">
        <w:rPr>
          <w:sz w:val="24"/>
          <w:szCs w:val="24"/>
        </w:rPr>
        <w:t>закона</w:t>
      </w:r>
      <w:r w:rsidR="00E20B93" w:rsidRPr="00E20B93">
        <w:rPr>
          <w:sz w:val="24"/>
          <w:szCs w:val="24"/>
        </w:rPr>
        <w:t xml:space="preserve">: Насочено е към усъвършенстване на </w:t>
      </w:r>
      <w:r w:rsidR="005355C9" w:rsidRPr="005355C9">
        <w:rPr>
          <w:sz w:val="24"/>
          <w:szCs w:val="24"/>
        </w:rPr>
        <w:t xml:space="preserve">нормативната рамка на </w:t>
      </w:r>
      <w:r w:rsidR="00E20B93" w:rsidRPr="00E20B93">
        <w:rPr>
          <w:sz w:val="24"/>
          <w:szCs w:val="24"/>
        </w:rPr>
        <w:t>колективното договаряне за държавните служители.</w:t>
      </w:r>
    </w:p>
    <w:p w14:paraId="197D28A6" w14:textId="77777777" w:rsidR="00E20B93" w:rsidRPr="00E20B93" w:rsidRDefault="00E20B93" w:rsidP="00E20B93">
      <w:pPr>
        <w:pStyle w:val="ListParagraph"/>
        <w:numPr>
          <w:ilvl w:val="0"/>
          <w:numId w:val="43"/>
        </w:numPr>
        <w:spacing w:line="276" w:lineRule="auto"/>
        <w:ind w:left="0" w:firstLine="709"/>
        <w:jc w:val="both"/>
        <w:rPr>
          <w:sz w:val="24"/>
          <w:szCs w:val="24"/>
        </w:rPr>
      </w:pPr>
      <w:r w:rsidRPr="00E20B93">
        <w:rPr>
          <w:sz w:val="24"/>
          <w:szCs w:val="24"/>
        </w:rPr>
        <w:t>Присъединяване към международните стандарти в областта на колективното договаряне: Ратифициране</w:t>
      </w:r>
      <w:r w:rsidR="00132124">
        <w:rPr>
          <w:sz w:val="24"/>
          <w:szCs w:val="24"/>
        </w:rPr>
        <w:t>то на</w:t>
      </w:r>
      <w:r w:rsidRPr="00E20B93">
        <w:rPr>
          <w:sz w:val="24"/>
          <w:szCs w:val="24"/>
        </w:rPr>
        <w:t xml:space="preserve"> Конвенциите на МОТ в областта на колективното договаряне е възможност държавата да докаже своята ангажираност с този въпрос.</w:t>
      </w:r>
    </w:p>
    <w:p w14:paraId="718D24FE" w14:textId="77777777" w:rsidR="00E20B93" w:rsidRPr="00E20B93" w:rsidRDefault="00E20B93" w:rsidP="00E20B93">
      <w:pPr>
        <w:pStyle w:val="ListParagraph"/>
        <w:numPr>
          <w:ilvl w:val="0"/>
          <w:numId w:val="43"/>
        </w:numPr>
        <w:spacing w:line="276" w:lineRule="auto"/>
        <w:ind w:left="0" w:firstLine="709"/>
        <w:jc w:val="both"/>
        <w:rPr>
          <w:sz w:val="24"/>
          <w:szCs w:val="24"/>
        </w:rPr>
      </w:pPr>
      <w:r w:rsidRPr="00E20B93">
        <w:rPr>
          <w:sz w:val="24"/>
          <w:szCs w:val="24"/>
        </w:rPr>
        <w:t>Усъвършенстване на механизма за разрешаване на колективни трудови спорове: Разработване на промени в ЗУКТС, чрез които да се подпомогне процеса за разрешаване на колективните трудови спорове по взаим</w:t>
      </w:r>
      <w:r w:rsidR="001D3794">
        <w:rPr>
          <w:sz w:val="24"/>
          <w:szCs w:val="24"/>
        </w:rPr>
        <w:t>н</w:t>
      </w:r>
      <w:r w:rsidRPr="00E20B93">
        <w:rPr>
          <w:sz w:val="24"/>
          <w:szCs w:val="24"/>
        </w:rPr>
        <w:t>оприемлив за страните начин.</w:t>
      </w:r>
    </w:p>
    <w:p w14:paraId="4ED1296C" w14:textId="77777777" w:rsidR="00E20B93" w:rsidRPr="00E779F7" w:rsidRDefault="00E20B93" w:rsidP="00E20B93">
      <w:pPr>
        <w:spacing w:line="276" w:lineRule="auto"/>
        <w:ind w:firstLine="709"/>
        <w:jc w:val="both"/>
      </w:pPr>
      <w:r>
        <w:t xml:space="preserve">Незаконодателните </w:t>
      </w:r>
      <w:r w:rsidR="0083715C">
        <w:t xml:space="preserve">мерки </w:t>
      </w:r>
      <w:r>
        <w:t>фокусира</w:t>
      </w:r>
      <w:r w:rsidR="00963C80">
        <w:t>т</w:t>
      </w:r>
      <w:r>
        <w:t xml:space="preserve"> усилията на социалните партньори и различните държавни </w:t>
      </w:r>
      <w:r w:rsidRPr="00E779F7">
        <w:t>институции върху</w:t>
      </w:r>
      <w:r w:rsidR="00963C80" w:rsidRPr="00E779F7">
        <w:t xml:space="preserve"> предприемането на конкретни </w:t>
      </w:r>
      <w:r w:rsidR="0083715C" w:rsidRPr="00E779F7">
        <w:t xml:space="preserve">действия </w:t>
      </w:r>
      <w:r w:rsidR="00963C80" w:rsidRPr="00E779F7">
        <w:t>за</w:t>
      </w:r>
      <w:r w:rsidRPr="00E779F7">
        <w:t xml:space="preserve"> повишаване на обхвата на колективното договаряне.</w:t>
      </w:r>
    </w:p>
    <w:p w14:paraId="492EE588" w14:textId="77777777" w:rsidR="00E20B93" w:rsidRPr="00E779F7" w:rsidRDefault="00963C80" w:rsidP="00963C80">
      <w:pPr>
        <w:pStyle w:val="ListParagraph"/>
        <w:numPr>
          <w:ilvl w:val="0"/>
          <w:numId w:val="43"/>
        </w:numPr>
        <w:spacing w:line="276" w:lineRule="auto"/>
        <w:ind w:left="0" w:firstLine="851"/>
        <w:jc w:val="both"/>
        <w:rPr>
          <w:sz w:val="24"/>
        </w:rPr>
      </w:pPr>
      <w:r w:rsidRPr="00E779F7">
        <w:rPr>
          <w:sz w:val="24"/>
        </w:rPr>
        <w:t>П</w:t>
      </w:r>
      <w:r w:rsidR="00E20B93" w:rsidRPr="00E779F7">
        <w:rPr>
          <w:sz w:val="24"/>
        </w:rPr>
        <w:t xml:space="preserve">овишаване на капацитета на социалните партньори и </w:t>
      </w:r>
      <w:r w:rsidR="006275F5" w:rsidRPr="00E779F7">
        <w:rPr>
          <w:sz w:val="24"/>
        </w:rPr>
        <w:t xml:space="preserve">на </w:t>
      </w:r>
      <w:r w:rsidR="00E20B93" w:rsidRPr="00E779F7">
        <w:rPr>
          <w:sz w:val="24"/>
        </w:rPr>
        <w:t>институциите</w:t>
      </w:r>
      <w:r w:rsidRPr="00E779F7">
        <w:rPr>
          <w:sz w:val="24"/>
        </w:rPr>
        <w:t>, което ще се реализира чрез</w:t>
      </w:r>
      <w:r w:rsidR="00E20B93" w:rsidRPr="00E779F7">
        <w:rPr>
          <w:sz w:val="24"/>
        </w:rPr>
        <w:t>:</w:t>
      </w:r>
    </w:p>
    <w:p w14:paraId="27286F52" w14:textId="77777777" w:rsidR="00E20B93" w:rsidRPr="00E779F7" w:rsidRDefault="00E20B93" w:rsidP="00486D38">
      <w:pPr>
        <w:pStyle w:val="ListParagraph"/>
        <w:numPr>
          <w:ilvl w:val="0"/>
          <w:numId w:val="46"/>
        </w:numPr>
        <w:spacing w:line="276" w:lineRule="auto"/>
        <w:ind w:left="0" w:firstLine="851"/>
        <w:jc w:val="both"/>
        <w:rPr>
          <w:sz w:val="24"/>
        </w:rPr>
      </w:pPr>
      <w:r w:rsidRPr="00E779F7">
        <w:rPr>
          <w:sz w:val="24"/>
        </w:rPr>
        <w:t>Обучения и семинари: Провеждане на обучителни програми за представители на синдикати</w:t>
      </w:r>
      <w:r w:rsidR="00D77512" w:rsidRPr="00E779F7">
        <w:rPr>
          <w:sz w:val="24"/>
        </w:rPr>
        <w:t xml:space="preserve">те и </w:t>
      </w:r>
      <w:r w:rsidRPr="00E779F7">
        <w:rPr>
          <w:sz w:val="24"/>
        </w:rPr>
        <w:t>работодателски</w:t>
      </w:r>
      <w:r w:rsidR="00D77512" w:rsidRPr="00E779F7">
        <w:rPr>
          <w:sz w:val="24"/>
        </w:rPr>
        <w:t>те</w:t>
      </w:r>
      <w:r w:rsidRPr="00E779F7">
        <w:rPr>
          <w:sz w:val="24"/>
        </w:rPr>
        <w:t xml:space="preserve"> организации, свързани с колективното договаряне.</w:t>
      </w:r>
    </w:p>
    <w:p w14:paraId="55435941" w14:textId="77777777" w:rsidR="00E20B93" w:rsidRPr="00963C80" w:rsidRDefault="00E20B93" w:rsidP="00486D38">
      <w:pPr>
        <w:pStyle w:val="ListParagraph"/>
        <w:numPr>
          <w:ilvl w:val="0"/>
          <w:numId w:val="46"/>
        </w:numPr>
        <w:spacing w:line="276" w:lineRule="auto"/>
        <w:ind w:left="0" w:firstLine="851"/>
        <w:jc w:val="both"/>
        <w:rPr>
          <w:sz w:val="24"/>
        </w:rPr>
      </w:pPr>
      <w:r w:rsidRPr="00E779F7">
        <w:rPr>
          <w:sz w:val="24"/>
        </w:rPr>
        <w:t>Методическа подкрепа: Разработване</w:t>
      </w:r>
      <w:r w:rsidRPr="00963C80">
        <w:rPr>
          <w:sz w:val="24"/>
        </w:rPr>
        <w:t xml:space="preserve"> на насоки, добри практики и методологии за по-ефективно колективно договаряне.</w:t>
      </w:r>
    </w:p>
    <w:p w14:paraId="13C402DC" w14:textId="77777777" w:rsidR="00E20B93" w:rsidRPr="00963C80" w:rsidRDefault="00E20B93" w:rsidP="00486D38">
      <w:pPr>
        <w:pStyle w:val="ListParagraph"/>
        <w:numPr>
          <w:ilvl w:val="0"/>
          <w:numId w:val="46"/>
        </w:numPr>
        <w:spacing w:line="276" w:lineRule="auto"/>
        <w:ind w:left="0" w:firstLine="851"/>
        <w:jc w:val="both"/>
        <w:rPr>
          <w:sz w:val="24"/>
        </w:rPr>
      </w:pPr>
      <w:r w:rsidRPr="00963C80">
        <w:rPr>
          <w:sz w:val="24"/>
        </w:rPr>
        <w:t>Консултации: Осигуряване на експертни консултации за страните в процеса на договаряне.</w:t>
      </w:r>
    </w:p>
    <w:p w14:paraId="61AE6924" w14:textId="77777777" w:rsidR="00E20B93" w:rsidRPr="00963C80" w:rsidRDefault="00963C80" w:rsidP="00963C80">
      <w:pPr>
        <w:pStyle w:val="ListParagraph"/>
        <w:numPr>
          <w:ilvl w:val="0"/>
          <w:numId w:val="43"/>
        </w:numPr>
        <w:spacing w:line="276" w:lineRule="auto"/>
        <w:ind w:left="0" w:firstLine="851"/>
        <w:jc w:val="both"/>
        <w:rPr>
          <w:sz w:val="24"/>
        </w:rPr>
      </w:pPr>
      <w:r w:rsidRPr="00963C80">
        <w:rPr>
          <w:sz w:val="24"/>
        </w:rPr>
        <w:t>Н</w:t>
      </w:r>
      <w:r w:rsidR="00E20B93" w:rsidRPr="00963C80">
        <w:rPr>
          <w:sz w:val="24"/>
        </w:rPr>
        <w:t>асърчаване на</w:t>
      </w:r>
      <w:r w:rsidRPr="00963C80">
        <w:rPr>
          <w:sz w:val="24"/>
        </w:rPr>
        <w:t xml:space="preserve"> колективното договаряне и повишаване на</w:t>
      </w:r>
      <w:r w:rsidR="00E20B93" w:rsidRPr="00963C80">
        <w:rPr>
          <w:sz w:val="24"/>
        </w:rPr>
        <w:t xml:space="preserve"> обхвата</w:t>
      </w:r>
      <w:r w:rsidRPr="00963C80">
        <w:rPr>
          <w:sz w:val="24"/>
        </w:rPr>
        <w:t>, което ще се реализира чрез</w:t>
      </w:r>
      <w:r w:rsidR="00E20B93" w:rsidRPr="00963C80">
        <w:rPr>
          <w:sz w:val="24"/>
        </w:rPr>
        <w:t>:</w:t>
      </w:r>
    </w:p>
    <w:p w14:paraId="7B048542" w14:textId="77777777" w:rsidR="00E20B93" w:rsidRPr="00963C80" w:rsidRDefault="00E20B93" w:rsidP="00963C80">
      <w:pPr>
        <w:pStyle w:val="ListParagraph"/>
        <w:numPr>
          <w:ilvl w:val="0"/>
          <w:numId w:val="46"/>
        </w:numPr>
        <w:spacing w:line="276" w:lineRule="auto"/>
        <w:ind w:left="0" w:firstLine="851"/>
        <w:jc w:val="both"/>
        <w:rPr>
          <w:sz w:val="24"/>
        </w:rPr>
      </w:pPr>
      <w:r w:rsidRPr="00963C80">
        <w:rPr>
          <w:sz w:val="24"/>
        </w:rPr>
        <w:t xml:space="preserve">Стимулиране на браншово и </w:t>
      </w:r>
      <w:r w:rsidR="00D77512">
        <w:rPr>
          <w:sz w:val="24"/>
        </w:rPr>
        <w:t>отраслово</w:t>
      </w:r>
      <w:r w:rsidRPr="00963C80">
        <w:rPr>
          <w:sz w:val="24"/>
        </w:rPr>
        <w:t xml:space="preserve"> договаряне: Дейности, насочени към подкрепа и насърчаване на сключването на колективни трудови договори на нив</w:t>
      </w:r>
      <w:r w:rsidR="00963C80" w:rsidRPr="00963C80">
        <w:rPr>
          <w:sz w:val="24"/>
        </w:rPr>
        <w:t>о бранш и отрасъл</w:t>
      </w:r>
      <w:r w:rsidRPr="00963C80">
        <w:rPr>
          <w:sz w:val="24"/>
        </w:rPr>
        <w:t>, което да доведе до по-широк обхват.</w:t>
      </w:r>
    </w:p>
    <w:p w14:paraId="7779267D" w14:textId="77777777" w:rsidR="00E20B93" w:rsidRPr="00963C80" w:rsidRDefault="00E20B93" w:rsidP="00963C80">
      <w:pPr>
        <w:pStyle w:val="ListParagraph"/>
        <w:numPr>
          <w:ilvl w:val="0"/>
          <w:numId w:val="46"/>
        </w:numPr>
        <w:spacing w:line="276" w:lineRule="auto"/>
        <w:ind w:left="0" w:firstLine="851"/>
        <w:jc w:val="both"/>
        <w:rPr>
          <w:sz w:val="24"/>
        </w:rPr>
      </w:pPr>
      <w:r w:rsidRPr="00963C80">
        <w:rPr>
          <w:sz w:val="24"/>
        </w:rPr>
        <w:t>Информационни кампании: Повишаване на информираността на обществеността, работодателите и работещите за ползите от колективното договаряне.</w:t>
      </w:r>
    </w:p>
    <w:p w14:paraId="7DC690CD" w14:textId="77777777" w:rsidR="00E20B93" w:rsidRPr="00963C80" w:rsidRDefault="00E20B93" w:rsidP="00963C80">
      <w:pPr>
        <w:pStyle w:val="ListParagraph"/>
        <w:numPr>
          <w:ilvl w:val="0"/>
          <w:numId w:val="46"/>
        </w:numPr>
        <w:spacing w:line="276" w:lineRule="auto"/>
        <w:ind w:left="0" w:firstLine="851"/>
        <w:jc w:val="both"/>
        <w:rPr>
          <w:sz w:val="24"/>
        </w:rPr>
      </w:pPr>
      <w:r w:rsidRPr="00963C80">
        <w:rPr>
          <w:sz w:val="24"/>
        </w:rPr>
        <w:t>Анализи и проучвания: Изготвяне на доклади и анализи за състоянието и тенденциите в колективното договаряне, които да служат за база при бъдещи решения.</w:t>
      </w:r>
    </w:p>
    <w:p w14:paraId="45AE115E" w14:textId="77777777" w:rsidR="00E20B93" w:rsidRPr="00963C80" w:rsidRDefault="00963C80" w:rsidP="00963C80">
      <w:pPr>
        <w:pStyle w:val="ListParagraph"/>
        <w:numPr>
          <w:ilvl w:val="0"/>
          <w:numId w:val="46"/>
        </w:numPr>
        <w:spacing w:line="276" w:lineRule="auto"/>
        <w:ind w:left="851" w:firstLine="0"/>
        <w:jc w:val="both"/>
        <w:rPr>
          <w:sz w:val="24"/>
        </w:rPr>
      </w:pPr>
      <w:r w:rsidRPr="00963C80">
        <w:rPr>
          <w:sz w:val="24"/>
        </w:rPr>
        <w:t>Ефективна контролна дейност при нарушаване на трудовото законодателство</w:t>
      </w:r>
      <w:r>
        <w:rPr>
          <w:sz w:val="24"/>
        </w:rPr>
        <w:t>.</w:t>
      </w:r>
    </w:p>
    <w:p w14:paraId="41DD1798" w14:textId="77777777" w:rsidR="00E20B93" w:rsidRDefault="00E20B93" w:rsidP="00E20B93">
      <w:pPr>
        <w:spacing w:line="276" w:lineRule="auto"/>
        <w:ind w:firstLine="709"/>
        <w:jc w:val="both"/>
      </w:pPr>
    </w:p>
    <w:p w14:paraId="59DEF0E4" w14:textId="77777777" w:rsidR="00D35099" w:rsidRPr="003C795A" w:rsidRDefault="00D35099" w:rsidP="002E2D79">
      <w:pPr>
        <w:spacing w:line="276" w:lineRule="auto"/>
        <w:ind w:firstLine="709"/>
        <w:jc w:val="both"/>
        <w:sectPr w:rsidR="00D35099" w:rsidRPr="003C795A" w:rsidSect="002C50E0">
          <w:footerReference w:type="default" r:id="rId12"/>
          <w:footerReference w:type="first" r:id="rId13"/>
          <w:pgSz w:w="11906" w:h="16838"/>
          <w:pgMar w:top="851" w:right="1134" w:bottom="851" w:left="1418" w:header="708" w:footer="708" w:gutter="0"/>
          <w:pgNumType w:start="3"/>
          <w:cols w:space="708"/>
          <w:titlePg/>
          <w:docGrid w:linePitch="360"/>
        </w:sectPr>
      </w:pPr>
    </w:p>
    <w:p w14:paraId="3134E5F2" w14:textId="77777777" w:rsidR="008D7929" w:rsidRDefault="00CC1902" w:rsidP="001126B2">
      <w:pPr>
        <w:pStyle w:val="Heading1"/>
        <w:numPr>
          <w:ilvl w:val="0"/>
          <w:numId w:val="0"/>
        </w:numPr>
        <w:jc w:val="center"/>
      </w:pPr>
      <w:bookmarkStart w:id="17" w:name="_Toc216436506"/>
      <w:r>
        <w:rPr>
          <w:lang w:val="en-US"/>
        </w:rPr>
        <w:lastRenderedPageBreak/>
        <w:t xml:space="preserve">VI. </w:t>
      </w:r>
      <w:r w:rsidR="008D7929" w:rsidRPr="008D7929">
        <w:t xml:space="preserve">МЕРКИ ЗА НАСЪРЧАВАНЕ НА КОЛЕКТИВНОТО ДОГОВАРЯНЕ </w:t>
      </w:r>
      <w:r w:rsidR="007D7324" w:rsidRPr="008D7929">
        <w:t>202</w:t>
      </w:r>
      <w:r w:rsidR="007D7324">
        <w:t>6</w:t>
      </w:r>
      <w:r w:rsidR="007D7324" w:rsidRPr="008D7929">
        <w:t xml:space="preserve"> </w:t>
      </w:r>
      <w:r w:rsidR="008D7929" w:rsidRPr="008D7929">
        <w:t>- 2030 ГОДИНА</w:t>
      </w:r>
      <w:bookmarkEnd w:id="17"/>
    </w:p>
    <w:p w14:paraId="556631AE" w14:textId="77777777" w:rsidR="0097004F" w:rsidRPr="00AC1F68" w:rsidRDefault="0097004F" w:rsidP="008D7929">
      <w:pPr>
        <w:jc w:val="center"/>
        <w:rPr>
          <w:b/>
        </w:rPr>
      </w:pPr>
    </w:p>
    <w:tbl>
      <w:tblPr>
        <w:tblW w:w="5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4"/>
        <w:gridCol w:w="2503"/>
        <w:gridCol w:w="1475"/>
        <w:gridCol w:w="1215"/>
        <w:gridCol w:w="1984"/>
        <w:gridCol w:w="1607"/>
        <w:gridCol w:w="991"/>
        <w:gridCol w:w="1135"/>
        <w:gridCol w:w="1656"/>
        <w:gridCol w:w="218"/>
      </w:tblGrid>
      <w:tr w:rsidR="0061541E" w:rsidRPr="00EA2F1D" w14:paraId="60D8A309" w14:textId="77777777" w:rsidTr="0061541E">
        <w:trPr>
          <w:gridAfter w:val="1"/>
          <w:wAfter w:w="71" w:type="pct"/>
          <w:jc w:val="center"/>
        </w:trPr>
        <w:tc>
          <w:tcPr>
            <w:tcW w:w="185" w:type="pct"/>
            <w:vMerge w:val="restart"/>
          </w:tcPr>
          <w:p w14:paraId="4F9361D5" w14:textId="77777777" w:rsidR="002612FD" w:rsidRPr="00EA2F1D" w:rsidRDefault="002612FD" w:rsidP="00F22769">
            <w:pPr>
              <w:widowControl w:val="0"/>
              <w:autoSpaceDE w:val="0"/>
              <w:autoSpaceDN w:val="0"/>
              <w:adjustRightInd w:val="0"/>
              <w:jc w:val="center"/>
              <w:rPr>
                <w:b/>
                <w:sz w:val="22"/>
                <w:szCs w:val="22"/>
              </w:rPr>
            </w:pPr>
            <w:bookmarkStart w:id="18" w:name="_Hlk200982748"/>
            <w:r w:rsidRPr="00EA2F1D">
              <w:rPr>
                <w:b/>
                <w:sz w:val="22"/>
                <w:szCs w:val="22"/>
              </w:rPr>
              <w:t>№</w:t>
            </w:r>
          </w:p>
        </w:tc>
        <w:tc>
          <w:tcPr>
            <w:tcW w:w="647" w:type="pct"/>
            <w:vMerge w:val="restart"/>
          </w:tcPr>
          <w:p w14:paraId="641CFEB2" w14:textId="77777777" w:rsidR="002612FD" w:rsidRPr="008B17A4" w:rsidRDefault="002612FD" w:rsidP="00504724">
            <w:pPr>
              <w:widowControl w:val="0"/>
              <w:autoSpaceDE w:val="0"/>
              <w:autoSpaceDN w:val="0"/>
              <w:adjustRightInd w:val="0"/>
              <w:jc w:val="center"/>
              <w:rPr>
                <w:b/>
                <w:sz w:val="22"/>
                <w:szCs w:val="22"/>
              </w:rPr>
            </w:pPr>
            <w:r w:rsidRPr="008B17A4">
              <w:rPr>
                <w:b/>
                <w:sz w:val="22"/>
                <w:szCs w:val="22"/>
              </w:rPr>
              <w:t>Мярка</w:t>
            </w:r>
          </w:p>
        </w:tc>
        <w:tc>
          <w:tcPr>
            <w:tcW w:w="816" w:type="pct"/>
            <w:vMerge w:val="restart"/>
          </w:tcPr>
          <w:p w14:paraId="4763D618" w14:textId="77777777" w:rsidR="002612FD" w:rsidRPr="00EA2F1D" w:rsidRDefault="002612FD" w:rsidP="00504724">
            <w:pPr>
              <w:widowControl w:val="0"/>
              <w:autoSpaceDE w:val="0"/>
              <w:autoSpaceDN w:val="0"/>
              <w:adjustRightInd w:val="0"/>
              <w:jc w:val="center"/>
              <w:rPr>
                <w:b/>
                <w:sz w:val="22"/>
                <w:szCs w:val="22"/>
              </w:rPr>
            </w:pPr>
            <w:r w:rsidRPr="00EA2F1D">
              <w:rPr>
                <w:b/>
                <w:sz w:val="22"/>
                <w:szCs w:val="22"/>
              </w:rPr>
              <w:t xml:space="preserve">Описание на </w:t>
            </w:r>
          </w:p>
          <w:p w14:paraId="5C1931FB" w14:textId="77777777" w:rsidR="002612FD" w:rsidRPr="00EA2F1D" w:rsidRDefault="002612FD" w:rsidP="00504724">
            <w:pPr>
              <w:widowControl w:val="0"/>
              <w:autoSpaceDE w:val="0"/>
              <w:autoSpaceDN w:val="0"/>
              <w:adjustRightInd w:val="0"/>
              <w:jc w:val="center"/>
              <w:rPr>
                <w:b/>
                <w:sz w:val="22"/>
                <w:szCs w:val="22"/>
              </w:rPr>
            </w:pPr>
            <w:r w:rsidRPr="00EA2F1D">
              <w:rPr>
                <w:b/>
                <w:sz w:val="22"/>
                <w:szCs w:val="22"/>
              </w:rPr>
              <w:t>мярката</w:t>
            </w:r>
          </w:p>
        </w:tc>
        <w:tc>
          <w:tcPr>
            <w:tcW w:w="481" w:type="pct"/>
            <w:vMerge w:val="restart"/>
          </w:tcPr>
          <w:p w14:paraId="4D9F4D2A" w14:textId="77777777" w:rsidR="002612FD" w:rsidRPr="00EA2F1D" w:rsidRDefault="002612FD" w:rsidP="00504724">
            <w:pPr>
              <w:widowControl w:val="0"/>
              <w:autoSpaceDE w:val="0"/>
              <w:autoSpaceDN w:val="0"/>
              <w:adjustRightInd w:val="0"/>
              <w:ind w:left="-197" w:right="-105"/>
              <w:jc w:val="center"/>
              <w:rPr>
                <w:b/>
                <w:sz w:val="22"/>
                <w:szCs w:val="22"/>
              </w:rPr>
            </w:pPr>
            <w:r w:rsidRPr="00EA2F1D">
              <w:rPr>
                <w:b/>
                <w:sz w:val="22"/>
                <w:szCs w:val="22"/>
              </w:rPr>
              <w:t>Водеща / подпомагаща институция / организация</w:t>
            </w:r>
          </w:p>
        </w:tc>
        <w:tc>
          <w:tcPr>
            <w:tcW w:w="396" w:type="pct"/>
            <w:vMerge w:val="restart"/>
          </w:tcPr>
          <w:p w14:paraId="73601C12" w14:textId="77777777" w:rsidR="002612FD" w:rsidRPr="00EA2F1D" w:rsidRDefault="002612FD" w:rsidP="00504724">
            <w:pPr>
              <w:widowControl w:val="0"/>
              <w:autoSpaceDE w:val="0"/>
              <w:autoSpaceDN w:val="0"/>
              <w:adjustRightInd w:val="0"/>
              <w:ind w:left="-109" w:right="-187"/>
              <w:jc w:val="center"/>
              <w:rPr>
                <w:b/>
                <w:sz w:val="22"/>
                <w:szCs w:val="22"/>
              </w:rPr>
            </w:pPr>
            <w:r w:rsidRPr="00EA2F1D">
              <w:rPr>
                <w:b/>
                <w:sz w:val="22"/>
                <w:szCs w:val="22"/>
              </w:rPr>
              <w:t>Срок на изпълнение</w:t>
            </w:r>
          </w:p>
        </w:tc>
        <w:tc>
          <w:tcPr>
            <w:tcW w:w="647" w:type="pct"/>
            <w:vMerge w:val="restart"/>
          </w:tcPr>
          <w:p w14:paraId="4921DA3F" w14:textId="77777777" w:rsidR="002612FD" w:rsidRPr="00EA2F1D" w:rsidRDefault="002612FD" w:rsidP="00504724">
            <w:pPr>
              <w:widowControl w:val="0"/>
              <w:autoSpaceDE w:val="0"/>
              <w:autoSpaceDN w:val="0"/>
              <w:adjustRightInd w:val="0"/>
              <w:jc w:val="center"/>
              <w:rPr>
                <w:b/>
                <w:sz w:val="22"/>
                <w:szCs w:val="22"/>
              </w:rPr>
            </w:pPr>
            <w:r w:rsidRPr="00EA2F1D">
              <w:rPr>
                <w:b/>
                <w:sz w:val="22"/>
                <w:szCs w:val="22"/>
              </w:rPr>
              <w:t>Очакван резултат</w:t>
            </w:r>
          </w:p>
        </w:tc>
        <w:tc>
          <w:tcPr>
            <w:tcW w:w="1217" w:type="pct"/>
            <w:gridSpan w:val="3"/>
          </w:tcPr>
          <w:p w14:paraId="32BE7888" w14:textId="77777777" w:rsidR="002612FD" w:rsidRPr="00EA2F1D" w:rsidRDefault="002612FD" w:rsidP="00504724">
            <w:pPr>
              <w:widowControl w:val="0"/>
              <w:autoSpaceDE w:val="0"/>
              <w:autoSpaceDN w:val="0"/>
              <w:adjustRightInd w:val="0"/>
              <w:jc w:val="center"/>
              <w:rPr>
                <w:b/>
                <w:sz w:val="22"/>
                <w:szCs w:val="22"/>
              </w:rPr>
            </w:pPr>
            <w:r w:rsidRPr="00EA2F1D">
              <w:rPr>
                <w:b/>
                <w:sz w:val="22"/>
                <w:szCs w:val="22"/>
              </w:rPr>
              <w:t>Индикатори за изпълнение</w:t>
            </w:r>
          </w:p>
        </w:tc>
        <w:tc>
          <w:tcPr>
            <w:tcW w:w="540" w:type="pct"/>
          </w:tcPr>
          <w:p w14:paraId="5022C47C" w14:textId="5B6CFF7C" w:rsidR="002612FD" w:rsidRPr="00EA2F1D" w:rsidRDefault="002612FD" w:rsidP="00504724">
            <w:pPr>
              <w:widowControl w:val="0"/>
              <w:autoSpaceDE w:val="0"/>
              <w:autoSpaceDN w:val="0"/>
              <w:adjustRightInd w:val="0"/>
              <w:jc w:val="center"/>
              <w:rPr>
                <w:b/>
                <w:sz w:val="22"/>
                <w:szCs w:val="22"/>
              </w:rPr>
            </w:pPr>
            <w:r w:rsidRPr="00EA2F1D">
              <w:rPr>
                <w:b/>
                <w:sz w:val="22"/>
                <w:szCs w:val="22"/>
              </w:rPr>
              <w:t>Необходими средства</w:t>
            </w:r>
            <w:r w:rsidR="00FE4C07">
              <w:rPr>
                <w:b/>
                <w:sz w:val="22"/>
                <w:szCs w:val="22"/>
              </w:rPr>
              <w:t xml:space="preserve"> </w:t>
            </w:r>
            <w:r w:rsidRPr="00EA2F1D">
              <w:rPr>
                <w:b/>
                <w:sz w:val="22"/>
                <w:szCs w:val="22"/>
              </w:rPr>
              <w:t>/ Източник на финансиране</w:t>
            </w:r>
          </w:p>
        </w:tc>
      </w:tr>
      <w:bookmarkEnd w:id="18"/>
      <w:tr w:rsidR="001632CA" w:rsidRPr="00EA2F1D" w14:paraId="5DA829DE" w14:textId="77777777" w:rsidTr="0061541E">
        <w:trPr>
          <w:gridAfter w:val="1"/>
          <w:wAfter w:w="71" w:type="pct"/>
          <w:jc w:val="center"/>
        </w:trPr>
        <w:tc>
          <w:tcPr>
            <w:tcW w:w="185" w:type="pct"/>
            <w:vMerge/>
          </w:tcPr>
          <w:p w14:paraId="71F36FE0" w14:textId="77777777" w:rsidR="002612FD" w:rsidRPr="00EA2F1D" w:rsidRDefault="002612FD" w:rsidP="00F22769">
            <w:pPr>
              <w:widowControl w:val="0"/>
              <w:autoSpaceDE w:val="0"/>
              <w:autoSpaceDN w:val="0"/>
              <w:adjustRightInd w:val="0"/>
              <w:jc w:val="center"/>
              <w:rPr>
                <w:b/>
                <w:sz w:val="22"/>
                <w:szCs w:val="22"/>
              </w:rPr>
            </w:pPr>
          </w:p>
        </w:tc>
        <w:tc>
          <w:tcPr>
            <w:tcW w:w="647" w:type="pct"/>
            <w:vMerge/>
          </w:tcPr>
          <w:p w14:paraId="2317DBE3" w14:textId="77777777" w:rsidR="002612FD" w:rsidRPr="00EA2F1D" w:rsidRDefault="002612FD" w:rsidP="00504724">
            <w:pPr>
              <w:widowControl w:val="0"/>
              <w:autoSpaceDE w:val="0"/>
              <w:autoSpaceDN w:val="0"/>
              <w:adjustRightInd w:val="0"/>
              <w:jc w:val="center"/>
              <w:rPr>
                <w:b/>
                <w:sz w:val="22"/>
                <w:szCs w:val="22"/>
              </w:rPr>
            </w:pPr>
          </w:p>
        </w:tc>
        <w:tc>
          <w:tcPr>
            <w:tcW w:w="816" w:type="pct"/>
            <w:vMerge/>
          </w:tcPr>
          <w:p w14:paraId="655B6283" w14:textId="77777777" w:rsidR="002612FD" w:rsidRPr="00EA2F1D" w:rsidRDefault="002612FD" w:rsidP="00504724">
            <w:pPr>
              <w:widowControl w:val="0"/>
              <w:autoSpaceDE w:val="0"/>
              <w:autoSpaceDN w:val="0"/>
              <w:adjustRightInd w:val="0"/>
              <w:jc w:val="center"/>
              <w:rPr>
                <w:b/>
                <w:sz w:val="22"/>
                <w:szCs w:val="22"/>
              </w:rPr>
            </w:pPr>
          </w:p>
        </w:tc>
        <w:tc>
          <w:tcPr>
            <w:tcW w:w="481" w:type="pct"/>
            <w:vMerge/>
          </w:tcPr>
          <w:p w14:paraId="7DDF2DA1" w14:textId="77777777" w:rsidR="002612FD" w:rsidRPr="00EA2F1D" w:rsidRDefault="002612FD" w:rsidP="00504724">
            <w:pPr>
              <w:widowControl w:val="0"/>
              <w:autoSpaceDE w:val="0"/>
              <w:autoSpaceDN w:val="0"/>
              <w:adjustRightInd w:val="0"/>
              <w:jc w:val="center"/>
              <w:rPr>
                <w:b/>
                <w:sz w:val="22"/>
                <w:szCs w:val="22"/>
              </w:rPr>
            </w:pPr>
          </w:p>
        </w:tc>
        <w:tc>
          <w:tcPr>
            <w:tcW w:w="396" w:type="pct"/>
            <w:vMerge/>
          </w:tcPr>
          <w:p w14:paraId="75E664DC" w14:textId="77777777" w:rsidR="002612FD" w:rsidRPr="00EA2F1D" w:rsidRDefault="002612FD" w:rsidP="00504724">
            <w:pPr>
              <w:widowControl w:val="0"/>
              <w:autoSpaceDE w:val="0"/>
              <w:autoSpaceDN w:val="0"/>
              <w:adjustRightInd w:val="0"/>
              <w:jc w:val="center"/>
              <w:rPr>
                <w:b/>
                <w:sz w:val="22"/>
                <w:szCs w:val="22"/>
              </w:rPr>
            </w:pPr>
          </w:p>
        </w:tc>
        <w:tc>
          <w:tcPr>
            <w:tcW w:w="647" w:type="pct"/>
            <w:vMerge/>
          </w:tcPr>
          <w:p w14:paraId="22B83101" w14:textId="77777777" w:rsidR="002612FD" w:rsidRPr="00EA2F1D" w:rsidRDefault="002612FD" w:rsidP="00504724">
            <w:pPr>
              <w:widowControl w:val="0"/>
              <w:autoSpaceDE w:val="0"/>
              <w:autoSpaceDN w:val="0"/>
              <w:adjustRightInd w:val="0"/>
              <w:jc w:val="center"/>
              <w:rPr>
                <w:b/>
                <w:sz w:val="22"/>
                <w:szCs w:val="22"/>
              </w:rPr>
            </w:pPr>
          </w:p>
        </w:tc>
        <w:tc>
          <w:tcPr>
            <w:tcW w:w="524" w:type="pct"/>
          </w:tcPr>
          <w:p w14:paraId="0F3CA831" w14:textId="77777777" w:rsidR="002612FD" w:rsidRPr="00EA2F1D" w:rsidRDefault="002612FD" w:rsidP="00504724">
            <w:pPr>
              <w:widowControl w:val="0"/>
              <w:autoSpaceDE w:val="0"/>
              <w:autoSpaceDN w:val="0"/>
              <w:adjustRightInd w:val="0"/>
              <w:jc w:val="center"/>
              <w:rPr>
                <w:b/>
                <w:sz w:val="22"/>
                <w:szCs w:val="22"/>
              </w:rPr>
            </w:pPr>
            <w:r w:rsidRPr="00EA2F1D">
              <w:rPr>
                <w:b/>
                <w:sz w:val="22"/>
                <w:szCs w:val="22"/>
              </w:rPr>
              <w:t>Описание на индикатора</w:t>
            </w:r>
          </w:p>
        </w:tc>
        <w:tc>
          <w:tcPr>
            <w:tcW w:w="323" w:type="pct"/>
          </w:tcPr>
          <w:p w14:paraId="250D1574" w14:textId="77777777" w:rsidR="002612FD" w:rsidRPr="00EA2F1D" w:rsidRDefault="002612FD" w:rsidP="00504724">
            <w:pPr>
              <w:widowControl w:val="0"/>
              <w:autoSpaceDE w:val="0"/>
              <w:autoSpaceDN w:val="0"/>
              <w:adjustRightInd w:val="0"/>
              <w:ind w:left="-74" w:right="-58"/>
              <w:jc w:val="center"/>
              <w:rPr>
                <w:b/>
                <w:sz w:val="22"/>
                <w:szCs w:val="22"/>
              </w:rPr>
            </w:pPr>
            <w:r w:rsidRPr="00EA2F1D">
              <w:rPr>
                <w:b/>
                <w:sz w:val="22"/>
                <w:szCs w:val="22"/>
              </w:rPr>
              <w:t>Текуща стойност</w:t>
            </w:r>
          </w:p>
        </w:tc>
        <w:tc>
          <w:tcPr>
            <w:tcW w:w="369" w:type="pct"/>
          </w:tcPr>
          <w:p w14:paraId="01FCB8B8" w14:textId="77777777" w:rsidR="002612FD" w:rsidRPr="00EA2F1D" w:rsidRDefault="002612FD" w:rsidP="00504724">
            <w:pPr>
              <w:widowControl w:val="0"/>
              <w:autoSpaceDE w:val="0"/>
              <w:autoSpaceDN w:val="0"/>
              <w:adjustRightInd w:val="0"/>
              <w:ind w:left="-156" w:right="-190"/>
              <w:jc w:val="center"/>
              <w:rPr>
                <w:b/>
                <w:sz w:val="22"/>
                <w:szCs w:val="22"/>
              </w:rPr>
            </w:pPr>
            <w:r w:rsidRPr="00EA2F1D">
              <w:rPr>
                <w:b/>
                <w:sz w:val="22"/>
                <w:szCs w:val="22"/>
              </w:rPr>
              <w:t>Целева стойност</w:t>
            </w:r>
          </w:p>
        </w:tc>
        <w:tc>
          <w:tcPr>
            <w:tcW w:w="540" w:type="pct"/>
          </w:tcPr>
          <w:p w14:paraId="57471973" w14:textId="77777777" w:rsidR="002612FD" w:rsidRPr="00EA2F1D" w:rsidRDefault="002612FD" w:rsidP="00504724">
            <w:pPr>
              <w:widowControl w:val="0"/>
              <w:autoSpaceDE w:val="0"/>
              <w:autoSpaceDN w:val="0"/>
              <w:adjustRightInd w:val="0"/>
              <w:jc w:val="center"/>
              <w:rPr>
                <w:b/>
                <w:sz w:val="22"/>
                <w:szCs w:val="22"/>
              </w:rPr>
            </w:pPr>
          </w:p>
        </w:tc>
      </w:tr>
      <w:tr w:rsidR="002612FD" w:rsidRPr="00EA2F1D" w14:paraId="1CE8FE52" w14:textId="77777777" w:rsidTr="001632CA">
        <w:trPr>
          <w:trHeight w:val="547"/>
          <w:jc w:val="center"/>
        </w:trPr>
        <w:tc>
          <w:tcPr>
            <w:tcW w:w="5000" w:type="pct"/>
            <w:gridSpan w:val="11"/>
            <w:shd w:val="clear" w:color="auto" w:fill="CCCCCC"/>
          </w:tcPr>
          <w:p w14:paraId="175B195F" w14:textId="77777777" w:rsidR="002612FD" w:rsidRPr="00EA2F1D" w:rsidRDefault="002612FD" w:rsidP="00F22769">
            <w:pPr>
              <w:pStyle w:val="ListParagraph"/>
              <w:widowControl w:val="0"/>
              <w:numPr>
                <w:ilvl w:val="0"/>
                <w:numId w:val="42"/>
              </w:numPr>
              <w:autoSpaceDE w:val="0"/>
              <w:autoSpaceDN w:val="0"/>
              <w:adjustRightInd w:val="0"/>
              <w:jc w:val="center"/>
              <w:rPr>
                <w:b/>
                <w:sz w:val="22"/>
                <w:szCs w:val="22"/>
              </w:rPr>
            </w:pPr>
            <w:r w:rsidRPr="00EA2F1D">
              <w:rPr>
                <w:b/>
                <w:sz w:val="22"/>
                <w:szCs w:val="22"/>
              </w:rPr>
              <w:t>ЗАКОНОДАТЕЛНИ МЕРКИ</w:t>
            </w:r>
          </w:p>
        </w:tc>
      </w:tr>
      <w:tr w:rsidR="001632CA" w:rsidRPr="00EA2F1D" w14:paraId="145219BC" w14:textId="77777777" w:rsidTr="0061541E">
        <w:trPr>
          <w:gridAfter w:val="1"/>
          <w:wAfter w:w="71" w:type="pct"/>
          <w:trHeight w:val="3830"/>
          <w:jc w:val="center"/>
        </w:trPr>
        <w:tc>
          <w:tcPr>
            <w:tcW w:w="185" w:type="pct"/>
          </w:tcPr>
          <w:p w14:paraId="31715B18" w14:textId="7F922870" w:rsidR="002612FD" w:rsidRPr="00486D38" w:rsidRDefault="002612FD" w:rsidP="00F22769">
            <w:pPr>
              <w:jc w:val="center"/>
              <w:rPr>
                <w:sz w:val="22"/>
                <w:szCs w:val="22"/>
              </w:rPr>
            </w:pPr>
            <w:r w:rsidRPr="00486D38">
              <w:rPr>
                <w:sz w:val="22"/>
                <w:szCs w:val="22"/>
              </w:rPr>
              <w:t>1</w:t>
            </w:r>
            <w:r w:rsidR="00FE4C07">
              <w:rPr>
                <w:sz w:val="22"/>
                <w:szCs w:val="22"/>
              </w:rPr>
              <w:t>.</w:t>
            </w:r>
          </w:p>
        </w:tc>
        <w:tc>
          <w:tcPr>
            <w:tcW w:w="647" w:type="pct"/>
          </w:tcPr>
          <w:p w14:paraId="64C0703F" w14:textId="7D1FA583" w:rsidR="002612FD" w:rsidRPr="00486D38" w:rsidRDefault="0097004F" w:rsidP="001B6335">
            <w:pPr>
              <w:rPr>
                <w:sz w:val="22"/>
                <w:szCs w:val="22"/>
              </w:rPr>
            </w:pPr>
            <w:r w:rsidRPr="00486D38">
              <w:rPr>
                <w:sz w:val="22"/>
                <w:szCs w:val="22"/>
              </w:rPr>
              <w:t>Разработване на проект</w:t>
            </w:r>
            <w:r w:rsidR="002612FD" w:rsidRPr="00486D38">
              <w:rPr>
                <w:sz w:val="22"/>
                <w:szCs w:val="22"/>
              </w:rPr>
              <w:t xml:space="preserve"> на </w:t>
            </w:r>
            <w:r w:rsidR="001B6335">
              <w:rPr>
                <w:sz w:val="22"/>
                <w:szCs w:val="22"/>
              </w:rPr>
              <w:t>Закон за изменение и допълнение</w:t>
            </w:r>
            <w:r w:rsidR="001B6335" w:rsidRPr="00486D38">
              <w:rPr>
                <w:sz w:val="22"/>
                <w:szCs w:val="22"/>
              </w:rPr>
              <w:t xml:space="preserve"> </w:t>
            </w:r>
            <w:r w:rsidR="002612FD" w:rsidRPr="00486D38">
              <w:rPr>
                <w:sz w:val="22"/>
                <w:szCs w:val="22"/>
              </w:rPr>
              <w:t xml:space="preserve">на Кодекса на труда </w:t>
            </w:r>
            <w:r w:rsidR="001B6335">
              <w:rPr>
                <w:sz w:val="22"/>
                <w:szCs w:val="22"/>
              </w:rPr>
              <w:t>(ЗИД на КТ)</w:t>
            </w:r>
          </w:p>
        </w:tc>
        <w:tc>
          <w:tcPr>
            <w:tcW w:w="816" w:type="pct"/>
          </w:tcPr>
          <w:p w14:paraId="459F1A7F" w14:textId="77777777" w:rsidR="002612FD" w:rsidRPr="00486D38" w:rsidRDefault="0097004F" w:rsidP="00722445">
            <w:pPr>
              <w:rPr>
                <w:sz w:val="22"/>
                <w:szCs w:val="22"/>
              </w:rPr>
            </w:pPr>
            <w:r w:rsidRPr="00486D38">
              <w:rPr>
                <w:sz w:val="22"/>
                <w:szCs w:val="22"/>
              </w:rPr>
              <w:t xml:space="preserve">Регламентиране на новите форми на труд и възможността за заетите в тях да участват в колективното договаряне; </w:t>
            </w:r>
            <w:r w:rsidR="004C7C5E">
              <w:rPr>
                <w:sz w:val="22"/>
                <w:szCs w:val="22"/>
              </w:rPr>
              <w:t>у</w:t>
            </w:r>
            <w:r w:rsidRPr="00486D38">
              <w:rPr>
                <w:sz w:val="22"/>
                <w:szCs w:val="22"/>
              </w:rPr>
              <w:t>реждане на възможност за сключване</w:t>
            </w:r>
            <w:r w:rsidR="004C7C5E">
              <w:rPr>
                <w:sz w:val="22"/>
                <w:szCs w:val="22"/>
                <w:lang w:val="en-US"/>
              </w:rPr>
              <w:t xml:space="preserve"> </w:t>
            </w:r>
            <w:r w:rsidR="004C7C5E">
              <w:rPr>
                <w:sz w:val="22"/>
                <w:szCs w:val="22"/>
              </w:rPr>
              <w:t>и регистриране</w:t>
            </w:r>
            <w:r w:rsidRPr="00486D38">
              <w:rPr>
                <w:sz w:val="22"/>
                <w:szCs w:val="22"/>
              </w:rPr>
              <w:t xml:space="preserve"> на колективен т</w:t>
            </w:r>
            <w:r w:rsidR="00773B15" w:rsidRPr="00486D38">
              <w:rPr>
                <w:sz w:val="22"/>
                <w:szCs w:val="22"/>
              </w:rPr>
              <w:t>рудов договор по електронен път</w:t>
            </w:r>
            <w:r w:rsidR="004C7C5E">
              <w:rPr>
                <w:sz w:val="22"/>
                <w:szCs w:val="22"/>
              </w:rPr>
              <w:t>; регламентиране на електронен регистър на КТД, поддържан от НИПА</w:t>
            </w:r>
            <w:r w:rsidR="00722445">
              <w:rPr>
                <w:sz w:val="22"/>
                <w:szCs w:val="22"/>
              </w:rPr>
              <w:t>.</w:t>
            </w:r>
          </w:p>
        </w:tc>
        <w:tc>
          <w:tcPr>
            <w:tcW w:w="481" w:type="pct"/>
          </w:tcPr>
          <w:p w14:paraId="03C84C69" w14:textId="77777777" w:rsidR="002612FD" w:rsidRPr="00486D38" w:rsidRDefault="0097004F" w:rsidP="0097004F">
            <w:pPr>
              <w:rPr>
                <w:sz w:val="22"/>
                <w:szCs w:val="22"/>
              </w:rPr>
            </w:pPr>
            <w:r w:rsidRPr="00486D38">
              <w:rPr>
                <w:sz w:val="22"/>
                <w:szCs w:val="22"/>
              </w:rPr>
              <w:t>МТСП / социални партньори</w:t>
            </w:r>
          </w:p>
        </w:tc>
        <w:tc>
          <w:tcPr>
            <w:tcW w:w="396" w:type="pct"/>
          </w:tcPr>
          <w:p w14:paraId="36281C8E" w14:textId="77777777" w:rsidR="002612FD" w:rsidRPr="00486D38" w:rsidRDefault="00773B15" w:rsidP="00504724">
            <w:pPr>
              <w:rPr>
                <w:sz w:val="22"/>
                <w:szCs w:val="22"/>
              </w:rPr>
            </w:pPr>
            <w:r w:rsidRPr="00486D38">
              <w:rPr>
                <w:sz w:val="22"/>
                <w:szCs w:val="22"/>
              </w:rPr>
              <w:t>2026</w:t>
            </w:r>
          </w:p>
        </w:tc>
        <w:tc>
          <w:tcPr>
            <w:tcW w:w="647" w:type="pct"/>
          </w:tcPr>
          <w:p w14:paraId="3BDC4735" w14:textId="77777777" w:rsidR="002612FD" w:rsidRPr="00486D38" w:rsidRDefault="002612FD" w:rsidP="001B6335">
            <w:pPr>
              <w:rPr>
                <w:sz w:val="22"/>
                <w:szCs w:val="22"/>
              </w:rPr>
            </w:pPr>
            <w:r w:rsidRPr="00486D38">
              <w:rPr>
                <w:sz w:val="22"/>
                <w:szCs w:val="22"/>
              </w:rPr>
              <w:t>Усъв</w:t>
            </w:r>
            <w:r w:rsidR="004C7C5E">
              <w:rPr>
                <w:sz w:val="22"/>
                <w:szCs w:val="22"/>
              </w:rPr>
              <w:t xml:space="preserve">ършенствана правна рамка за КТД; </w:t>
            </w:r>
            <w:r w:rsidR="00773B15" w:rsidRPr="00486D38">
              <w:rPr>
                <w:sz w:val="22"/>
                <w:szCs w:val="22"/>
              </w:rPr>
              <w:t xml:space="preserve">включване в обхвата на договарянето на лицата, </w:t>
            </w:r>
            <w:r w:rsidR="004C7C5E">
              <w:rPr>
                <w:sz w:val="22"/>
                <w:szCs w:val="22"/>
              </w:rPr>
              <w:t>наети</w:t>
            </w:r>
            <w:r w:rsidR="00773B15" w:rsidRPr="00486D38">
              <w:rPr>
                <w:sz w:val="22"/>
                <w:szCs w:val="22"/>
              </w:rPr>
              <w:t xml:space="preserve"> в нови форми на труд</w:t>
            </w:r>
            <w:r w:rsidR="004C7C5E">
              <w:rPr>
                <w:sz w:val="22"/>
                <w:szCs w:val="22"/>
              </w:rPr>
              <w:t>; намаляване на административната тежест при регистриране на колективни договори</w:t>
            </w:r>
          </w:p>
        </w:tc>
        <w:tc>
          <w:tcPr>
            <w:tcW w:w="524" w:type="pct"/>
          </w:tcPr>
          <w:p w14:paraId="0CA48B02" w14:textId="77777777" w:rsidR="002612FD" w:rsidRPr="00486D38" w:rsidRDefault="00390C4F" w:rsidP="00504724">
            <w:pPr>
              <w:rPr>
                <w:sz w:val="22"/>
                <w:szCs w:val="22"/>
              </w:rPr>
            </w:pPr>
            <w:r w:rsidRPr="00486D38">
              <w:rPr>
                <w:sz w:val="22"/>
                <w:szCs w:val="22"/>
              </w:rPr>
              <w:t>П</w:t>
            </w:r>
            <w:r w:rsidR="0097004F" w:rsidRPr="00486D38">
              <w:rPr>
                <w:sz w:val="22"/>
                <w:szCs w:val="22"/>
              </w:rPr>
              <w:t>роект на ЗИД на КТ</w:t>
            </w:r>
          </w:p>
        </w:tc>
        <w:tc>
          <w:tcPr>
            <w:tcW w:w="323" w:type="pct"/>
          </w:tcPr>
          <w:p w14:paraId="1F757B88" w14:textId="77777777" w:rsidR="002612FD" w:rsidRPr="00486D38" w:rsidRDefault="0097004F" w:rsidP="00504724">
            <w:pPr>
              <w:rPr>
                <w:sz w:val="22"/>
                <w:szCs w:val="22"/>
              </w:rPr>
            </w:pPr>
            <w:r w:rsidRPr="00486D38">
              <w:rPr>
                <w:sz w:val="22"/>
                <w:szCs w:val="22"/>
              </w:rPr>
              <w:t>0</w:t>
            </w:r>
          </w:p>
        </w:tc>
        <w:tc>
          <w:tcPr>
            <w:tcW w:w="369" w:type="pct"/>
          </w:tcPr>
          <w:p w14:paraId="7910E5E5" w14:textId="77777777" w:rsidR="002612FD" w:rsidRPr="00486D38" w:rsidRDefault="0097004F" w:rsidP="00504724">
            <w:pPr>
              <w:rPr>
                <w:sz w:val="22"/>
                <w:szCs w:val="22"/>
              </w:rPr>
            </w:pPr>
            <w:r w:rsidRPr="00486D38">
              <w:rPr>
                <w:sz w:val="22"/>
                <w:szCs w:val="22"/>
              </w:rPr>
              <w:t>1</w:t>
            </w:r>
          </w:p>
        </w:tc>
        <w:tc>
          <w:tcPr>
            <w:tcW w:w="540" w:type="pct"/>
          </w:tcPr>
          <w:p w14:paraId="18508C10" w14:textId="77777777" w:rsidR="002612FD" w:rsidRDefault="0097004F" w:rsidP="00504724">
            <w:pPr>
              <w:rPr>
                <w:sz w:val="22"/>
                <w:szCs w:val="22"/>
              </w:rPr>
            </w:pPr>
            <w:r w:rsidRPr="00486D38">
              <w:rPr>
                <w:sz w:val="22"/>
                <w:szCs w:val="22"/>
              </w:rPr>
              <w:t>В рамките на бюджета на МТСП</w:t>
            </w:r>
          </w:p>
          <w:p w14:paraId="6519FDAE" w14:textId="77777777" w:rsidR="00200774" w:rsidRDefault="00200774" w:rsidP="00504724">
            <w:pPr>
              <w:rPr>
                <w:sz w:val="22"/>
                <w:szCs w:val="22"/>
                <w:lang w:val="en-US"/>
              </w:rPr>
            </w:pPr>
          </w:p>
          <w:p w14:paraId="3125DB12" w14:textId="77777777" w:rsidR="00200774" w:rsidRPr="00200774" w:rsidRDefault="00200774" w:rsidP="00504724">
            <w:pPr>
              <w:rPr>
                <w:sz w:val="22"/>
                <w:szCs w:val="22"/>
              </w:rPr>
            </w:pPr>
          </w:p>
        </w:tc>
      </w:tr>
      <w:tr w:rsidR="001632CA" w:rsidRPr="00EA2F1D" w14:paraId="188822EF" w14:textId="77777777" w:rsidTr="0061541E">
        <w:trPr>
          <w:gridAfter w:val="1"/>
          <w:wAfter w:w="71" w:type="pct"/>
          <w:jc w:val="center"/>
        </w:trPr>
        <w:tc>
          <w:tcPr>
            <w:tcW w:w="185" w:type="pct"/>
          </w:tcPr>
          <w:p w14:paraId="2CB1ECC2" w14:textId="25265337" w:rsidR="002612FD" w:rsidRPr="00486D38" w:rsidRDefault="002612FD" w:rsidP="00F22769">
            <w:pPr>
              <w:jc w:val="center"/>
              <w:rPr>
                <w:sz w:val="22"/>
                <w:szCs w:val="22"/>
              </w:rPr>
            </w:pPr>
            <w:r w:rsidRPr="00486D38">
              <w:rPr>
                <w:sz w:val="22"/>
                <w:szCs w:val="22"/>
              </w:rPr>
              <w:t>2</w:t>
            </w:r>
            <w:r w:rsidR="00FE4C07">
              <w:rPr>
                <w:sz w:val="22"/>
                <w:szCs w:val="22"/>
              </w:rPr>
              <w:t>.</w:t>
            </w:r>
          </w:p>
        </w:tc>
        <w:tc>
          <w:tcPr>
            <w:tcW w:w="647" w:type="pct"/>
          </w:tcPr>
          <w:p w14:paraId="40D48F71" w14:textId="77777777" w:rsidR="002612FD" w:rsidRPr="00486D38" w:rsidRDefault="0097004F" w:rsidP="001B6335">
            <w:pPr>
              <w:rPr>
                <w:sz w:val="22"/>
                <w:szCs w:val="22"/>
              </w:rPr>
            </w:pPr>
            <w:r w:rsidRPr="00486D38">
              <w:rPr>
                <w:sz w:val="22"/>
                <w:szCs w:val="22"/>
              </w:rPr>
              <w:t xml:space="preserve">Разработване на проект на </w:t>
            </w:r>
            <w:r w:rsidR="001B6335">
              <w:rPr>
                <w:sz w:val="22"/>
                <w:szCs w:val="22"/>
              </w:rPr>
              <w:t>Закон за изменение и допълнение</w:t>
            </w:r>
            <w:r w:rsidR="001B6335" w:rsidRPr="00486D38">
              <w:rPr>
                <w:sz w:val="22"/>
                <w:szCs w:val="22"/>
              </w:rPr>
              <w:t xml:space="preserve"> </w:t>
            </w:r>
            <w:r w:rsidRPr="00486D38">
              <w:rPr>
                <w:sz w:val="22"/>
                <w:szCs w:val="22"/>
              </w:rPr>
              <w:t xml:space="preserve">на </w:t>
            </w:r>
            <w:r w:rsidR="002612FD" w:rsidRPr="00486D38">
              <w:rPr>
                <w:sz w:val="22"/>
                <w:szCs w:val="22"/>
              </w:rPr>
              <w:t xml:space="preserve">Закона за държавния служител </w:t>
            </w:r>
            <w:r w:rsidR="001B6335">
              <w:rPr>
                <w:sz w:val="22"/>
                <w:szCs w:val="22"/>
              </w:rPr>
              <w:t>(ЗИД на ЗДСл)</w:t>
            </w:r>
          </w:p>
        </w:tc>
        <w:tc>
          <w:tcPr>
            <w:tcW w:w="816" w:type="pct"/>
          </w:tcPr>
          <w:p w14:paraId="358FA809" w14:textId="1BFAE457" w:rsidR="002612FD" w:rsidRPr="00486D38" w:rsidRDefault="00AF6BAE" w:rsidP="00504724">
            <w:pPr>
              <w:rPr>
                <w:sz w:val="22"/>
                <w:szCs w:val="22"/>
              </w:rPr>
            </w:pPr>
            <w:r>
              <w:rPr>
                <w:sz w:val="22"/>
                <w:szCs w:val="22"/>
              </w:rPr>
              <w:t>Прецизиране на делегацията на чл. 46а от ЗДС</w:t>
            </w:r>
            <w:r w:rsidR="00FE4C07">
              <w:rPr>
                <w:sz w:val="22"/>
                <w:szCs w:val="22"/>
              </w:rPr>
              <w:t>л</w:t>
            </w:r>
            <w:r>
              <w:rPr>
                <w:sz w:val="22"/>
                <w:szCs w:val="22"/>
              </w:rPr>
              <w:t xml:space="preserve"> за издаване на наредба, уреждаща сътрудничеството между Министерския съвет и синдикалните организации на държавните служители</w:t>
            </w:r>
          </w:p>
        </w:tc>
        <w:tc>
          <w:tcPr>
            <w:tcW w:w="481" w:type="pct"/>
          </w:tcPr>
          <w:p w14:paraId="632E2DC5" w14:textId="1B0494BB" w:rsidR="002612FD" w:rsidRPr="00486D38" w:rsidRDefault="005355C9" w:rsidP="00504724">
            <w:pPr>
              <w:rPr>
                <w:sz w:val="22"/>
                <w:szCs w:val="22"/>
              </w:rPr>
            </w:pPr>
            <w:r>
              <w:rPr>
                <w:sz w:val="22"/>
                <w:szCs w:val="22"/>
              </w:rPr>
              <w:t>А</w:t>
            </w:r>
            <w:r w:rsidR="002612FD" w:rsidRPr="00486D38">
              <w:rPr>
                <w:sz w:val="22"/>
                <w:szCs w:val="22"/>
              </w:rPr>
              <w:t>МС</w:t>
            </w:r>
          </w:p>
          <w:p w14:paraId="7D9EC9DC" w14:textId="77777777" w:rsidR="002612FD" w:rsidRPr="00486D38" w:rsidRDefault="002612FD" w:rsidP="00504724">
            <w:pPr>
              <w:rPr>
                <w:sz w:val="22"/>
                <w:szCs w:val="22"/>
              </w:rPr>
            </w:pPr>
          </w:p>
        </w:tc>
        <w:tc>
          <w:tcPr>
            <w:tcW w:w="396" w:type="pct"/>
          </w:tcPr>
          <w:p w14:paraId="4FB30152" w14:textId="77777777" w:rsidR="002612FD" w:rsidRPr="00486D38" w:rsidRDefault="00EA2F1D" w:rsidP="0097004F">
            <w:pPr>
              <w:rPr>
                <w:sz w:val="22"/>
                <w:szCs w:val="22"/>
              </w:rPr>
            </w:pPr>
            <w:r w:rsidRPr="00486D38">
              <w:rPr>
                <w:sz w:val="22"/>
                <w:szCs w:val="22"/>
              </w:rPr>
              <w:t>2026-</w:t>
            </w:r>
            <w:r w:rsidR="002612FD" w:rsidRPr="00486D38">
              <w:rPr>
                <w:sz w:val="22"/>
                <w:szCs w:val="22"/>
              </w:rPr>
              <w:t>202</w:t>
            </w:r>
            <w:r w:rsidR="0097004F" w:rsidRPr="00486D38">
              <w:rPr>
                <w:sz w:val="22"/>
                <w:szCs w:val="22"/>
              </w:rPr>
              <w:t>7</w:t>
            </w:r>
          </w:p>
        </w:tc>
        <w:tc>
          <w:tcPr>
            <w:tcW w:w="647" w:type="pct"/>
          </w:tcPr>
          <w:p w14:paraId="21467F22" w14:textId="082EEA1E" w:rsidR="002612FD" w:rsidRPr="00486D38" w:rsidRDefault="00AF6BAE" w:rsidP="00734AF2">
            <w:pPr>
              <w:rPr>
                <w:sz w:val="22"/>
                <w:szCs w:val="22"/>
              </w:rPr>
            </w:pPr>
            <w:r>
              <w:rPr>
                <w:sz w:val="22"/>
                <w:szCs w:val="22"/>
              </w:rPr>
              <w:t>Пре</w:t>
            </w:r>
            <w:r w:rsidR="00F22769">
              <w:rPr>
                <w:sz w:val="22"/>
                <w:szCs w:val="22"/>
              </w:rPr>
              <w:t>ц</w:t>
            </w:r>
            <w:r w:rsidR="00ED4379">
              <w:rPr>
                <w:sz w:val="22"/>
                <w:szCs w:val="22"/>
              </w:rPr>
              <w:t>и</w:t>
            </w:r>
            <w:r>
              <w:rPr>
                <w:sz w:val="22"/>
                <w:szCs w:val="22"/>
              </w:rPr>
              <w:t xml:space="preserve">зирана </w:t>
            </w:r>
            <w:r w:rsidR="00F22769">
              <w:rPr>
                <w:sz w:val="22"/>
                <w:szCs w:val="22"/>
              </w:rPr>
              <w:t>уредба за сътрудничеството между Министерския съвет и синдикалните организации на държавните служители</w:t>
            </w:r>
          </w:p>
        </w:tc>
        <w:tc>
          <w:tcPr>
            <w:tcW w:w="524" w:type="pct"/>
          </w:tcPr>
          <w:p w14:paraId="2887F4C0" w14:textId="77777777" w:rsidR="002612FD" w:rsidRPr="00486D38" w:rsidRDefault="00390C4F" w:rsidP="00504724">
            <w:pPr>
              <w:rPr>
                <w:sz w:val="22"/>
                <w:szCs w:val="22"/>
              </w:rPr>
            </w:pPr>
            <w:r w:rsidRPr="00486D38">
              <w:rPr>
                <w:sz w:val="22"/>
                <w:szCs w:val="22"/>
              </w:rPr>
              <w:t>П</w:t>
            </w:r>
            <w:r w:rsidR="0097004F" w:rsidRPr="00486D38">
              <w:rPr>
                <w:sz w:val="22"/>
                <w:szCs w:val="22"/>
              </w:rPr>
              <w:t>роект на ЗИД на ЗДСл</w:t>
            </w:r>
          </w:p>
        </w:tc>
        <w:tc>
          <w:tcPr>
            <w:tcW w:w="323" w:type="pct"/>
          </w:tcPr>
          <w:p w14:paraId="02C5227A" w14:textId="77777777" w:rsidR="002612FD" w:rsidRPr="00486D38" w:rsidRDefault="0097004F" w:rsidP="00504724">
            <w:pPr>
              <w:rPr>
                <w:sz w:val="22"/>
                <w:szCs w:val="22"/>
              </w:rPr>
            </w:pPr>
            <w:r w:rsidRPr="00486D38">
              <w:rPr>
                <w:sz w:val="22"/>
                <w:szCs w:val="22"/>
              </w:rPr>
              <w:t>0</w:t>
            </w:r>
          </w:p>
        </w:tc>
        <w:tc>
          <w:tcPr>
            <w:tcW w:w="369" w:type="pct"/>
          </w:tcPr>
          <w:p w14:paraId="5FC842B0" w14:textId="77777777" w:rsidR="002612FD" w:rsidRPr="00486D38" w:rsidRDefault="0097004F" w:rsidP="00504724">
            <w:pPr>
              <w:rPr>
                <w:sz w:val="22"/>
                <w:szCs w:val="22"/>
              </w:rPr>
            </w:pPr>
            <w:r w:rsidRPr="00486D38">
              <w:rPr>
                <w:sz w:val="22"/>
                <w:szCs w:val="22"/>
              </w:rPr>
              <w:t>1</w:t>
            </w:r>
          </w:p>
        </w:tc>
        <w:tc>
          <w:tcPr>
            <w:tcW w:w="540" w:type="pct"/>
          </w:tcPr>
          <w:p w14:paraId="20B345C4" w14:textId="77777777" w:rsidR="002612FD" w:rsidRPr="00486D38" w:rsidRDefault="0097004F" w:rsidP="00504724">
            <w:pPr>
              <w:rPr>
                <w:sz w:val="22"/>
                <w:szCs w:val="22"/>
              </w:rPr>
            </w:pPr>
            <w:r w:rsidRPr="00486D38">
              <w:rPr>
                <w:sz w:val="22"/>
                <w:szCs w:val="22"/>
              </w:rPr>
              <w:t>В рамките на бюджета на АМС</w:t>
            </w:r>
          </w:p>
        </w:tc>
      </w:tr>
      <w:tr w:rsidR="001632CA" w:rsidRPr="004C7C5E" w14:paraId="6E161970" w14:textId="77777777" w:rsidTr="0061541E">
        <w:trPr>
          <w:gridAfter w:val="1"/>
          <w:wAfter w:w="71" w:type="pct"/>
          <w:jc w:val="center"/>
        </w:trPr>
        <w:tc>
          <w:tcPr>
            <w:tcW w:w="185" w:type="pct"/>
          </w:tcPr>
          <w:p w14:paraId="5121E395" w14:textId="734AF63D" w:rsidR="00FD6166" w:rsidRPr="004C7C5E" w:rsidRDefault="005355C9" w:rsidP="00FE4C07">
            <w:pPr>
              <w:jc w:val="center"/>
              <w:rPr>
                <w:color w:val="000000" w:themeColor="text1"/>
                <w:sz w:val="22"/>
                <w:szCs w:val="22"/>
              </w:rPr>
            </w:pPr>
            <w:r w:rsidRPr="004C7C5E">
              <w:rPr>
                <w:color w:val="000000" w:themeColor="text1"/>
                <w:sz w:val="22"/>
                <w:szCs w:val="22"/>
              </w:rPr>
              <w:lastRenderedPageBreak/>
              <w:t>3</w:t>
            </w:r>
            <w:r w:rsidR="00FE4C07">
              <w:rPr>
                <w:color w:val="000000" w:themeColor="text1"/>
                <w:sz w:val="22"/>
                <w:szCs w:val="22"/>
              </w:rPr>
              <w:t>.</w:t>
            </w:r>
          </w:p>
        </w:tc>
        <w:tc>
          <w:tcPr>
            <w:tcW w:w="647" w:type="pct"/>
          </w:tcPr>
          <w:p w14:paraId="1C24BBF9" w14:textId="17A297F2" w:rsidR="005355C9" w:rsidRPr="004C7C5E" w:rsidRDefault="005355C9" w:rsidP="005355C9">
            <w:pPr>
              <w:rPr>
                <w:color w:val="000000" w:themeColor="text1"/>
                <w:sz w:val="22"/>
                <w:szCs w:val="22"/>
              </w:rPr>
            </w:pPr>
            <w:r w:rsidRPr="004C7C5E">
              <w:rPr>
                <w:color w:val="000000" w:themeColor="text1"/>
                <w:sz w:val="22"/>
                <w:szCs w:val="22"/>
              </w:rPr>
              <w:t xml:space="preserve">Разработване на проект на наредба на основание </w:t>
            </w:r>
            <w:r w:rsidR="001632CA">
              <w:rPr>
                <w:color w:val="000000" w:themeColor="text1"/>
                <w:sz w:val="22"/>
                <w:szCs w:val="22"/>
              </w:rPr>
              <w:br/>
            </w:r>
            <w:r w:rsidRPr="004C7C5E">
              <w:rPr>
                <w:color w:val="000000" w:themeColor="text1"/>
                <w:sz w:val="22"/>
                <w:szCs w:val="22"/>
              </w:rPr>
              <w:t>чл. 46а, ал. 2 от ЗДСл</w:t>
            </w:r>
          </w:p>
        </w:tc>
        <w:tc>
          <w:tcPr>
            <w:tcW w:w="816" w:type="pct"/>
          </w:tcPr>
          <w:p w14:paraId="484C0810" w14:textId="7D9D3EA4" w:rsidR="005355C9" w:rsidRPr="00B2536B" w:rsidRDefault="00B2536B" w:rsidP="005355C9">
            <w:pPr>
              <w:rPr>
                <w:color w:val="000000" w:themeColor="text1"/>
                <w:sz w:val="22"/>
                <w:szCs w:val="22"/>
              </w:rPr>
            </w:pPr>
            <w:r>
              <w:rPr>
                <w:color w:val="000000" w:themeColor="text1"/>
                <w:sz w:val="22"/>
                <w:szCs w:val="22"/>
              </w:rPr>
              <w:t xml:space="preserve">Изработване на проект на </w:t>
            </w:r>
            <w:r>
              <w:rPr>
                <w:sz w:val="22"/>
                <w:szCs w:val="22"/>
              </w:rPr>
              <w:t>наредба, уреждаща сътрудничеството между Министерския съвет и синдикалните организации на държавните служители въз основа на прецизираната делегация в чл. 46а от ЗДС</w:t>
            </w:r>
            <w:r w:rsidR="0024707A">
              <w:rPr>
                <w:sz w:val="22"/>
                <w:szCs w:val="22"/>
              </w:rPr>
              <w:t>л</w:t>
            </w:r>
          </w:p>
        </w:tc>
        <w:tc>
          <w:tcPr>
            <w:tcW w:w="481" w:type="pct"/>
          </w:tcPr>
          <w:p w14:paraId="27DE2807" w14:textId="6121DF06" w:rsidR="005355C9" w:rsidRPr="004C7C5E" w:rsidRDefault="005355C9" w:rsidP="005355C9">
            <w:pPr>
              <w:rPr>
                <w:color w:val="000000" w:themeColor="text1"/>
                <w:sz w:val="22"/>
                <w:szCs w:val="22"/>
              </w:rPr>
            </w:pPr>
            <w:r w:rsidRPr="004C7C5E">
              <w:rPr>
                <w:color w:val="000000" w:themeColor="text1"/>
                <w:sz w:val="22"/>
                <w:szCs w:val="22"/>
              </w:rPr>
              <w:t>АМС</w:t>
            </w:r>
          </w:p>
        </w:tc>
        <w:tc>
          <w:tcPr>
            <w:tcW w:w="396" w:type="pct"/>
          </w:tcPr>
          <w:p w14:paraId="10B262B2" w14:textId="77777777" w:rsidR="005355C9" w:rsidRPr="004C7C5E" w:rsidRDefault="005355C9" w:rsidP="005355C9">
            <w:pPr>
              <w:rPr>
                <w:color w:val="000000" w:themeColor="text1"/>
                <w:sz w:val="22"/>
                <w:szCs w:val="22"/>
              </w:rPr>
            </w:pPr>
            <w:r w:rsidRPr="004C7C5E">
              <w:rPr>
                <w:color w:val="000000" w:themeColor="text1"/>
                <w:sz w:val="22"/>
                <w:szCs w:val="22"/>
              </w:rPr>
              <w:t>2028</w:t>
            </w:r>
          </w:p>
        </w:tc>
        <w:tc>
          <w:tcPr>
            <w:tcW w:w="647" w:type="pct"/>
          </w:tcPr>
          <w:p w14:paraId="3FA10AE0" w14:textId="08877804" w:rsidR="005355C9" w:rsidRPr="004C7C5E" w:rsidRDefault="00B2536B" w:rsidP="00B2536B">
            <w:pPr>
              <w:rPr>
                <w:color w:val="000000" w:themeColor="text1"/>
                <w:sz w:val="22"/>
                <w:szCs w:val="22"/>
              </w:rPr>
            </w:pPr>
            <w:r>
              <w:rPr>
                <w:color w:val="000000" w:themeColor="text1"/>
                <w:sz w:val="22"/>
                <w:szCs w:val="22"/>
              </w:rPr>
              <w:t>Прецизирана уредба за сътрудничеството между Министерския съвет и синдикалните организации на държавните служители</w:t>
            </w:r>
          </w:p>
        </w:tc>
        <w:tc>
          <w:tcPr>
            <w:tcW w:w="524" w:type="pct"/>
          </w:tcPr>
          <w:p w14:paraId="202B13E3" w14:textId="3AA98AE0" w:rsidR="005355C9" w:rsidRPr="004C7C5E" w:rsidRDefault="005355C9" w:rsidP="005355C9">
            <w:pPr>
              <w:rPr>
                <w:color w:val="000000" w:themeColor="text1"/>
                <w:sz w:val="22"/>
                <w:szCs w:val="22"/>
              </w:rPr>
            </w:pPr>
            <w:r w:rsidRPr="004C7C5E">
              <w:rPr>
                <w:color w:val="000000" w:themeColor="text1"/>
                <w:sz w:val="22"/>
                <w:szCs w:val="22"/>
              </w:rPr>
              <w:t xml:space="preserve">Проект на наредба по </w:t>
            </w:r>
            <w:r w:rsidR="0061541E">
              <w:rPr>
                <w:color w:val="000000" w:themeColor="text1"/>
                <w:sz w:val="22"/>
                <w:szCs w:val="22"/>
              </w:rPr>
              <w:br/>
            </w:r>
            <w:r w:rsidRPr="004C7C5E">
              <w:rPr>
                <w:color w:val="000000" w:themeColor="text1"/>
                <w:sz w:val="22"/>
                <w:szCs w:val="22"/>
              </w:rPr>
              <w:t>чл. 46а от ЗДСл</w:t>
            </w:r>
          </w:p>
        </w:tc>
        <w:tc>
          <w:tcPr>
            <w:tcW w:w="323" w:type="pct"/>
          </w:tcPr>
          <w:p w14:paraId="2FA69D25" w14:textId="77777777" w:rsidR="005355C9" w:rsidRPr="004C7C5E" w:rsidRDefault="005355C9" w:rsidP="005355C9">
            <w:pPr>
              <w:rPr>
                <w:color w:val="000000" w:themeColor="text1"/>
                <w:sz w:val="22"/>
                <w:szCs w:val="22"/>
              </w:rPr>
            </w:pPr>
            <w:r w:rsidRPr="004C7C5E">
              <w:rPr>
                <w:color w:val="000000" w:themeColor="text1"/>
                <w:sz w:val="22"/>
                <w:szCs w:val="22"/>
              </w:rPr>
              <w:t>0</w:t>
            </w:r>
          </w:p>
        </w:tc>
        <w:tc>
          <w:tcPr>
            <w:tcW w:w="369" w:type="pct"/>
          </w:tcPr>
          <w:p w14:paraId="25E75854" w14:textId="77777777" w:rsidR="005355C9" w:rsidRPr="004C7C5E" w:rsidRDefault="005355C9" w:rsidP="005355C9">
            <w:pPr>
              <w:rPr>
                <w:color w:val="000000" w:themeColor="text1"/>
                <w:sz w:val="22"/>
                <w:szCs w:val="22"/>
              </w:rPr>
            </w:pPr>
            <w:r w:rsidRPr="004C7C5E">
              <w:rPr>
                <w:color w:val="000000" w:themeColor="text1"/>
                <w:sz w:val="22"/>
                <w:szCs w:val="22"/>
              </w:rPr>
              <w:t>1</w:t>
            </w:r>
          </w:p>
        </w:tc>
        <w:tc>
          <w:tcPr>
            <w:tcW w:w="540" w:type="pct"/>
          </w:tcPr>
          <w:p w14:paraId="373457B9" w14:textId="77777777" w:rsidR="005355C9" w:rsidRPr="004C7C5E" w:rsidRDefault="005355C9" w:rsidP="005355C9">
            <w:pPr>
              <w:rPr>
                <w:color w:val="000000" w:themeColor="text1"/>
                <w:sz w:val="22"/>
                <w:szCs w:val="22"/>
              </w:rPr>
            </w:pPr>
            <w:r w:rsidRPr="004C7C5E">
              <w:rPr>
                <w:color w:val="000000" w:themeColor="text1"/>
                <w:sz w:val="22"/>
                <w:szCs w:val="22"/>
              </w:rPr>
              <w:t>В рамките на бюджета на АМС</w:t>
            </w:r>
          </w:p>
        </w:tc>
      </w:tr>
      <w:tr w:rsidR="001632CA" w:rsidRPr="00EA2F1D" w14:paraId="5EBE3BCF" w14:textId="77777777" w:rsidTr="0061541E">
        <w:trPr>
          <w:gridAfter w:val="1"/>
          <w:wAfter w:w="71" w:type="pct"/>
          <w:jc w:val="center"/>
        </w:trPr>
        <w:tc>
          <w:tcPr>
            <w:tcW w:w="185" w:type="pct"/>
            <w:tcBorders>
              <w:top w:val="single" w:sz="4" w:space="0" w:color="auto"/>
              <w:left w:val="single" w:sz="4" w:space="0" w:color="auto"/>
              <w:bottom w:val="single" w:sz="4" w:space="0" w:color="auto"/>
              <w:right w:val="single" w:sz="4" w:space="0" w:color="auto"/>
            </w:tcBorders>
          </w:tcPr>
          <w:p w14:paraId="60DAD798" w14:textId="1DD57A1F" w:rsidR="004C7C5E" w:rsidRPr="004C7C5E" w:rsidRDefault="004C7C5E" w:rsidP="00F22769">
            <w:pPr>
              <w:jc w:val="center"/>
              <w:rPr>
                <w:color w:val="000000" w:themeColor="text1"/>
                <w:sz w:val="22"/>
                <w:szCs w:val="22"/>
              </w:rPr>
            </w:pPr>
            <w:r>
              <w:rPr>
                <w:color w:val="000000" w:themeColor="text1"/>
                <w:sz w:val="22"/>
                <w:szCs w:val="22"/>
              </w:rPr>
              <w:t>4</w:t>
            </w:r>
            <w:r w:rsidR="00FE4C07">
              <w:rPr>
                <w:color w:val="000000" w:themeColor="text1"/>
                <w:sz w:val="22"/>
                <w:szCs w:val="22"/>
              </w:rPr>
              <w:t>.</w:t>
            </w:r>
          </w:p>
        </w:tc>
        <w:tc>
          <w:tcPr>
            <w:tcW w:w="647" w:type="pct"/>
            <w:tcBorders>
              <w:top w:val="single" w:sz="4" w:space="0" w:color="auto"/>
              <w:left w:val="single" w:sz="4" w:space="0" w:color="auto"/>
              <w:bottom w:val="single" w:sz="4" w:space="0" w:color="auto"/>
              <w:right w:val="single" w:sz="4" w:space="0" w:color="auto"/>
            </w:tcBorders>
          </w:tcPr>
          <w:p w14:paraId="468DD070" w14:textId="53ABD7DC" w:rsidR="004C7C5E" w:rsidRPr="004C7C5E" w:rsidRDefault="004C7C5E" w:rsidP="00B44A85">
            <w:pPr>
              <w:rPr>
                <w:color w:val="000000" w:themeColor="text1"/>
                <w:sz w:val="22"/>
                <w:szCs w:val="22"/>
              </w:rPr>
            </w:pPr>
            <w:r w:rsidRPr="004C7C5E">
              <w:rPr>
                <w:color w:val="000000" w:themeColor="text1"/>
                <w:sz w:val="22"/>
                <w:szCs w:val="22"/>
              </w:rPr>
              <w:t>Ратификация на Конвенция № 151 на МОТ</w:t>
            </w:r>
            <w:r w:rsidR="001B6335">
              <w:rPr>
                <w:color w:val="000000" w:themeColor="text1"/>
                <w:sz w:val="22"/>
                <w:szCs w:val="22"/>
              </w:rPr>
              <w:t xml:space="preserve"> за </w:t>
            </w:r>
            <w:r w:rsidR="001B6335" w:rsidRPr="001B6335">
              <w:rPr>
                <w:color w:val="000000" w:themeColor="text1"/>
                <w:sz w:val="22"/>
                <w:szCs w:val="22"/>
              </w:rPr>
              <w:t>трудовите отношения в публичния сектор от 1978 г.</w:t>
            </w:r>
          </w:p>
        </w:tc>
        <w:tc>
          <w:tcPr>
            <w:tcW w:w="816" w:type="pct"/>
            <w:tcBorders>
              <w:top w:val="single" w:sz="4" w:space="0" w:color="auto"/>
              <w:left w:val="single" w:sz="4" w:space="0" w:color="auto"/>
              <w:bottom w:val="single" w:sz="4" w:space="0" w:color="auto"/>
              <w:right w:val="single" w:sz="4" w:space="0" w:color="auto"/>
            </w:tcBorders>
          </w:tcPr>
          <w:p w14:paraId="498239F2" w14:textId="77777777" w:rsidR="004C7C5E" w:rsidRPr="004C7C5E" w:rsidRDefault="004C7C5E" w:rsidP="00B44A85">
            <w:pPr>
              <w:rPr>
                <w:color w:val="000000" w:themeColor="text1"/>
                <w:sz w:val="22"/>
                <w:szCs w:val="22"/>
              </w:rPr>
            </w:pPr>
            <w:r w:rsidRPr="004C7C5E">
              <w:rPr>
                <w:color w:val="000000" w:themeColor="text1"/>
                <w:sz w:val="22"/>
                <w:szCs w:val="22"/>
              </w:rPr>
              <w:t>Присъединяване към утвърдени международни стандарти за колективно договаряне за държавните служители</w:t>
            </w:r>
          </w:p>
        </w:tc>
        <w:tc>
          <w:tcPr>
            <w:tcW w:w="481" w:type="pct"/>
            <w:tcBorders>
              <w:top w:val="single" w:sz="4" w:space="0" w:color="auto"/>
              <w:left w:val="single" w:sz="4" w:space="0" w:color="auto"/>
              <w:bottom w:val="single" w:sz="4" w:space="0" w:color="auto"/>
              <w:right w:val="single" w:sz="4" w:space="0" w:color="auto"/>
            </w:tcBorders>
          </w:tcPr>
          <w:p w14:paraId="6DB0DDD0" w14:textId="26B99F66" w:rsidR="00B2536B" w:rsidRDefault="004C7C5E" w:rsidP="00B44A85">
            <w:pPr>
              <w:rPr>
                <w:color w:val="000000" w:themeColor="text1"/>
                <w:sz w:val="22"/>
                <w:szCs w:val="22"/>
              </w:rPr>
            </w:pPr>
            <w:r w:rsidRPr="004C7C5E">
              <w:rPr>
                <w:color w:val="000000" w:themeColor="text1"/>
                <w:sz w:val="22"/>
                <w:szCs w:val="22"/>
              </w:rPr>
              <w:t>МТСП</w:t>
            </w:r>
            <w:r w:rsidR="001B125E">
              <w:rPr>
                <w:color w:val="000000" w:themeColor="text1"/>
                <w:sz w:val="22"/>
                <w:szCs w:val="22"/>
              </w:rPr>
              <w:t xml:space="preserve"> / </w:t>
            </w:r>
          </w:p>
          <w:p w14:paraId="274FD70C" w14:textId="7670B73C" w:rsidR="004C7C5E" w:rsidRPr="004C7C5E" w:rsidRDefault="00B2536B" w:rsidP="00B44A85">
            <w:pPr>
              <w:rPr>
                <w:color w:val="000000" w:themeColor="text1"/>
                <w:sz w:val="22"/>
                <w:szCs w:val="22"/>
              </w:rPr>
            </w:pPr>
            <w:r w:rsidRPr="004C7C5E">
              <w:rPr>
                <w:color w:val="000000" w:themeColor="text1"/>
                <w:sz w:val="22"/>
                <w:szCs w:val="22"/>
              </w:rPr>
              <w:t>АМС</w:t>
            </w:r>
          </w:p>
        </w:tc>
        <w:tc>
          <w:tcPr>
            <w:tcW w:w="396" w:type="pct"/>
            <w:tcBorders>
              <w:top w:val="single" w:sz="4" w:space="0" w:color="auto"/>
              <w:left w:val="single" w:sz="4" w:space="0" w:color="auto"/>
              <w:bottom w:val="single" w:sz="4" w:space="0" w:color="auto"/>
              <w:right w:val="single" w:sz="4" w:space="0" w:color="auto"/>
            </w:tcBorders>
          </w:tcPr>
          <w:p w14:paraId="3CF9B450" w14:textId="77777777" w:rsidR="004C7C5E" w:rsidRPr="004C7C5E" w:rsidRDefault="004C7C5E" w:rsidP="00B44A85">
            <w:pPr>
              <w:rPr>
                <w:color w:val="000000" w:themeColor="text1"/>
                <w:sz w:val="22"/>
                <w:szCs w:val="22"/>
              </w:rPr>
            </w:pPr>
            <w:r w:rsidRPr="004C7C5E">
              <w:rPr>
                <w:color w:val="000000" w:themeColor="text1"/>
                <w:sz w:val="22"/>
                <w:szCs w:val="22"/>
              </w:rPr>
              <w:t>2026</w:t>
            </w:r>
          </w:p>
        </w:tc>
        <w:tc>
          <w:tcPr>
            <w:tcW w:w="647" w:type="pct"/>
            <w:tcBorders>
              <w:top w:val="single" w:sz="4" w:space="0" w:color="auto"/>
              <w:left w:val="single" w:sz="4" w:space="0" w:color="auto"/>
              <w:bottom w:val="single" w:sz="4" w:space="0" w:color="auto"/>
              <w:right w:val="single" w:sz="4" w:space="0" w:color="auto"/>
            </w:tcBorders>
          </w:tcPr>
          <w:p w14:paraId="52872971" w14:textId="77777777" w:rsidR="004C7C5E" w:rsidRPr="004C7C5E" w:rsidRDefault="004C7C5E" w:rsidP="00B44A85">
            <w:pPr>
              <w:rPr>
                <w:color w:val="000000" w:themeColor="text1"/>
                <w:sz w:val="22"/>
                <w:szCs w:val="22"/>
              </w:rPr>
            </w:pPr>
            <w:r w:rsidRPr="004C7C5E">
              <w:rPr>
                <w:color w:val="000000" w:themeColor="text1"/>
                <w:sz w:val="22"/>
                <w:szCs w:val="22"/>
              </w:rPr>
              <w:t>Повишаване на правната сигурност в областта на колективното договаряне за държавните служители чрез прилагането на утвърдени международни стандарти</w:t>
            </w:r>
          </w:p>
        </w:tc>
        <w:tc>
          <w:tcPr>
            <w:tcW w:w="524" w:type="pct"/>
            <w:tcBorders>
              <w:top w:val="single" w:sz="4" w:space="0" w:color="auto"/>
              <w:left w:val="single" w:sz="4" w:space="0" w:color="auto"/>
              <w:bottom w:val="single" w:sz="4" w:space="0" w:color="auto"/>
              <w:right w:val="single" w:sz="4" w:space="0" w:color="auto"/>
            </w:tcBorders>
          </w:tcPr>
          <w:p w14:paraId="264DBFBA" w14:textId="15419828" w:rsidR="004C7C5E" w:rsidRPr="004C7C5E" w:rsidRDefault="00722445" w:rsidP="00B44A85">
            <w:pPr>
              <w:rPr>
                <w:color w:val="000000" w:themeColor="text1"/>
                <w:sz w:val="22"/>
                <w:szCs w:val="22"/>
              </w:rPr>
            </w:pPr>
            <w:r>
              <w:rPr>
                <w:color w:val="000000" w:themeColor="text1"/>
                <w:sz w:val="22"/>
                <w:szCs w:val="22"/>
              </w:rPr>
              <w:t xml:space="preserve">Проект на </w:t>
            </w:r>
            <w:r w:rsidR="004C7C5E" w:rsidRPr="004C7C5E">
              <w:rPr>
                <w:color w:val="000000" w:themeColor="text1"/>
                <w:sz w:val="22"/>
                <w:szCs w:val="22"/>
              </w:rPr>
              <w:t>Закон за ратификация</w:t>
            </w:r>
          </w:p>
        </w:tc>
        <w:tc>
          <w:tcPr>
            <w:tcW w:w="323" w:type="pct"/>
            <w:tcBorders>
              <w:top w:val="single" w:sz="4" w:space="0" w:color="auto"/>
              <w:left w:val="single" w:sz="4" w:space="0" w:color="auto"/>
              <w:bottom w:val="single" w:sz="4" w:space="0" w:color="auto"/>
              <w:right w:val="single" w:sz="4" w:space="0" w:color="auto"/>
            </w:tcBorders>
          </w:tcPr>
          <w:p w14:paraId="0FC0F6B9" w14:textId="77777777" w:rsidR="004C7C5E" w:rsidRPr="004C7C5E" w:rsidRDefault="004C7C5E" w:rsidP="00B44A85">
            <w:pPr>
              <w:rPr>
                <w:color w:val="000000" w:themeColor="text1"/>
                <w:sz w:val="22"/>
                <w:szCs w:val="22"/>
              </w:rPr>
            </w:pPr>
            <w:r w:rsidRPr="004C7C5E">
              <w:rPr>
                <w:color w:val="000000" w:themeColor="text1"/>
                <w:sz w:val="22"/>
                <w:szCs w:val="22"/>
              </w:rPr>
              <w:t>0</w:t>
            </w:r>
          </w:p>
        </w:tc>
        <w:tc>
          <w:tcPr>
            <w:tcW w:w="369" w:type="pct"/>
            <w:tcBorders>
              <w:top w:val="single" w:sz="4" w:space="0" w:color="auto"/>
              <w:left w:val="single" w:sz="4" w:space="0" w:color="auto"/>
              <w:bottom w:val="single" w:sz="4" w:space="0" w:color="auto"/>
              <w:right w:val="single" w:sz="4" w:space="0" w:color="auto"/>
            </w:tcBorders>
          </w:tcPr>
          <w:p w14:paraId="78C5DADD" w14:textId="77777777" w:rsidR="004C7C5E" w:rsidRPr="004C7C5E" w:rsidRDefault="004C7C5E" w:rsidP="00B44A85">
            <w:pPr>
              <w:rPr>
                <w:color w:val="000000" w:themeColor="text1"/>
                <w:sz w:val="22"/>
                <w:szCs w:val="22"/>
              </w:rPr>
            </w:pPr>
            <w:r w:rsidRPr="004C7C5E">
              <w:rPr>
                <w:color w:val="000000" w:themeColor="text1"/>
                <w:sz w:val="22"/>
                <w:szCs w:val="22"/>
              </w:rPr>
              <w:t>1</w:t>
            </w:r>
          </w:p>
        </w:tc>
        <w:tc>
          <w:tcPr>
            <w:tcW w:w="540" w:type="pct"/>
            <w:tcBorders>
              <w:top w:val="single" w:sz="4" w:space="0" w:color="auto"/>
              <w:left w:val="single" w:sz="4" w:space="0" w:color="auto"/>
              <w:bottom w:val="single" w:sz="4" w:space="0" w:color="auto"/>
              <w:right w:val="single" w:sz="4" w:space="0" w:color="auto"/>
            </w:tcBorders>
          </w:tcPr>
          <w:p w14:paraId="596A514F" w14:textId="77777777" w:rsidR="004C7C5E" w:rsidRPr="004C7C5E" w:rsidRDefault="004C7C5E" w:rsidP="00B44A85">
            <w:pPr>
              <w:rPr>
                <w:color w:val="000000" w:themeColor="text1"/>
                <w:sz w:val="22"/>
                <w:szCs w:val="22"/>
              </w:rPr>
            </w:pPr>
            <w:r w:rsidRPr="004C7C5E">
              <w:rPr>
                <w:color w:val="000000" w:themeColor="text1"/>
                <w:sz w:val="22"/>
                <w:szCs w:val="22"/>
              </w:rPr>
              <w:t>В рамките на бюджета на отговорните институции</w:t>
            </w:r>
          </w:p>
        </w:tc>
      </w:tr>
      <w:tr w:rsidR="001632CA" w:rsidRPr="00EA2F1D" w14:paraId="69DEB16A" w14:textId="77777777" w:rsidTr="0061541E">
        <w:trPr>
          <w:gridAfter w:val="1"/>
          <w:wAfter w:w="71" w:type="pct"/>
          <w:jc w:val="center"/>
        </w:trPr>
        <w:tc>
          <w:tcPr>
            <w:tcW w:w="185" w:type="pct"/>
          </w:tcPr>
          <w:p w14:paraId="4309548F" w14:textId="21BAC9C3" w:rsidR="005355C9" w:rsidRPr="00486D38" w:rsidRDefault="004C7C5E" w:rsidP="00F22769">
            <w:pPr>
              <w:jc w:val="center"/>
              <w:rPr>
                <w:sz w:val="22"/>
                <w:szCs w:val="22"/>
              </w:rPr>
            </w:pPr>
            <w:r>
              <w:rPr>
                <w:sz w:val="22"/>
                <w:szCs w:val="22"/>
              </w:rPr>
              <w:t>5</w:t>
            </w:r>
            <w:r w:rsidR="00FE4C07">
              <w:rPr>
                <w:sz w:val="22"/>
                <w:szCs w:val="22"/>
              </w:rPr>
              <w:t>.</w:t>
            </w:r>
          </w:p>
        </w:tc>
        <w:tc>
          <w:tcPr>
            <w:tcW w:w="647" w:type="pct"/>
          </w:tcPr>
          <w:p w14:paraId="57FDBC0D" w14:textId="77777777" w:rsidR="005355C9" w:rsidRPr="00486D38" w:rsidRDefault="005355C9" w:rsidP="005355C9">
            <w:pPr>
              <w:rPr>
                <w:sz w:val="22"/>
                <w:szCs w:val="22"/>
              </w:rPr>
            </w:pPr>
            <w:r w:rsidRPr="00486D38">
              <w:rPr>
                <w:sz w:val="22"/>
                <w:szCs w:val="22"/>
              </w:rPr>
              <w:t xml:space="preserve">Ратификация на Конвенция № 154 на МОТ </w:t>
            </w:r>
            <w:r w:rsidR="001B6335" w:rsidRPr="001B6335">
              <w:rPr>
                <w:sz w:val="22"/>
                <w:szCs w:val="22"/>
              </w:rPr>
              <w:t>за колективното договаряне от 1981 г.</w:t>
            </w:r>
          </w:p>
        </w:tc>
        <w:tc>
          <w:tcPr>
            <w:tcW w:w="816" w:type="pct"/>
          </w:tcPr>
          <w:p w14:paraId="3C243137" w14:textId="77777777" w:rsidR="005355C9" w:rsidRPr="00486D38" w:rsidRDefault="005355C9" w:rsidP="005355C9">
            <w:pPr>
              <w:rPr>
                <w:sz w:val="22"/>
                <w:szCs w:val="22"/>
              </w:rPr>
            </w:pPr>
            <w:r w:rsidRPr="00486D38">
              <w:rPr>
                <w:sz w:val="22"/>
                <w:szCs w:val="22"/>
              </w:rPr>
              <w:t>Присъединяване към утвърдени международни стандарти в областта на колективното договаряне</w:t>
            </w:r>
          </w:p>
        </w:tc>
        <w:tc>
          <w:tcPr>
            <w:tcW w:w="481" w:type="pct"/>
          </w:tcPr>
          <w:p w14:paraId="5380D36F" w14:textId="77777777" w:rsidR="005355C9" w:rsidRPr="00486D38" w:rsidRDefault="005355C9" w:rsidP="005355C9">
            <w:pPr>
              <w:rPr>
                <w:sz w:val="22"/>
                <w:szCs w:val="22"/>
              </w:rPr>
            </w:pPr>
            <w:r w:rsidRPr="00486D38">
              <w:rPr>
                <w:sz w:val="22"/>
                <w:szCs w:val="22"/>
              </w:rPr>
              <w:t xml:space="preserve">МТСП / социални партньори </w:t>
            </w:r>
          </w:p>
          <w:p w14:paraId="103C3BF8" w14:textId="77777777" w:rsidR="005355C9" w:rsidRPr="00486D38" w:rsidRDefault="005355C9" w:rsidP="005355C9">
            <w:pPr>
              <w:rPr>
                <w:sz w:val="22"/>
                <w:szCs w:val="22"/>
              </w:rPr>
            </w:pPr>
          </w:p>
        </w:tc>
        <w:tc>
          <w:tcPr>
            <w:tcW w:w="396" w:type="pct"/>
          </w:tcPr>
          <w:p w14:paraId="71D5491F" w14:textId="77777777" w:rsidR="005355C9" w:rsidRPr="00486D38" w:rsidRDefault="005355C9" w:rsidP="005355C9">
            <w:pPr>
              <w:rPr>
                <w:sz w:val="22"/>
                <w:szCs w:val="22"/>
              </w:rPr>
            </w:pPr>
            <w:r w:rsidRPr="00486D38">
              <w:rPr>
                <w:sz w:val="22"/>
                <w:szCs w:val="22"/>
              </w:rPr>
              <w:t>2026</w:t>
            </w:r>
          </w:p>
        </w:tc>
        <w:tc>
          <w:tcPr>
            <w:tcW w:w="647" w:type="pct"/>
          </w:tcPr>
          <w:p w14:paraId="0DC52E63" w14:textId="77777777" w:rsidR="005355C9" w:rsidRDefault="005355C9" w:rsidP="005355C9">
            <w:pPr>
              <w:rPr>
                <w:sz w:val="22"/>
                <w:szCs w:val="22"/>
              </w:rPr>
            </w:pPr>
            <w:r w:rsidRPr="00486D38">
              <w:rPr>
                <w:sz w:val="22"/>
                <w:szCs w:val="22"/>
              </w:rPr>
              <w:t xml:space="preserve">Повишаване на правната сигурност в областта на колективното договаряне чрез прилагането на утвърдени международни стандарти </w:t>
            </w:r>
          </w:p>
          <w:p w14:paraId="002A22FE" w14:textId="77777777" w:rsidR="00433AD5" w:rsidRDefault="00433AD5" w:rsidP="005355C9">
            <w:pPr>
              <w:rPr>
                <w:sz w:val="22"/>
                <w:szCs w:val="22"/>
              </w:rPr>
            </w:pPr>
          </w:p>
          <w:p w14:paraId="20C39487" w14:textId="77777777" w:rsidR="00433AD5" w:rsidRDefault="00433AD5" w:rsidP="005355C9">
            <w:pPr>
              <w:rPr>
                <w:sz w:val="22"/>
                <w:szCs w:val="22"/>
              </w:rPr>
            </w:pPr>
          </w:p>
          <w:p w14:paraId="1E6314AA" w14:textId="77777777" w:rsidR="009F3B82" w:rsidRPr="00486D38" w:rsidRDefault="009F3B82" w:rsidP="005355C9">
            <w:pPr>
              <w:rPr>
                <w:sz w:val="22"/>
                <w:szCs w:val="22"/>
              </w:rPr>
            </w:pPr>
          </w:p>
        </w:tc>
        <w:tc>
          <w:tcPr>
            <w:tcW w:w="524" w:type="pct"/>
          </w:tcPr>
          <w:p w14:paraId="5A1C6E89" w14:textId="77777777" w:rsidR="005355C9" w:rsidRPr="00486D38" w:rsidRDefault="00722445" w:rsidP="005355C9">
            <w:pPr>
              <w:rPr>
                <w:sz w:val="22"/>
                <w:szCs w:val="22"/>
              </w:rPr>
            </w:pPr>
            <w:r>
              <w:rPr>
                <w:color w:val="000000" w:themeColor="text1"/>
                <w:sz w:val="22"/>
                <w:szCs w:val="22"/>
              </w:rPr>
              <w:t xml:space="preserve">Проект на </w:t>
            </w:r>
            <w:r w:rsidR="005355C9" w:rsidRPr="00486D38">
              <w:rPr>
                <w:sz w:val="22"/>
                <w:szCs w:val="22"/>
              </w:rPr>
              <w:t>Закон за  ратификация</w:t>
            </w:r>
          </w:p>
        </w:tc>
        <w:tc>
          <w:tcPr>
            <w:tcW w:w="323" w:type="pct"/>
          </w:tcPr>
          <w:p w14:paraId="0FC96121" w14:textId="77777777" w:rsidR="005355C9" w:rsidRPr="00486D38" w:rsidRDefault="005355C9" w:rsidP="005355C9">
            <w:pPr>
              <w:rPr>
                <w:sz w:val="22"/>
                <w:szCs w:val="22"/>
              </w:rPr>
            </w:pPr>
            <w:r w:rsidRPr="00486D38">
              <w:rPr>
                <w:sz w:val="22"/>
                <w:szCs w:val="22"/>
              </w:rPr>
              <w:t>0</w:t>
            </w:r>
          </w:p>
        </w:tc>
        <w:tc>
          <w:tcPr>
            <w:tcW w:w="369" w:type="pct"/>
          </w:tcPr>
          <w:p w14:paraId="3B9FDCEC" w14:textId="77777777" w:rsidR="005355C9" w:rsidRPr="00486D38" w:rsidRDefault="005355C9" w:rsidP="005355C9">
            <w:pPr>
              <w:rPr>
                <w:sz w:val="22"/>
                <w:szCs w:val="22"/>
              </w:rPr>
            </w:pPr>
            <w:r w:rsidRPr="00486D38">
              <w:rPr>
                <w:sz w:val="22"/>
                <w:szCs w:val="22"/>
              </w:rPr>
              <w:t>1</w:t>
            </w:r>
          </w:p>
        </w:tc>
        <w:tc>
          <w:tcPr>
            <w:tcW w:w="540" w:type="pct"/>
          </w:tcPr>
          <w:p w14:paraId="7EEB0A78" w14:textId="77777777" w:rsidR="005355C9" w:rsidRDefault="005355C9" w:rsidP="005355C9">
            <w:pPr>
              <w:rPr>
                <w:sz w:val="22"/>
                <w:szCs w:val="22"/>
              </w:rPr>
            </w:pPr>
            <w:r w:rsidRPr="00486D38">
              <w:rPr>
                <w:sz w:val="22"/>
                <w:szCs w:val="22"/>
              </w:rPr>
              <w:t>В рамките на бюджета на МТСП</w:t>
            </w:r>
          </w:p>
          <w:p w14:paraId="19FD9B67" w14:textId="77777777" w:rsidR="00EB0A83" w:rsidRDefault="00EB0A83" w:rsidP="005355C9">
            <w:pPr>
              <w:rPr>
                <w:sz w:val="22"/>
                <w:szCs w:val="22"/>
              </w:rPr>
            </w:pPr>
          </w:p>
          <w:p w14:paraId="313F70FF" w14:textId="77777777" w:rsidR="00EB0A83" w:rsidRPr="00486D38" w:rsidRDefault="00EB0A83" w:rsidP="005355C9">
            <w:pPr>
              <w:rPr>
                <w:sz w:val="22"/>
                <w:szCs w:val="22"/>
              </w:rPr>
            </w:pPr>
          </w:p>
        </w:tc>
      </w:tr>
      <w:tr w:rsidR="001632CA" w:rsidRPr="00EA2F1D" w14:paraId="126D49C4" w14:textId="77777777" w:rsidTr="0061541E">
        <w:trPr>
          <w:gridAfter w:val="1"/>
          <w:wAfter w:w="71" w:type="pct"/>
          <w:jc w:val="center"/>
        </w:trPr>
        <w:tc>
          <w:tcPr>
            <w:tcW w:w="185" w:type="pct"/>
          </w:tcPr>
          <w:p w14:paraId="1F4913FD" w14:textId="15DAF0CB" w:rsidR="005355C9" w:rsidRPr="00486D38" w:rsidRDefault="005355C9" w:rsidP="00F22769">
            <w:pPr>
              <w:jc w:val="center"/>
              <w:rPr>
                <w:sz w:val="22"/>
                <w:szCs w:val="22"/>
              </w:rPr>
            </w:pPr>
            <w:r>
              <w:rPr>
                <w:sz w:val="22"/>
                <w:szCs w:val="22"/>
              </w:rPr>
              <w:lastRenderedPageBreak/>
              <w:t>6</w:t>
            </w:r>
            <w:r w:rsidR="00FE4C07">
              <w:rPr>
                <w:sz w:val="22"/>
                <w:szCs w:val="22"/>
              </w:rPr>
              <w:t>.</w:t>
            </w:r>
          </w:p>
        </w:tc>
        <w:tc>
          <w:tcPr>
            <w:tcW w:w="647" w:type="pct"/>
          </w:tcPr>
          <w:p w14:paraId="51909AA4" w14:textId="0F0622D5" w:rsidR="005355C9" w:rsidRPr="00486D38" w:rsidRDefault="005355C9" w:rsidP="005355C9">
            <w:pPr>
              <w:rPr>
                <w:sz w:val="22"/>
                <w:szCs w:val="22"/>
              </w:rPr>
            </w:pPr>
            <w:r w:rsidRPr="00486D38">
              <w:rPr>
                <w:sz w:val="22"/>
                <w:szCs w:val="22"/>
              </w:rPr>
              <w:t xml:space="preserve">Разработване на проект </w:t>
            </w:r>
            <w:r w:rsidR="001B6335">
              <w:rPr>
                <w:sz w:val="22"/>
                <w:szCs w:val="22"/>
              </w:rPr>
              <w:t xml:space="preserve">на ПМС </w:t>
            </w:r>
            <w:r w:rsidRPr="00486D38">
              <w:rPr>
                <w:sz w:val="22"/>
                <w:szCs w:val="22"/>
              </w:rPr>
              <w:t>за изменение и до</w:t>
            </w:r>
            <w:r w:rsidR="00094C95">
              <w:rPr>
                <w:sz w:val="22"/>
                <w:szCs w:val="22"/>
              </w:rPr>
              <w:softHyphen/>
            </w:r>
            <w:r w:rsidRPr="00486D38">
              <w:rPr>
                <w:sz w:val="22"/>
                <w:szCs w:val="22"/>
              </w:rPr>
              <w:t>пълнение на На</w:t>
            </w:r>
            <w:r w:rsidR="00094C95">
              <w:rPr>
                <w:sz w:val="22"/>
                <w:szCs w:val="22"/>
              </w:rPr>
              <w:softHyphen/>
            </w:r>
            <w:r w:rsidRPr="00486D38">
              <w:rPr>
                <w:sz w:val="22"/>
                <w:szCs w:val="22"/>
              </w:rPr>
              <w:t xml:space="preserve">редбата за определяне на реда за установяване наличието на критериите за представителност на </w:t>
            </w:r>
          </w:p>
          <w:p w14:paraId="3389553A" w14:textId="148884FA" w:rsidR="005355C9" w:rsidRPr="00486D38" w:rsidRDefault="005355C9" w:rsidP="005355C9">
            <w:pPr>
              <w:rPr>
                <w:sz w:val="22"/>
                <w:szCs w:val="22"/>
              </w:rPr>
            </w:pPr>
            <w:r w:rsidRPr="00486D38">
              <w:rPr>
                <w:sz w:val="22"/>
                <w:szCs w:val="22"/>
              </w:rPr>
              <w:t>организации</w:t>
            </w:r>
            <w:r w:rsidR="0024707A">
              <w:rPr>
                <w:sz w:val="22"/>
                <w:szCs w:val="22"/>
              </w:rPr>
              <w:t>т</w:t>
            </w:r>
            <w:r w:rsidRPr="00486D38">
              <w:rPr>
                <w:sz w:val="22"/>
                <w:szCs w:val="22"/>
              </w:rPr>
              <w:t>е на работниците и служителите и на работодателите</w:t>
            </w:r>
          </w:p>
        </w:tc>
        <w:tc>
          <w:tcPr>
            <w:tcW w:w="816" w:type="pct"/>
          </w:tcPr>
          <w:p w14:paraId="36976F22" w14:textId="398E7501" w:rsidR="005355C9" w:rsidRPr="00486D38" w:rsidRDefault="005355C9" w:rsidP="005355C9">
            <w:pPr>
              <w:rPr>
                <w:sz w:val="22"/>
                <w:szCs w:val="22"/>
              </w:rPr>
            </w:pPr>
            <w:r>
              <w:rPr>
                <w:sz w:val="22"/>
                <w:szCs w:val="22"/>
              </w:rPr>
              <w:t xml:space="preserve">Усъвършенстване на процедурата и начина за </w:t>
            </w:r>
            <w:r w:rsidRPr="00486D38">
              <w:rPr>
                <w:sz w:val="22"/>
                <w:szCs w:val="22"/>
              </w:rPr>
              <w:t xml:space="preserve">доказване на критериите за представителност </w:t>
            </w:r>
          </w:p>
        </w:tc>
        <w:tc>
          <w:tcPr>
            <w:tcW w:w="481" w:type="pct"/>
          </w:tcPr>
          <w:p w14:paraId="6A8F35C1" w14:textId="318BFAF3" w:rsidR="005355C9" w:rsidRDefault="005355C9" w:rsidP="005355C9">
            <w:pPr>
              <w:rPr>
                <w:sz w:val="22"/>
                <w:szCs w:val="22"/>
              </w:rPr>
            </w:pPr>
            <w:r w:rsidRPr="00486D38">
              <w:rPr>
                <w:sz w:val="22"/>
                <w:szCs w:val="22"/>
              </w:rPr>
              <w:t>МТСП</w:t>
            </w:r>
            <w:r>
              <w:rPr>
                <w:sz w:val="22"/>
                <w:szCs w:val="22"/>
              </w:rPr>
              <w:t xml:space="preserve"> </w:t>
            </w:r>
            <w:r w:rsidRPr="00486D38">
              <w:rPr>
                <w:sz w:val="22"/>
                <w:szCs w:val="22"/>
              </w:rPr>
              <w:t>/</w:t>
            </w:r>
            <w:r w:rsidR="009F3B82">
              <w:rPr>
                <w:sz w:val="22"/>
                <w:szCs w:val="22"/>
              </w:rPr>
              <w:t xml:space="preserve"> </w:t>
            </w:r>
          </w:p>
          <w:p w14:paraId="130E151E" w14:textId="77777777" w:rsidR="005355C9" w:rsidRPr="00486D38" w:rsidRDefault="005355C9" w:rsidP="005355C9">
            <w:pPr>
              <w:rPr>
                <w:sz w:val="22"/>
                <w:szCs w:val="22"/>
              </w:rPr>
            </w:pPr>
            <w:r w:rsidRPr="00486D38">
              <w:rPr>
                <w:sz w:val="22"/>
                <w:szCs w:val="22"/>
              </w:rPr>
              <w:t xml:space="preserve">социални партньори </w:t>
            </w:r>
          </w:p>
        </w:tc>
        <w:tc>
          <w:tcPr>
            <w:tcW w:w="396" w:type="pct"/>
          </w:tcPr>
          <w:p w14:paraId="1E4CD7DF" w14:textId="77777777" w:rsidR="005355C9" w:rsidRDefault="005355C9" w:rsidP="005355C9">
            <w:pPr>
              <w:rPr>
                <w:sz w:val="22"/>
                <w:szCs w:val="22"/>
              </w:rPr>
            </w:pPr>
            <w:r w:rsidRPr="00486D38">
              <w:rPr>
                <w:sz w:val="22"/>
                <w:szCs w:val="22"/>
              </w:rPr>
              <w:t>2027</w:t>
            </w:r>
          </w:p>
          <w:p w14:paraId="050253CB" w14:textId="77777777" w:rsidR="005355C9" w:rsidRDefault="005355C9" w:rsidP="005355C9">
            <w:pPr>
              <w:rPr>
                <w:sz w:val="22"/>
                <w:szCs w:val="22"/>
              </w:rPr>
            </w:pPr>
          </w:p>
          <w:p w14:paraId="455534B0" w14:textId="77777777" w:rsidR="005355C9" w:rsidRPr="00486D38" w:rsidRDefault="005355C9" w:rsidP="005355C9">
            <w:pPr>
              <w:rPr>
                <w:sz w:val="22"/>
                <w:szCs w:val="22"/>
              </w:rPr>
            </w:pPr>
          </w:p>
        </w:tc>
        <w:tc>
          <w:tcPr>
            <w:tcW w:w="647" w:type="pct"/>
          </w:tcPr>
          <w:p w14:paraId="70D328A3" w14:textId="12E201B1" w:rsidR="005355C9" w:rsidRPr="00486D38" w:rsidRDefault="005355C9" w:rsidP="005355C9">
            <w:pPr>
              <w:rPr>
                <w:sz w:val="22"/>
                <w:szCs w:val="22"/>
              </w:rPr>
            </w:pPr>
            <w:r>
              <w:rPr>
                <w:sz w:val="22"/>
                <w:szCs w:val="22"/>
              </w:rPr>
              <w:t xml:space="preserve">Правна сигурност при уреждане на реда и условията за установяване </w:t>
            </w:r>
            <w:r w:rsidRPr="00463FA7">
              <w:rPr>
                <w:sz w:val="22"/>
                <w:szCs w:val="22"/>
              </w:rPr>
              <w:t>наличието на критериите за представителност</w:t>
            </w:r>
            <w:r>
              <w:rPr>
                <w:sz w:val="22"/>
                <w:szCs w:val="22"/>
              </w:rPr>
              <w:t xml:space="preserve">, което </w:t>
            </w:r>
            <w:r w:rsidRPr="00463FA7">
              <w:rPr>
                <w:sz w:val="22"/>
                <w:szCs w:val="22"/>
              </w:rPr>
              <w:t xml:space="preserve"> </w:t>
            </w:r>
            <w:r>
              <w:rPr>
                <w:sz w:val="22"/>
                <w:szCs w:val="22"/>
              </w:rPr>
              <w:t>ще осигури прозрачност относно страните по колективното договаряне на равнище отрасъл/бранш</w:t>
            </w:r>
            <w:r w:rsidRPr="00486D38">
              <w:rPr>
                <w:sz w:val="22"/>
                <w:szCs w:val="22"/>
              </w:rPr>
              <w:t xml:space="preserve"> </w:t>
            </w:r>
          </w:p>
        </w:tc>
        <w:tc>
          <w:tcPr>
            <w:tcW w:w="524" w:type="pct"/>
          </w:tcPr>
          <w:p w14:paraId="6FCAFA36" w14:textId="6FE50AA6" w:rsidR="005355C9" w:rsidRPr="00486D38" w:rsidRDefault="005355C9" w:rsidP="005355C9">
            <w:pPr>
              <w:rPr>
                <w:sz w:val="22"/>
                <w:szCs w:val="22"/>
              </w:rPr>
            </w:pPr>
            <w:r w:rsidRPr="00486D38">
              <w:rPr>
                <w:sz w:val="22"/>
                <w:szCs w:val="22"/>
              </w:rPr>
              <w:t>Проект на ПМС за изме</w:t>
            </w:r>
            <w:r w:rsidR="00094C95">
              <w:rPr>
                <w:sz w:val="22"/>
                <w:szCs w:val="22"/>
              </w:rPr>
              <w:softHyphen/>
            </w:r>
            <w:r w:rsidRPr="00486D38">
              <w:rPr>
                <w:sz w:val="22"/>
                <w:szCs w:val="22"/>
              </w:rPr>
              <w:t>нение и до</w:t>
            </w:r>
            <w:r w:rsidR="00094C95">
              <w:rPr>
                <w:sz w:val="22"/>
                <w:szCs w:val="22"/>
              </w:rPr>
              <w:softHyphen/>
            </w:r>
            <w:r w:rsidRPr="00486D38">
              <w:rPr>
                <w:sz w:val="22"/>
                <w:szCs w:val="22"/>
              </w:rPr>
              <w:t>пълнение на Наредбата за определяне на реда за уста</w:t>
            </w:r>
            <w:r w:rsidR="00094C95">
              <w:rPr>
                <w:sz w:val="22"/>
                <w:szCs w:val="22"/>
              </w:rPr>
              <w:softHyphen/>
            </w:r>
            <w:r w:rsidRPr="00486D38">
              <w:rPr>
                <w:sz w:val="22"/>
                <w:szCs w:val="22"/>
              </w:rPr>
              <w:t>новяване на</w:t>
            </w:r>
            <w:r w:rsidR="00094C95">
              <w:rPr>
                <w:sz w:val="22"/>
                <w:szCs w:val="22"/>
              </w:rPr>
              <w:softHyphen/>
            </w:r>
            <w:r w:rsidRPr="00486D38">
              <w:rPr>
                <w:sz w:val="22"/>
                <w:szCs w:val="22"/>
              </w:rPr>
              <w:t>личието на критериите за представител</w:t>
            </w:r>
            <w:r w:rsidR="0061541E">
              <w:rPr>
                <w:sz w:val="22"/>
                <w:szCs w:val="22"/>
              </w:rPr>
              <w:t>-</w:t>
            </w:r>
            <w:r w:rsidRPr="00486D38">
              <w:rPr>
                <w:sz w:val="22"/>
                <w:szCs w:val="22"/>
              </w:rPr>
              <w:t>ност на орга</w:t>
            </w:r>
            <w:r w:rsidR="00094C95">
              <w:rPr>
                <w:sz w:val="22"/>
                <w:szCs w:val="22"/>
              </w:rPr>
              <w:softHyphen/>
            </w:r>
            <w:r w:rsidRPr="00486D38">
              <w:rPr>
                <w:sz w:val="22"/>
                <w:szCs w:val="22"/>
              </w:rPr>
              <w:t>низациите на работниците и служителите и на работодате</w:t>
            </w:r>
            <w:r w:rsidR="0061541E">
              <w:rPr>
                <w:sz w:val="22"/>
                <w:szCs w:val="22"/>
              </w:rPr>
              <w:t>-</w:t>
            </w:r>
            <w:r w:rsidRPr="00486D38">
              <w:rPr>
                <w:sz w:val="22"/>
                <w:szCs w:val="22"/>
              </w:rPr>
              <w:t>лите</w:t>
            </w:r>
          </w:p>
        </w:tc>
        <w:tc>
          <w:tcPr>
            <w:tcW w:w="323" w:type="pct"/>
          </w:tcPr>
          <w:p w14:paraId="58EDD357" w14:textId="77777777" w:rsidR="005355C9" w:rsidRPr="00486D38" w:rsidRDefault="005355C9" w:rsidP="005355C9">
            <w:pPr>
              <w:rPr>
                <w:sz w:val="22"/>
                <w:szCs w:val="22"/>
              </w:rPr>
            </w:pPr>
            <w:r w:rsidRPr="00486D38">
              <w:rPr>
                <w:sz w:val="22"/>
                <w:szCs w:val="22"/>
              </w:rPr>
              <w:t>0</w:t>
            </w:r>
          </w:p>
        </w:tc>
        <w:tc>
          <w:tcPr>
            <w:tcW w:w="369" w:type="pct"/>
          </w:tcPr>
          <w:p w14:paraId="36D195D6" w14:textId="77777777" w:rsidR="005355C9" w:rsidRPr="00486D38" w:rsidRDefault="005355C9" w:rsidP="005355C9">
            <w:pPr>
              <w:rPr>
                <w:sz w:val="22"/>
                <w:szCs w:val="22"/>
              </w:rPr>
            </w:pPr>
            <w:r w:rsidRPr="00486D38">
              <w:rPr>
                <w:sz w:val="22"/>
                <w:szCs w:val="22"/>
              </w:rPr>
              <w:t>1</w:t>
            </w:r>
          </w:p>
        </w:tc>
        <w:tc>
          <w:tcPr>
            <w:tcW w:w="540" w:type="pct"/>
          </w:tcPr>
          <w:p w14:paraId="216DF56E" w14:textId="77777777" w:rsidR="005355C9" w:rsidRPr="00486D38" w:rsidRDefault="005355C9" w:rsidP="005355C9">
            <w:pPr>
              <w:rPr>
                <w:sz w:val="22"/>
                <w:szCs w:val="22"/>
              </w:rPr>
            </w:pPr>
            <w:r w:rsidRPr="00486D38">
              <w:rPr>
                <w:sz w:val="22"/>
                <w:szCs w:val="22"/>
              </w:rPr>
              <w:t>В рамките на бюджета на МТСП</w:t>
            </w:r>
          </w:p>
        </w:tc>
      </w:tr>
      <w:tr w:rsidR="001632CA" w:rsidRPr="00EA2F1D" w14:paraId="762446F8" w14:textId="77777777" w:rsidTr="0061541E">
        <w:trPr>
          <w:gridAfter w:val="1"/>
          <w:wAfter w:w="71" w:type="pct"/>
          <w:jc w:val="center"/>
        </w:trPr>
        <w:tc>
          <w:tcPr>
            <w:tcW w:w="185" w:type="pct"/>
          </w:tcPr>
          <w:p w14:paraId="05B39EA7" w14:textId="0B546302" w:rsidR="005355C9" w:rsidRPr="00486D38" w:rsidRDefault="005355C9" w:rsidP="00F22769">
            <w:pPr>
              <w:jc w:val="center"/>
              <w:rPr>
                <w:sz w:val="22"/>
                <w:szCs w:val="22"/>
              </w:rPr>
            </w:pPr>
            <w:r>
              <w:rPr>
                <w:sz w:val="22"/>
                <w:szCs w:val="22"/>
              </w:rPr>
              <w:t>7</w:t>
            </w:r>
            <w:r w:rsidR="00FE4C07">
              <w:rPr>
                <w:sz w:val="22"/>
                <w:szCs w:val="22"/>
              </w:rPr>
              <w:t>.</w:t>
            </w:r>
          </w:p>
        </w:tc>
        <w:tc>
          <w:tcPr>
            <w:tcW w:w="647" w:type="pct"/>
          </w:tcPr>
          <w:p w14:paraId="56DA13DB" w14:textId="77777777" w:rsidR="005355C9" w:rsidRPr="00486D38" w:rsidRDefault="005355C9" w:rsidP="005355C9">
            <w:pPr>
              <w:rPr>
                <w:sz w:val="22"/>
                <w:szCs w:val="22"/>
              </w:rPr>
            </w:pPr>
            <w:r w:rsidRPr="00486D38">
              <w:rPr>
                <w:sz w:val="22"/>
                <w:szCs w:val="22"/>
              </w:rPr>
              <w:t xml:space="preserve">Разработване на проект на </w:t>
            </w:r>
            <w:r w:rsidR="00930595">
              <w:rPr>
                <w:sz w:val="22"/>
                <w:szCs w:val="22"/>
              </w:rPr>
              <w:t>Закон за изменение и допълнение на Закона за уреждане на колективните трудови спорове (</w:t>
            </w:r>
            <w:r w:rsidRPr="00486D38">
              <w:rPr>
                <w:sz w:val="22"/>
                <w:szCs w:val="22"/>
              </w:rPr>
              <w:t>ЗИД на ЗУКТС</w:t>
            </w:r>
            <w:r w:rsidR="00930595">
              <w:rPr>
                <w:sz w:val="22"/>
                <w:szCs w:val="22"/>
              </w:rPr>
              <w:t>)</w:t>
            </w:r>
            <w:r w:rsidRPr="00486D38">
              <w:rPr>
                <w:sz w:val="22"/>
                <w:szCs w:val="22"/>
              </w:rPr>
              <w:t xml:space="preserve"> </w:t>
            </w:r>
          </w:p>
        </w:tc>
        <w:tc>
          <w:tcPr>
            <w:tcW w:w="816" w:type="pct"/>
          </w:tcPr>
          <w:p w14:paraId="07389254" w14:textId="77777777" w:rsidR="005355C9" w:rsidRPr="00486D38" w:rsidRDefault="005355C9" w:rsidP="004C7C5E">
            <w:pPr>
              <w:rPr>
                <w:sz w:val="22"/>
                <w:szCs w:val="22"/>
              </w:rPr>
            </w:pPr>
            <w:r w:rsidRPr="00486D38">
              <w:rPr>
                <w:sz w:val="22"/>
                <w:szCs w:val="22"/>
              </w:rPr>
              <w:t xml:space="preserve">Усъвършенстване на механизма за </w:t>
            </w:r>
            <w:r w:rsidR="004C7C5E">
              <w:rPr>
                <w:sz w:val="22"/>
                <w:szCs w:val="22"/>
              </w:rPr>
              <w:t>уреждане</w:t>
            </w:r>
            <w:r w:rsidRPr="00486D38">
              <w:rPr>
                <w:sz w:val="22"/>
                <w:szCs w:val="22"/>
              </w:rPr>
              <w:t xml:space="preserve"> на колективни труд</w:t>
            </w:r>
            <w:r w:rsidR="004C7C5E">
              <w:rPr>
                <w:sz w:val="22"/>
                <w:szCs w:val="22"/>
              </w:rPr>
              <w:t>ови спорове</w:t>
            </w:r>
          </w:p>
        </w:tc>
        <w:tc>
          <w:tcPr>
            <w:tcW w:w="481" w:type="pct"/>
          </w:tcPr>
          <w:p w14:paraId="205244DC" w14:textId="77777777" w:rsidR="005355C9" w:rsidRDefault="005355C9" w:rsidP="005355C9">
            <w:pPr>
              <w:rPr>
                <w:sz w:val="22"/>
                <w:szCs w:val="22"/>
              </w:rPr>
            </w:pPr>
            <w:r w:rsidRPr="00486D38">
              <w:rPr>
                <w:sz w:val="22"/>
                <w:szCs w:val="22"/>
              </w:rPr>
              <w:t>МТСП</w:t>
            </w:r>
            <w:r w:rsidR="004C7C5E">
              <w:rPr>
                <w:sz w:val="22"/>
                <w:szCs w:val="22"/>
              </w:rPr>
              <w:t xml:space="preserve"> / социални партньори / НИПА</w:t>
            </w:r>
          </w:p>
          <w:p w14:paraId="0F286313" w14:textId="77777777" w:rsidR="004C7C5E" w:rsidRPr="00486D38" w:rsidRDefault="004C7C5E" w:rsidP="005355C9">
            <w:pPr>
              <w:rPr>
                <w:sz w:val="22"/>
                <w:szCs w:val="22"/>
              </w:rPr>
            </w:pPr>
          </w:p>
          <w:p w14:paraId="1B6D7764" w14:textId="77777777" w:rsidR="005355C9" w:rsidRPr="00486D38" w:rsidRDefault="005355C9" w:rsidP="005355C9">
            <w:pPr>
              <w:rPr>
                <w:sz w:val="22"/>
                <w:szCs w:val="22"/>
              </w:rPr>
            </w:pPr>
          </w:p>
        </w:tc>
        <w:tc>
          <w:tcPr>
            <w:tcW w:w="396" w:type="pct"/>
          </w:tcPr>
          <w:p w14:paraId="518A069A" w14:textId="77777777" w:rsidR="005355C9" w:rsidRPr="00486D38" w:rsidRDefault="005355C9" w:rsidP="005355C9">
            <w:pPr>
              <w:rPr>
                <w:sz w:val="22"/>
                <w:szCs w:val="22"/>
              </w:rPr>
            </w:pPr>
            <w:r>
              <w:rPr>
                <w:sz w:val="22"/>
                <w:szCs w:val="22"/>
              </w:rPr>
              <w:t xml:space="preserve">До </w:t>
            </w:r>
            <w:r w:rsidRPr="00486D38">
              <w:rPr>
                <w:sz w:val="22"/>
                <w:szCs w:val="22"/>
              </w:rPr>
              <w:t>20</w:t>
            </w:r>
            <w:r>
              <w:rPr>
                <w:sz w:val="22"/>
                <w:szCs w:val="22"/>
              </w:rPr>
              <w:t>30</w:t>
            </w:r>
          </w:p>
        </w:tc>
        <w:tc>
          <w:tcPr>
            <w:tcW w:w="647" w:type="pct"/>
          </w:tcPr>
          <w:p w14:paraId="12E97460" w14:textId="4187EA5E" w:rsidR="005355C9" w:rsidRDefault="005355C9" w:rsidP="004C7C5E">
            <w:pPr>
              <w:rPr>
                <w:sz w:val="22"/>
                <w:szCs w:val="22"/>
              </w:rPr>
            </w:pPr>
            <w:r w:rsidRPr="00486D38">
              <w:rPr>
                <w:sz w:val="22"/>
                <w:szCs w:val="22"/>
              </w:rPr>
              <w:t>По-ефективно уреждане на колективните трудови спорове с приоритет към доброволните способи за уреждането им</w:t>
            </w:r>
          </w:p>
          <w:p w14:paraId="372C2287" w14:textId="77777777" w:rsidR="003F547E" w:rsidRPr="00486D38" w:rsidRDefault="003F547E" w:rsidP="00AC1F68">
            <w:pPr>
              <w:rPr>
                <w:sz w:val="22"/>
                <w:szCs w:val="22"/>
              </w:rPr>
            </w:pPr>
          </w:p>
        </w:tc>
        <w:tc>
          <w:tcPr>
            <w:tcW w:w="524" w:type="pct"/>
          </w:tcPr>
          <w:p w14:paraId="3335740E" w14:textId="77777777" w:rsidR="005355C9" w:rsidRPr="00486D38" w:rsidRDefault="005355C9" w:rsidP="005355C9">
            <w:pPr>
              <w:rPr>
                <w:sz w:val="22"/>
                <w:szCs w:val="22"/>
              </w:rPr>
            </w:pPr>
            <w:r w:rsidRPr="00486D38">
              <w:rPr>
                <w:sz w:val="22"/>
                <w:szCs w:val="22"/>
              </w:rPr>
              <w:t>Проект на ЗИД на ЗУКТС</w:t>
            </w:r>
          </w:p>
        </w:tc>
        <w:tc>
          <w:tcPr>
            <w:tcW w:w="323" w:type="pct"/>
          </w:tcPr>
          <w:p w14:paraId="24B1FCDA" w14:textId="77777777" w:rsidR="005355C9" w:rsidRPr="00486D38" w:rsidRDefault="005355C9" w:rsidP="005355C9">
            <w:pPr>
              <w:rPr>
                <w:sz w:val="22"/>
                <w:szCs w:val="22"/>
              </w:rPr>
            </w:pPr>
            <w:r w:rsidRPr="00486D38">
              <w:rPr>
                <w:sz w:val="22"/>
                <w:szCs w:val="22"/>
              </w:rPr>
              <w:t>0</w:t>
            </w:r>
          </w:p>
        </w:tc>
        <w:tc>
          <w:tcPr>
            <w:tcW w:w="369" w:type="pct"/>
          </w:tcPr>
          <w:p w14:paraId="5B3E00C6" w14:textId="77777777" w:rsidR="005355C9" w:rsidRPr="00486D38" w:rsidRDefault="005355C9" w:rsidP="005355C9">
            <w:pPr>
              <w:rPr>
                <w:sz w:val="22"/>
                <w:szCs w:val="22"/>
              </w:rPr>
            </w:pPr>
            <w:r w:rsidRPr="00486D38">
              <w:rPr>
                <w:sz w:val="22"/>
                <w:szCs w:val="22"/>
              </w:rPr>
              <w:t>1</w:t>
            </w:r>
          </w:p>
        </w:tc>
        <w:tc>
          <w:tcPr>
            <w:tcW w:w="540" w:type="pct"/>
          </w:tcPr>
          <w:p w14:paraId="74B09401" w14:textId="77777777" w:rsidR="005355C9" w:rsidRDefault="005355C9" w:rsidP="005355C9">
            <w:pPr>
              <w:rPr>
                <w:sz w:val="22"/>
                <w:szCs w:val="22"/>
              </w:rPr>
            </w:pPr>
            <w:r w:rsidRPr="00486D38">
              <w:rPr>
                <w:sz w:val="22"/>
                <w:szCs w:val="22"/>
              </w:rPr>
              <w:t xml:space="preserve">В рамките на бюджета на МТСП </w:t>
            </w:r>
          </w:p>
          <w:p w14:paraId="352ACFAB" w14:textId="77777777" w:rsidR="00EB0A83" w:rsidRDefault="00EB0A83" w:rsidP="005355C9">
            <w:pPr>
              <w:rPr>
                <w:sz w:val="22"/>
                <w:szCs w:val="22"/>
              </w:rPr>
            </w:pPr>
          </w:p>
          <w:p w14:paraId="466D9CC7" w14:textId="77777777" w:rsidR="00EB0A83" w:rsidRPr="00486D38" w:rsidRDefault="00EB0A83" w:rsidP="005355C9">
            <w:pPr>
              <w:rPr>
                <w:sz w:val="22"/>
                <w:szCs w:val="22"/>
              </w:rPr>
            </w:pPr>
          </w:p>
        </w:tc>
      </w:tr>
      <w:tr w:rsidR="005355C9" w:rsidRPr="00EA2F1D" w14:paraId="33D020AF" w14:textId="77777777" w:rsidTr="001632CA">
        <w:trPr>
          <w:trHeight w:val="675"/>
          <w:jc w:val="center"/>
        </w:trPr>
        <w:tc>
          <w:tcPr>
            <w:tcW w:w="5000" w:type="pct"/>
            <w:gridSpan w:val="11"/>
            <w:shd w:val="clear" w:color="auto" w:fill="F2F2F2" w:themeFill="background1" w:themeFillShade="F2"/>
          </w:tcPr>
          <w:p w14:paraId="68C39FA3" w14:textId="77777777" w:rsidR="005355C9" w:rsidRPr="00EA2F1D" w:rsidRDefault="005355C9" w:rsidP="00F22769">
            <w:pPr>
              <w:widowControl w:val="0"/>
              <w:autoSpaceDE w:val="0"/>
              <w:autoSpaceDN w:val="0"/>
              <w:adjustRightInd w:val="0"/>
              <w:jc w:val="center"/>
              <w:rPr>
                <w:b/>
                <w:sz w:val="22"/>
                <w:szCs w:val="22"/>
              </w:rPr>
            </w:pPr>
            <w:bookmarkStart w:id="19" w:name="_Hlk200982634"/>
            <w:r w:rsidRPr="00EA2F1D">
              <w:rPr>
                <w:b/>
                <w:sz w:val="22"/>
                <w:szCs w:val="22"/>
                <w:lang w:val="en-US"/>
              </w:rPr>
              <w:t>II.</w:t>
            </w:r>
            <w:r w:rsidRPr="00EA2F1D">
              <w:rPr>
                <w:b/>
                <w:sz w:val="22"/>
                <w:szCs w:val="22"/>
              </w:rPr>
              <w:t>НЕЗАКОНОДАТЕЛНИ МЕРКИ</w:t>
            </w:r>
          </w:p>
        </w:tc>
      </w:tr>
      <w:tr w:rsidR="001632CA" w:rsidRPr="00EA2F1D" w14:paraId="5403321D" w14:textId="77777777" w:rsidTr="0061541E">
        <w:trPr>
          <w:gridAfter w:val="1"/>
          <w:wAfter w:w="71" w:type="pct"/>
          <w:jc w:val="center"/>
        </w:trPr>
        <w:tc>
          <w:tcPr>
            <w:tcW w:w="185" w:type="pct"/>
          </w:tcPr>
          <w:p w14:paraId="5282A5B3" w14:textId="4B65053E" w:rsidR="005355C9" w:rsidRPr="00486D38" w:rsidRDefault="00020F46" w:rsidP="00F22769">
            <w:pPr>
              <w:jc w:val="center"/>
              <w:rPr>
                <w:sz w:val="22"/>
                <w:szCs w:val="22"/>
              </w:rPr>
            </w:pPr>
            <w:r>
              <w:rPr>
                <w:sz w:val="22"/>
                <w:szCs w:val="22"/>
              </w:rPr>
              <w:t>8</w:t>
            </w:r>
            <w:r w:rsidR="00FE4C07">
              <w:rPr>
                <w:sz w:val="22"/>
                <w:szCs w:val="22"/>
              </w:rPr>
              <w:t>.</w:t>
            </w:r>
          </w:p>
        </w:tc>
        <w:tc>
          <w:tcPr>
            <w:tcW w:w="647" w:type="pct"/>
          </w:tcPr>
          <w:p w14:paraId="791BB2D8" w14:textId="1EAC50D6" w:rsidR="005355C9" w:rsidRPr="00486D38" w:rsidRDefault="005355C9" w:rsidP="00722445">
            <w:pPr>
              <w:rPr>
                <w:sz w:val="22"/>
                <w:szCs w:val="22"/>
              </w:rPr>
            </w:pPr>
            <w:r w:rsidRPr="00486D38">
              <w:rPr>
                <w:sz w:val="22"/>
                <w:szCs w:val="22"/>
              </w:rPr>
              <w:t xml:space="preserve">Организиране на тематични форуми за </w:t>
            </w:r>
            <w:r w:rsidRPr="00722445">
              <w:rPr>
                <w:sz w:val="22"/>
                <w:szCs w:val="22"/>
              </w:rPr>
              <w:t xml:space="preserve">социален диалог </w:t>
            </w:r>
            <w:r w:rsidR="00E81F0E" w:rsidRPr="00722445">
              <w:rPr>
                <w:sz w:val="22"/>
                <w:szCs w:val="22"/>
              </w:rPr>
              <w:t xml:space="preserve">и колективно договаряне </w:t>
            </w:r>
            <w:r w:rsidRPr="00722445">
              <w:rPr>
                <w:sz w:val="22"/>
                <w:szCs w:val="22"/>
              </w:rPr>
              <w:t xml:space="preserve">в икономически дейности, в които </w:t>
            </w:r>
            <w:r w:rsidRPr="00722445">
              <w:rPr>
                <w:sz w:val="22"/>
                <w:szCs w:val="22"/>
              </w:rPr>
              <w:lastRenderedPageBreak/>
              <w:t xml:space="preserve">няма </w:t>
            </w:r>
            <w:r w:rsidR="00B44A85" w:rsidRPr="00722445">
              <w:rPr>
                <w:sz w:val="22"/>
                <w:szCs w:val="22"/>
              </w:rPr>
              <w:t xml:space="preserve">действащи </w:t>
            </w:r>
            <w:r w:rsidRPr="00722445">
              <w:rPr>
                <w:sz w:val="22"/>
                <w:szCs w:val="22"/>
              </w:rPr>
              <w:t xml:space="preserve">колективни </w:t>
            </w:r>
            <w:r w:rsidRPr="00486D38">
              <w:rPr>
                <w:sz w:val="22"/>
                <w:szCs w:val="22"/>
              </w:rPr>
              <w:t>трудови договори</w:t>
            </w:r>
          </w:p>
        </w:tc>
        <w:tc>
          <w:tcPr>
            <w:tcW w:w="816" w:type="pct"/>
          </w:tcPr>
          <w:p w14:paraId="36A8FB1C" w14:textId="77777777" w:rsidR="005355C9" w:rsidRPr="00486D38" w:rsidRDefault="005355C9" w:rsidP="00811A5B">
            <w:pPr>
              <w:rPr>
                <w:sz w:val="22"/>
                <w:szCs w:val="22"/>
              </w:rPr>
            </w:pPr>
            <w:r w:rsidRPr="00486D38">
              <w:rPr>
                <w:sz w:val="22"/>
                <w:szCs w:val="22"/>
              </w:rPr>
              <w:lastRenderedPageBreak/>
              <w:t xml:space="preserve">Организиране на срещи между представители на браншови и отраслови организации на работниците и служителите и на работодателите в икономически </w:t>
            </w:r>
            <w:r w:rsidRPr="00486D38">
              <w:rPr>
                <w:sz w:val="22"/>
                <w:szCs w:val="22"/>
              </w:rPr>
              <w:lastRenderedPageBreak/>
              <w:t xml:space="preserve">дейности, където няма </w:t>
            </w:r>
            <w:r w:rsidR="00811A5B">
              <w:rPr>
                <w:sz w:val="22"/>
                <w:szCs w:val="22"/>
              </w:rPr>
              <w:t>действащ</w:t>
            </w:r>
            <w:r w:rsidRPr="00486D38">
              <w:rPr>
                <w:sz w:val="22"/>
                <w:szCs w:val="22"/>
              </w:rPr>
              <w:t xml:space="preserve"> колективен трудов договор с цел обсъждане на проблемите при преговорите и повишаване на интереса към колективното договаряне</w:t>
            </w:r>
          </w:p>
        </w:tc>
        <w:tc>
          <w:tcPr>
            <w:tcW w:w="481" w:type="pct"/>
          </w:tcPr>
          <w:p w14:paraId="0BB637B8" w14:textId="06357996" w:rsidR="005355C9" w:rsidRPr="00486D38" w:rsidRDefault="005355C9" w:rsidP="005355C9">
            <w:pPr>
              <w:rPr>
                <w:sz w:val="22"/>
                <w:szCs w:val="22"/>
              </w:rPr>
            </w:pPr>
            <w:r w:rsidRPr="00463FA7">
              <w:rPr>
                <w:sz w:val="22"/>
                <w:szCs w:val="22"/>
              </w:rPr>
              <w:lastRenderedPageBreak/>
              <w:t xml:space="preserve">отраслови </w:t>
            </w:r>
            <w:r>
              <w:rPr>
                <w:sz w:val="22"/>
                <w:szCs w:val="22"/>
              </w:rPr>
              <w:t xml:space="preserve">и браншови </w:t>
            </w:r>
            <w:r w:rsidRPr="00463FA7">
              <w:rPr>
                <w:sz w:val="22"/>
                <w:szCs w:val="22"/>
              </w:rPr>
              <w:t>организации</w:t>
            </w:r>
            <w:r>
              <w:rPr>
                <w:sz w:val="22"/>
                <w:szCs w:val="22"/>
              </w:rPr>
              <w:t xml:space="preserve"> и съответни министерст</w:t>
            </w:r>
            <w:r w:rsidR="003D4C04">
              <w:rPr>
                <w:sz w:val="22"/>
                <w:szCs w:val="22"/>
              </w:rPr>
              <w:t>-</w:t>
            </w:r>
            <w:r>
              <w:rPr>
                <w:sz w:val="22"/>
                <w:szCs w:val="22"/>
              </w:rPr>
              <w:t xml:space="preserve">ва </w:t>
            </w:r>
          </w:p>
        </w:tc>
        <w:tc>
          <w:tcPr>
            <w:tcW w:w="396" w:type="pct"/>
          </w:tcPr>
          <w:p w14:paraId="68843973" w14:textId="77777777" w:rsidR="005355C9" w:rsidRPr="00486D38" w:rsidRDefault="005355C9" w:rsidP="005355C9">
            <w:pPr>
              <w:rPr>
                <w:sz w:val="22"/>
                <w:szCs w:val="22"/>
              </w:rPr>
            </w:pPr>
            <w:r w:rsidRPr="00486D38">
              <w:rPr>
                <w:sz w:val="22"/>
                <w:szCs w:val="22"/>
              </w:rPr>
              <w:t>2026 –2030</w:t>
            </w:r>
          </w:p>
        </w:tc>
        <w:tc>
          <w:tcPr>
            <w:tcW w:w="647" w:type="pct"/>
          </w:tcPr>
          <w:p w14:paraId="339CE60B" w14:textId="77777777" w:rsidR="005355C9" w:rsidRPr="00486D38" w:rsidRDefault="005355C9" w:rsidP="005355C9">
            <w:pPr>
              <w:rPr>
                <w:sz w:val="22"/>
                <w:szCs w:val="22"/>
              </w:rPr>
            </w:pPr>
            <w:r w:rsidRPr="00486D38">
              <w:rPr>
                <w:sz w:val="22"/>
                <w:szCs w:val="22"/>
              </w:rPr>
              <w:t xml:space="preserve">Повишаване на </w:t>
            </w:r>
            <w:r>
              <w:rPr>
                <w:sz w:val="22"/>
                <w:szCs w:val="22"/>
              </w:rPr>
              <w:t>мотивацията за</w:t>
            </w:r>
            <w:r w:rsidRPr="00486D38">
              <w:rPr>
                <w:sz w:val="22"/>
                <w:szCs w:val="22"/>
              </w:rPr>
              <w:t xml:space="preserve"> колективно договаряне</w:t>
            </w:r>
            <w:r>
              <w:rPr>
                <w:sz w:val="22"/>
                <w:szCs w:val="22"/>
              </w:rPr>
              <w:t xml:space="preserve"> по </w:t>
            </w:r>
            <w:r w:rsidRPr="00486D38">
              <w:rPr>
                <w:sz w:val="22"/>
                <w:szCs w:val="22"/>
              </w:rPr>
              <w:t>браншове и отрасли</w:t>
            </w:r>
          </w:p>
        </w:tc>
        <w:tc>
          <w:tcPr>
            <w:tcW w:w="524" w:type="pct"/>
          </w:tcPr>
          <w:p w14:paraId="2531F1BD" w14:textId="77777777" w:rsidR="005355C9" w:rsidRPr="00486D38" w:rsidRDefault="005355C9" w:rsidP="005355C9">
            <w:pPr>
              <w:rPr>
                <w:sz w:val="22"/>
                <w:szCs w:val="22"/>
              </w:rPr>
            </w:pPr>
            <w:r w:rsidRPr="00486D38">
              <w:rPr>
                <w:sz w:val="22"/>
                <w:szCs w:val="22"/>
              </w:rPr>
              <w:t>Брой организирани срещи</w:t>
            </w:r>
          </w:p>
        </w:tc>
        <w:tc>
          <w:tcPr>
            <w:tcW w:w="323" w:type="pct"/>
          </w:tcPr>
          <w:p w14:paraId="0813ACEA" w14:textId="77777777" w:rsidR="005355C9" w:rsidRPr="00486D38" w:rsidRDefault="005355C9" w:rsidP="005355C9">
            <w:pPr>
              <w:rPr>
                <w:sz w:val="22"/>
                <w:szCs w:val="22"/>
              </w:rPr>
            </w:pPr>
            <w:r w:rsidRPr="00486D38">
              <w:rPr>
                <w:sz w:val="22"/>
                <w:szCs w:val="22"/>
              </w:rPr>
              <w:t>0</w:t>
            </w:r>
          </w:p>
        </w:tc>
        <w:tc>
          <w:tcPr>
            <w:tcW w:w="369" w:type="pct"/>
          </w:tcPr>
          <w:p w14:paraId="75DD4AE5" w14:textId="77777777" w:rsidR="005355C9" w:rsidRPr="00486D38" w:rsidRDefault="005355C9" w:rsidP="005355C9">
            <w:pPr>
              <w:rPr>
                <w:sz w:val="22"/>
                <w:szCs w:val="22"/>
              </w:rPr>
            </w:pPr>
            <w:r w:rsidRPr="00486D38">
              <w:rPr>
                <w:sz w:val="22"/>
                <w:szCs w:val="22"/>
              </w:rPr>
              <w:t>6</w:t>
            </w:r>
          </w:p>
        </w:tc>
        <w:tc>
          <w:tcPr>
            <w:tcW w:w="540" w:type="pct"/>
          </w:tcPr>
          <w:p w14:paraId="3E86CA14" w14:textId="244B6268" w:rsidR="00EB0A83" w:rsidRPr="00486D38" w:rsidRDefault="005355C9" w:rsidP="005355C9">
            <w:pPr>
              <w:rPr>
                <w:sz w:val="22"/>
                <w:szCs w:val="22"/>
              </w:rPr>
            </w:pPr>
            <w:r w:rsidRPr="00486D38">
              <w:rPr>
                <w:sz w:val="22"/>
                <w:szCs w:val="22"/>
              </w:rPr>
              <w:t xml:space="preserve">В рамките на бюджета на </w:t>
            </w:r>
            <w:r>
              <w:rPr>
                <w:sz w:val="22"/>
                <w:szCs w:val="22"/>
              </w:rPr>
              <w:t>отговорните организации и институции</w:t>
            </w:r>
          </w:p>
        </w:tc>
      </w:tr>
      <w:tr w:rsidR="001632CA" w:rsidRPr="00EA2F1D" w14:paraId="2D13B410" w14:textId="77777777" w:rsidTr="0061541E">
        <w:trPr>
          <w:gridAfter w:val="1"/>
          <w:wAfter w:w="71" w:type="pct"/>
          <w:jc w:val="center"/>
        </w:trPr>
        <w:tc>
          <w:tcPr>
            <w:tcW w:w="185" w:type="pct"/>
          </w:tcPr>
          <w:p w14:paraId="0CE13460" w14:textId="3FCA2813" w:rsidR="005355C9" w:rsidRPr="00486D38" w:rsidRDefault="009F3B82" w:rsidP="00FE4C07">
            <w:pPr>
              <w:jc w:val="center"/>
              <w:rPr>
                <w:sz w:val="22"/>
                <w:szCs w:val="22"/>
              </w:rPr>
            </w:pPr>
            <w:r>
              <w:rPr>
                <w:sz w:val="22"/>
                <w:szCs w:val="22"/>
              </w:rPr>
              <w:t>9</w:t>
            </w:r>
            <w:r w:rsidR="00FE4C07">
              <w:rPr>
                <w:sz w:val="22"/>
                <w:szCs w:val="22"/>
              </w:rPr>
              <w:t>.</w:t>
            </w:r>
          </w:p>
        </w:tc>
        <w:tc>
          <w:tcPr>
            <w:tcW w:w="647" w:type="pct"/>
          </w:tcPr>
          <w:p w14:paraId="36A2EBBE" w14:textId="77777777" w:rsidR="005355C9" w:rsidRPr="00486D38" w:rsidRDefault="005355C9" w:rsidP="005355C9">
            <w:pPr>
              <w:rPr>
                <w:sz w:val="22"/>
                <w:szCs w:val="22"/>
              </w:rPr>
            </w:pPr>
            <w:r>
              <w:rPr>
                <w:sz w:val="22"/>
                <w:szCs w:val="22"/>
              </w:rPr>
              <w:t>Повишаване</w:t>
            </w:r>
            <w:r w:rsidRPr="00486D38">
              <w:rPr>
                <w:sz w:val="22"/>
                <w:szCs w:val="22"/>
              </w:rPr>
              <w:t xml:space="preserve"> на капацитет</w:t>
            </w:r>
            <w:r>
              <w:rPr>
                <w:sz w:val="22"/>
                <w:szCs w:val="22"/>
              </w:rPr>
              <w:t>а</w:t>
            </w:r>
            <w:r w:rsidRPr="00486D38">
              <w:rPr>
                <w:sz w:val="22"/>
                <w:szCs w:val="22"/>
              </w:rPr>
              <w:t xml:space="preserve"> </w:t>
            </w:r>
            <w:r>
              <w:rPr>
                <w:sz w:val="22"/>
                <w:szCs w:val="22"/>
              </w:rPr>
              <w:t xml:space="preserve">на </w:t>
            </w:r>
            <w:r w:rsidRPr="00486D38">
              <w:rPr>
                <w:sz w:val="22"/>
                <w:szCs w:val="22"/>
              </w:rPr>
              <w:t xml:space="preserve">синдикалните и работодателските организации чрез обучения </w:t>
            </w:r>
          </w:p>
        </w:tc>
        <w:tc>
          <w:tcPr>
            <w:tcW w:w="816" w:type="pct"/>
          </w:tcPr>
          <w:p w14:paraId="233A9996" w14:textId="77777777" w:rsidR="00B44A85" w:rsidRPr="00722445" w:rsidRDefault="00B44A85" w:rsidP="005355C9">
            <w:pPr>
              <w:rPr>
                <w:sz w:val="22"/>
                <w:szCs w:val="22"/>
              </w:rPr>
            </w:pPr>
            <w:r w:rsidRPr="00722445">
              <w:rPr>
                <w:sz w:val="22"/>
                <w:szCs w:val="22"/>
              </w:rPr>
              <w:t>Практически обучения</w:t>
            </w:r>
            <w:r w:rsidR="005355C9" w:rsidRPr="00722445">
              <w:rPr>
                <w:sz w:val="22"/>
                <w:szCs w:val="22"/>
              </w:rPr>
              <w:t xml:space="preserve"> </w:t>
            </w:r>
            <w:r w:rsidR="005355C9" w:rsidRPr="00474264">
              <w:rPr>
                <w:sz w:val="22"/>
                <w:szCs w:val="22"/>
              </w:rPr>
              <w:t>на представители на работодателите и на синдикатите</w:t>
            </w:r>
            <w:r w:rsidR="00722445">
              <w:rPr>
                <w:sz w:val="22"/>
                <w:szCs w:val="22"/>
              </w:rPr>
              <w:t xml:space="preserve">, насочени към </w:t>
            </w:r>
            <w:r w:rsidR="005355C9" w:rsidRPr="00474264">
              <w:rPr>
                <w:sz w:val="22"/>
                <w:szCs w:val="22"/>
              </w:rPr>
              <w:t xml:space="preserve"> </w:t>
            </w:r>
            <w:r w:rsidR="005355C9" w:rsidRPr="00722445">
              <w:rPr>
                <w:sz w:val="22"/>
                <w:szCs w:val="22"/>
              </w:rPr>
              <w:t>изграждане на умения за водене на преговори за сключване на КТД;</w:t>
            </w:r>
            <w:r w:rsidR="00722445" w:rsidRPr="00722445">
              <w:rPr>
                <w:sz w:val="22"/>
                <w:szCs w:val="22"/>
              </w:rPr>
              <w:t xml:space="preserve"> структура на </w:t>
            </w:r>
            <w:r w:rsidR="005355C9" w:rsidRPr="00722445">
              <w:rPr>
                <w:sz w:val="22"/>
                <w:szCs w:val="22"/>
              </w:rPr>
              <w:t>заплащане</w:t>
            </w:r>
            <w:r w:rsidR="00722445" w:rsidRPr="00722445">
              <w:rPr>
                <w:sz w:val="22"/>
                <w:szCs w:val="22"/>
              </w:rPr>
              <w:t>то</w:t>
            </w:r>
            <w:r w:rsidR="005355C9" w:rsidRPr="00722445">
              <w:rPr>
                <w:sz w:val="22"/>
                <w:szCs w:val="22"/>
              </w:rPr>
              <w:t xml:space="preserve"> на труда; ползи от колективното договаряне</w:t>
            </w:r>
            <w:r w:rsidR="00722445" w:rsidRPr="00722445">
              <w:rPr>
                <w:sz w:val="22"/>
                <w:szCs w:val="22"/>
              </w:rPr>
              <w:t xml:space="preserve">; </w:t>
            </w:r>
            <w:r w:rsidR="005355C9" w:rsidRPr="00722445">
              <w:rPr>
                <w:sz w:val="22"/>
                <w:szCs w:val="22"/>
              </w:rPr>
              <w:t>р</w:t>
            </w:r>
            <w:r w:rsidR="00722445" w:rsidRPr="00722445">
              <w:rPr>
                <w:sz w:val="22"/>
                <w:szCs w:val="22"/>
              </w:rPr>
              <w:t>азрешаване на спорове.</w:t>
            </w:r>
            <w:r w:rsidR="005355C9" w:rsidRPr="00722445">
              <w:rPr>
                <w:sz w:val="22"/>
                <w:szCs w:val="22"/>
              </w:rPr>
              <w:t xml:space="preserve"> </w:t>
            </w:r>
          </w:p>
        </w:tc>
        <w:tc>
          <w:tcPr>
            <w:tcW w:w="481" w:type="pct"/>
          </w:tcPr>
          <w:p w14:paraId="1A22E6DC" w14:textId="77777777" w:rsidR="005355C9" w:rsidRPr="00B44A85" w:rsidRDefault="00B44A85" w:rsidP="005355C9">
            <w:pPr>
              <w:rPr>
                <w:sz w:val="22"/>
                <w:szCs w:val="22"/>
              </w:rPr>
            </w:pPr>
            <w:r>
              <w:rPr>
                <w:sz w:val="22"/>
                <w:szCs w:val="22"/>
              </w:rPr>
              <w:t>Социални партньори, НИПА</w:t>
            </w:r>
          </w:p>
          <w:p w14:paraId="47FF57D1" w14:textId="77777777" w:rsidR="005355C9" w:rsidRPr="00486D38" w:rsidRDefault="005355C9" w:rsidP="005355C9">
            <w:pPr>
              <w:rPr>
                <w:sz w:val="22"/>
                <w:szCs w:val="22"/>
              </w:rPr>
            </w:pPr>
          </w:p>
        </w:tc>
        <w:tc>
          <w:tcPr>
            <w:tcW w:w="396" w:type="pct"/>
          </w:tcPr>
          <w:p w14:paraId="29D8DB39" w14:textId="77777777" w:rsidR="005355C9" w:rsidRDefault="005355C9" w:rsidP="005355C9">
            <w:pPr>
              <w:rPr>
                <w:sz w:val="22"/>
                <w:szCs w:val="22"/>
              </w:rPr>
            </w:pPr>
            <w:r w:rsidRPr="00486D38">
              <w:rPr>
                <w:sz w:val="22"/>
                <w:szCs w:val="22"/>
              </w:rPr>
              <w:t>2026 –2030</w:t>
            </w:r>
          </w:p>
          <w:p w14:paraId="7F5EDB91" w14:textId="77777777" w:rsidR="005355C9" w:rsidRDefault="005355C9" w:rsidP="005355C9">
            <w:pPr>
              <w:rPr>
                <w:sz w:val="22"/>
                <w:szCs w:val="22"/>
              </w:rPr>
            </w:pPr>
          </w:p>
          <w:p w14:paraId="751A3CEA" w14:textId="77777777" w:rsidR="005355C9" w:rsidRPr="00486D38" w:rsidRDefault="005355C9" w:rsidP="005355C9">
            <w:pPr>
              <w:rPr>
                <w:sz w:val="22"/>
                <w:szCs w:val="22"/>
              </w:rPr>
            </w:pPr>
          </w:p>
        </w:tc>
        <w:tc>
          <w:tcPr>
            <w:tcW w:w="647" w:type="pct"/>
          </w:tcPr>
          <w:p w14:paraId="0A9FC4F0" w14:textId="77777777" w:rsidR="005355C9" w:rsidRDefault="005355C9" w:rsidP="005355C9">
            <w:pPr>
              <w:rPr>
                <w:sz w:val="22"/>
                <w:szCs w:val="22"/>
              </w:rPr>
            </w:pPr>
            <w:r w:rsidRPr="00486D38">
              <w:rPr>
                <w:sz w:val="22"/>
                <w:szCs w:val="22"/>
              </w:rPr>
              <w:t>Повиш</w:t>
            </w:r>
            <w:r>
              <w:rPr>
                <w:sz w:val="22"/>
                <w:szCs w:val="22"/>
              </w:rPr>
              <w:t>ен капацитет за к</w:t>
            </w:r>
            <w:r w:rsidRPr="00486D38">
              <w:rPr>
                <w:sz w:val="22"/>
                <w:szCs w:val="22"/>
              </w:rPr>
              <w:t xml:space="preserve">олективно договаряне </w:t>
            </w:r>
          </w:p>
          <w:p w14:paraId="2E52DC44" w14:textId="77777777" w:rsidR="005355C9" w:rsidRDefault="005355C9" w:rsidP="005355C9">
            <w:pPr>
              <w:rPr>
                <w:sz w:val="22"/>
                <w:szCs w:val="22"/>
              </w:rPr>
            </w:pPr>
          </w:p>
          <w:p w14:paraId="3BD8F592" w14:textId="77777777" w:rsidR="005355C9" w:rsidRDefault="005355C9" w:rsidP="005355C9">
            <w:pPr>
              <w:rPr>
                <w:sz w:val="22"/>
                <w:szCs w:val="22"/>
              </w:rPr>
            </w:pPr>
          </w:p>
          <w:p w14:paraId="0D51A5DA" w14:textId="77777777" w:rsidR="005355C9" w:rsidRDefault="005355C9" w:rsidP="005355C9">
            <w:pPr>
              <w:rPr>
                <w:sz w:val="22"/>
                <w:szCs w:val="22"/>
              </w:rPr>
            </w:pPr>
          </w:p>
          <w:p w14:paraId="10545E6F" w14:textId="77777777" w:rsidR="005355C9" w:rsidRDefault="005355C9" w:rsidP="005355C9">
            <w:pPr>
              <w:rPr>
                <w:sz w:val="22"/>
                <w:szCs w:val="22"/>
              </w:rPr>
            </w:pPr>
          </w:p>
          <w:p w14:paraId="0FB791AF" w14:textId="77777777" w:rsidR="005355C9" w:rsidRDefault="005355C9" w:rsidP="005355C9">
            <w:pPr>
              <w:rPr>
                <w:sz w:val="22"/>
                <w:szCs w:val="22"/>
              </w:rPr>
            </w:pPr>
          </w:p>
          <w:p w14:paraId="105C9362" w14:textId="77777777" w:rsidR="005355C9" w:rsidRDefault="005355C9" w:rsidP="005355C9">
            <w:pPr>
              <w:rPr>
                <w:sz w:val="22"/>
                <w:szCs w:val="22"/>
              </w:rPr>
            </w:pPr>
          </w:p>
          <w:p w14:paraId="4A8EE1E7" w14:textId="77777777" w:rsidR="005355C9" w:rsidRDefault="005355C9" w:rsidP="005355C9">
            <w:pPr>
              <w:rPr>
                <w:sz w:val="22"/>
                <w:szCs w:val="22"/>
              </w:rPr>
            </w:pPr>
          </w:p>
          <w:p w14:paraId="5A80DC84" w14:textId="77777777" w:rsidR="00433AD5" w:rsidRPr="00486D38" w:rsidRDefault="00433AD5" w:rsidP="009F3B82">
            <w:pPr>
              <w:rPr>
                <w:sz w:val="22"/>
                <w:szCs w:val="22"/>
              </w:rPr>
            </w:pPr>
          </w:p>
        </w:tc>
        <w:tc>
          <w:tcPr>
            <w:tcW w:w="524" w:type="pct"/>
          </w:tcPr>
          <w:p w14:paraId="1C989596" w14:textId="77777777" w:rsidR="005355C9" w:rsidRPr="00486D38" w:rsidRDefault="005355C9" w:rsidP="00722445">
            <w:pPr>
              <w:rPr>
                <w:sz w:val="22"/>
                <w:szCs w:val="22"/>
              </w:rPr>
            </w:pPr>
            <w:r w:rsidRPr="00486D38">
              <w:rPr>
                <w:sz w:val="22"/>
                <w:szCs w:val="22"/>
              </w:rPr>
              <w:t xml:space="preserve">Брой </w:t>
            </w:r>
            <w:r w:rsidR="00722445">
              <w:rPr>
                <w:sz w:val="22"/>
                <w:szCs w:val="22"/>
              </w:rPr>
              <w:t>проведени обучения</w:t>
            </w:r>
          </w:p>
        </w:tc>
        <w:tc>
          <w:tcPr>
            <w:tcW w:w="323" w:type="pct"/>
          </w:tcPr>
          <w:p w14:paraId="24AF68F8" w14:textId="77777777" w:rsidR="005355C9" w:rsidRPr="00486D38" w:rsidRDefault="005355C9" w:rsidP="005355C9">
            <w:pPr>
              <w:rPr>
                <w:sz w:val="22"/>
                <w:szCs w:val="22"/>
              </w:rPr>
            </w:pPr>
            <w:r w:rsidRPr="00486D38">
              <w:rPr>
                <w:sz w:val="22"/>
                <w:szCs w:val="22"/>
              </w:rPr>
              <w:t>0</w:t>
            </w:r>
          </w:p>
        </w:tc>
        <w:tc>
          <w:tcPr>
            <w:tcW w:w="369" w:type="pct"/>
          </w:tcPr>
          <w:p w14:paraId="785AC4E3" w14:textId="77777777" w:rsidR="005355C9" w:rsidRPr="00486D38" w:rsidRDefault="00722445" w:rsidP="005355C9">
            <w:pPr>
              <w:rPr>
                <w:sz w:val="22"/>
                <w:szCs w:val="22"/>
              </w:rPr>
            </w:pPr>
            <w:r w:rsidRPr="00722445">
              <w:rPr>
                <w:sz w:val="22"/>
                <w:szCs w:val="22"/>
              </w:rPr>
              <w:t>60</w:t>
            </w:r>
          </w:p>
        </w:tc>
        <w:tc>
          <w:tcPr>
            <w:tcW w:w="540" w:type="pct"/>
          </w:tcPr>
          <w:p w14:paraId="58D2E122" w14:textId="1E75B271" w:rsidR="005355C9" w:rsidRPr="00486D38" w:rsidRDefault="005355C9" w:rsidP="005355C9">
            <w:pPr>
              <w:rPr>
                <w:sz w:val="22"/>
                <w:szCs w:val="22"/>
              </w:rPr>
            </w:pPr>
            <w:r w:rsidRPr="00486D38">
              <w:rPr>
                <w:sz w:val="22"/>
                <w:szCs w:val="22"/>
              </w:rPr>
              <w:t>В рамките на бюджета на организациите</w:t>
            </w:r>
            <w:r w:rsidR="00E779F7">
              <w:rPr>
                <w:sz w:val="22"/>
                <w:szCs w:val="22"/>
              </w:rPr>
              <w:t xml:space="preserve">, включително чрез финансиране при условията на Оперативна програма „Развитие на човешките ресурси“ </w:t>
            </w:r>
            <w:r w:rsidR="003D4C04">
              <w:rPr>
                <w:sz w:val="22"/>
                <w:szCs w:val="22"/>
              </w:rPr>
              <w:br/>
            </w:r>
            <w:r w:rsidR="00E779F7">
              <w:rPr>
                <w:sz w:val="22"/>
                <w:szCs w:val="22"/>
              </w:rPr>
              <w:t xml:space="preserve">2021-2027  </w:t>
            </w:r>
          </w:p>
        </w:tc>
      </w:tr>
      <w:tr w:rsidR="001632CA" w:rsidRPr="00EA2F1D" w14:paraId="7AEC82C9" w14:textId="77777777" w:rsidTr="0061541E">
        <w:trPr>
          <w:gridAfter w:val="1"/>
          <w:wAfter w:w="71" w:type="pct"/>
          <w:jc w:val="center"/>
        </w:trPr>
        <w:tc>
          <w:tcPr>
            <w:tcW w:w="185" w:type="pct"/>
          </w:tcPr>
          <w:p w14:paraId="67EF9410" w14:textId="49703DBD" w:rsidR="005355C9" w:rsidRPr="00486D38" w:rsidRDefault="005355C9" w:rsidP="00F22769">
            <w:pPr>
              <w:jc w:val="center"/>
              <w:rPr>
                <w:sz w:val="22"/>
                <w:szCs w:val="22"/>
              </w:rPr>
            </w:pPr>
            <w:r w:rsidRPr="00486D38">
              <w:rPr>
                <w:sz w:val="22"/>
                <w:szCs w:val="22"/>
              </w:rPr>
              <w:t>1</w:t>
            </w:r>
            <w:r w:rsidR="009F3B82">
              <w:rPr>
                <w:sz w:val="22"/>
                <w:szCs w:val="22"/>
              </w:rPr>
              <w:t>0</w:t>
            </w:r>
            <w:r w:rsidR="00FE4C07">
              <w:rPr>
                <w:sz w:val="22"/>
                <w:szCs w:val="22"/>
              </w:rPr>
              <w:t>.</w:t>
            </w:r>
          </w:p>
        </w:tc>
        <w:tc>
          <w:tcPr>
            <w:tcW w:w="647" w:type="pct"/>
          </w:tcPr>
          <w:p w14:paraId="6D102A3D" w14:textId="77777777" w:rsidR="005355C9" w:rsidRPr="00486D38" w:rsidRDefault="005355C9" w:rsidP="005355C9">
            <w:pPr>
              <w:rPr>
                <w:sz w:val="22"/>
                <w:szCs w:val="22"/>
              </w:rPr>
            </w:pPr>
            <w:r>
              <w:rPr>
                <w:sz w:val="22"/>
                <w:szCs w:val="22"/>
              </w:rPr>
              <w:t xml:space="preserve">Изграждане на нов регистър на колективните трудови договори </w:t>
            </w:r>
          </w:p>
        </w:tc>
        <w:tc>
          <w:tcPr>
            <w:tcW w:w="816" w:type="pct"/>
          </w:tcPr>
          <w:p w14:paraId="1E59BBC4" w14:textId="543268B8" w:rsidR="005355C9" w:rsidRPr="00486D38" w:rsidRDefault="005355C9" w:rsidP="005355C9">
            <w:pPr>
              <w:rPr>
                <w:sz w:val="22"/>
                <w:szCs w:val="22"/>
              </w:rPr>
            </w:pPr>
            <w:r>
              <w:t xml:space="preserve">Изграждане и поддържане на електронен </w:t>
            </w:r>
            <w:r w:rsidRPr="008F77E6">
              <w:t xml:space="preserve">регистър на колективните трудови договори </w:t>
            </w:r>
            <w:r>
              <w:t>и споразуменията за държавния служител като</w:t>
            </w:r>
            <w:r w:rsidRPr="008F77E6">
              <w:t xml:space="preserve"> част от информационната система на НИПА</w:t>
            </w:r>
            <w:r>
              <w:rPr>
                <w:sz w:val="22"/>
                <w:szCs w:val="22"/>
              </w:rPr>
              <w:t xml:space="preserve"> </w:t>
            </w:r>
          </w:p>
        </w:tc>
        <w:tc>
          <w:tcPr>
            <w:tcW w:w="481" w:type="pct"/>
          </w:tcPr>
          <w:p w14:paraId="7384FE28" w14:textId="77777777" w:rsidR="005355C9" w:rsidRPr="00B44A85" w:rsidRDefault="005355C9" w:rsidP="00E81F0E">
            <w:pPr>
              <w:rPr>
                <w:color w:val="00B0F0"/>
                <w:sz w:val="22"/>
                <w:szCs w:val="22"/>
              </w:rPr>
            </w:pPr>
            <w:r w:rsidRPr="00486D38">
              <w:rPr>
                <w:sz w:val="22"/>
                <w:szCs w:val="22"/>
              </w:rPr>
              <w:t>НИПА</w:t>
            </w:r>
            <w:r w:rsidR="00B44A85">
              <w:rPr>
                <w:sz w:val="22"/>
                <w:szCs w:val="22"/>
              </w:rPr>
              <w:t xml:space="preserve">, </w:t>
            </w:r>
            <w:r w:rsidR="00B44A85" w:rsidRPr="00722445">
              <w:rPr>
                <w:sz w:val="22"/>
                <w:szCs w:val="22"/>
              </w:rPr>
              <w:t>соц</w:t>
            </w:r>
            <w:r w:rsidR="00E81F0E" w:rsidRPr="00722445">
              <w:rPr>
                <w:sz w:val="22"/>
                <w:szCs w:val="22"/>
              </w:rPr>
              <w:t xml:space="preserve">иални </w:t>
            </w:r>
            <w:r w:rsidR="00B44A85" w:rsidRPr="00722445">
              <w:rPr>
                <w:sz w:val="22"/>
                <w:szCs w:val="22"/>
              </w:rPr>
              <w:t>партньори</w:t>
            </w:r>
          </w:p>
        </w:tc>
        <w:tc>
          <w:tcPr>
            <w:tcW w:w="396" w:type="pct"/>
          </w:tcPr>
          <w:p w14:paraId="501727F6" w14:textId="77777777" w:rsidR="005355C9" w:rsidRPr="00486D38" w:rsidRDefault="005355C9" w:rsidP="005355C9">
            <w:pPr>
              <w:rPr>
                <w:sz w:val="22"/>
                <w:szCs w:val="22"/>
              </w:rPr>
            </w:pPr>
            <w:r w:rsidRPr="002E3366">
              <w:rPr>
                <w:sz w:val="22"/>
                <w:szCs w:val="22"/>
              </w:rPr>
              <w:t>20</w:t>
            </w:r>
            <w:r>
              <w:rPr>
                <w:sz w:val="22"/>
                <w:szCs w:val="22"/>
              </w:rPr>
              <w:t>30</w:t>
            </w:r>
          </w:p>
        </w:tc>
        <w:tc>
          <w:tcPr>
            <w:tcW w:w="647" w:type="pct"/>
          </w:tcPr>
          <w:p w14:paraId="2364E3B5" w14:textId="2CE82C11" w:rsidR="005355C9" w:rsidRDefault="005355C9" w:rsidP="005355C9">
            <w:r>
              <w:t>Намаляване на административ</w:t>
            </w:r>
            <w:r w:rsidR="003D4C04">
              <w:t>-</w:t>
            </w:r>
            <w:r>
              <w:t>ната тежест</w:t>
            </w:r>
            <w:r w:rsidR="001447AC">
              <w:t>.</w:t>
            </w:r>
            <w:r>
              <w:t xml:space="preserve"> </w:t>
            </w:r>
          </w:p>
          <w:p w14:paraId="70805A56" w14:textId="77777777" w:rsidR="005355C9" w:rsidRPr="00486D38" w:rsidRDefault="005355C9" w:rsidP="005355C9">
            <w:pPr>
              <w:rPr>
                <w:sz w:val="22"/>
                <w:szCs w:val="22"/>
              </w:rPr>
            </w:pPr>
            <w:r>
              <w:t xml:space="preserve">Осигуряване на </w:t>
            </w:r>
            <w:r w:rsidRPr="001B203E">
              <w:t>надеждна и своевременна информация относно колективното договаряне</w:t>
            </w:r>
            <w:r w:rsidR="001447AC">
              <w:t>.</w:t>
            </w:r>
            <w:r w:rsidRPr="00914CCB">
              <w:rPr>
                <w:sz w:val="22"/>
                <w:szCs w:val="22"/>
              </w:rPr>
              <w:t xml:space="preserve"> </w:t>
            </w:r>
          </w:p>
        </w:tc>
        <w:tc>
          <w:tcPr>
            <w:tcW w:w="524" w:type="pct"/>
          </w:tcPr>
          <w:p w14:paraId="07168F4E" w14:textId="77777777" w:rsidR="005355C9" w:rsidRPr="00486D38" w:rsidRDefault="005355C9" w:rsidP="005355C9">
            <w:pPr>
              <w:rPr>
                <w:sz w:val="22"/>
                <w:szCs w:val="22"/>
              </w:rPr>
            </w:pPr>
            <w:r>
              <w:rPr>
                <w:sz w:val="22"/>
                <w:szCs w:val="22"/>
              </w:rPr>
              <w:t>Електронен</w:t>
            </w:r>
            <w:r w:rsidRPr="00486D38">
              <w:rPr>
                <w:sz w:val="22"/>
                <w:szCs w:val="22"/>
              </w:rPr>
              <w:t xml:space="preserve"> регистър</w:t>
            </w:r>
          </w:p>
        </w:tc>
        <w:tc>
          <w:tcPr>
            <w:tcW w:w="323" w:type="pct"/>
          </w:tcPr>
          <w:p w14:paraId="078452C5" w14:textId="77777777" w:rsidR="005355C9" w:rsidRPr="00486D38" w:rsidRDefault="005355C9" w:rsidP="005355C9">
            <w:pPr>
              <w:rPr>
                <w:sz w:val="22"/>
                <w:szCs w:val="22"/>
              </w:rPr>
            </w:pPr>
            <w:r w:rsidRPr="00486D38">
              <w:rPr>
                <w:sz w:val="22"/>
                <w:szCs w:val="22"/>
              </w:rPr>
              <w:t>0</w:t>
            </w:r>
          </w:p>
        </w:tc>
        <w:tc>
          <w:tcPr>
            <w:tcW w:w="369" w:type="pct"/>
          </w:tcPr>
          <w:p w14:paraId="7A680237" w14:textId="77777777" w:rsidR="005355C9" w:rsidRPr="00486D38" w:rsidRDefault="005355C9" w:rsidP="005355C9">
            <w:pPr>
              <w:rPr>
                <w:sz w:val="22"/>
                <w:szCs w:val="22"/>
              </w:rPr>
            </w:pPr>
            <w:r w:rsidRPr="00486D38">
              <w:rPr>
                <w:sz w:val="22"/>
                <w:szCs w:val="22"/>
              </w:rPr>
              <w:t>1</w:t>
            </w:r>
          </w:p>
        </w:tc>
        <w:tc>
          <w:tcPr>
            <w:tcW w:w="540" w:type="pct"/>
          </w:tcPr>
          <w:p w14:paraId="0329F018" w14:textId="77777777" w:rsidR="005355C9" w:rsidRPr="00486D38" w:rsidRDefault="00930595" w:rsidP="005355C9">
            <w:pPr>
              <w:rPr>
                <w:sz w:val="22"/>
                <w:szCs w:val="22"/>
              </w:rPr>
            </w:pPr>
            <w:r>
              <w:rPr>
                <w:sz w:val="22"/>
                <w:szCs w:val="22"/>
              </w:rPr>
              <w:t xml:space="preserve">Оперативна програма „Развитие на човешките ресурси“ 2021-2027 </w:t>
            </w:r>
          </w:p>
        </w:tc>
      </w:tr>
      <w:tr w:rsidR="001632CA" w:rsidRPr="00EA2F1D" w14:paraId="25BE45DA" w14:textId="77777777" w:rsidTr="0061541E">
        <w:trPr>
          <w:gridAfter w:val="1"/>
          <w:wAfter w:w="71" w:type="pct"/>
          <w:trHeight w:val="2825"/>
          <w:jc w:val="center"/>
        </w:trPr>
        <w:tc>
          <w:tcPr>
            <w:tcW w:w="185" w:type="pct"/>
          </w:tcPr>
          <w:p w14:paraId="5E625075" w14:textId="71FD5785" w:rsidR="005355C9" w:rsidRPr="00486D38" w:rsidRDefault="005355C9" w:rsidP="00F22769">
            <w:pPr>
              <w:jc w:val="center"/>
              <w:rPr>
                <w:sz w:val="22"/>
                <w:szCs w:val="22"/>
              </w:rPr>
            </w:pPr>
            <w:r w:rsidRPr="00722445">
              <w:rPr>
                <w:sz w:val="22"/>
                <w:szCs w:val="22"/>
              </w:rPr>
              <w:lastRenderedPageBreak/>
              <w:t>1</w:t>
            </w:r>
            <w:r w:rsidR="009F3B82">
              <w:rPr>
                <w:sz w:val="22"/>
                <w:szCs w:val="22"/>
              </w:rPr>
              <w:t>1</w:t>
            </w:r>
            <w:r w:rsidR="00FE4C07">
              <w:rPr>
                <w:sz w:val="22"/>
                <w:szCs w:val="22"/>
              </w:rPr>
              <w:t>.</w:t>
            </w:r>
          </w:p>
        </w:tc>
        <w:tc>
          <w:tcPr>
            <w:tcW w:w="647" w:type="pct"/>
          </w:tcPr>
          <w:p w14:paraId="7CB57796" w14:textId="77777777" w:rsidR="005355C9" w:rsidRPr="00486D38" w:rsidRDefault="005355C9" w:rsidP="005355C9">
            <w:pPr>
              <w:rPr>
                <w:sz w:val="22"/>
                <w:szCs w:val="22"/>
              </w:rPr>
            </w:pPr>
            <w:r w:rsidRPr="00486D38">
              <w:rPr>
                <w:sz w:val="22"/>
                <w:szCs w:val="22"/>
              </w:rPr>
              <w:t xml:space="preserve">Разработване на </w:t>
            </w:r>
            <w:r>
              <w:rPr>
                <w:sz w:val="22"/>
                <w:szCs w:val="22"/>
              </w:rPr>
              <w:t>Методология за измерване н</w:t>
            </w:r>
            <w:r w:rsidRPr="00486D38">
              <w:rPr>
                <w:sz w:val="22"/>
                <w:szCs w:val="22"/>
              </w:rPr>
              <w:t xml:space="preserve">а обхвата на КТД </w:t>
            </w:r>
          </w:p>
        </w:tc>
        <w:tc>
          <w:tcPr>
            <w:tcW w:w="816" w:type="pct"/>
          </w:tcPr>
          <w:p w14:paraId="58B9A296" w14:textId="77777777" w:rsidR="005355C9" w:rsidRPr="00486D38" w:rsidRDefault="005355C9" w:rsidP="00EA472F">
            <w:pPr>
              <w:rPr>
                <w:sz w:val="22"/>
                <w:szCs w:val="22"/>
              </w:rPr>
            </w:pPr>
            <w:r w:rsidRPr="00486D38">
              <w:rPr>
                <w:sz w:val="22"/>
                <w:szCs w:val="22"/>
              </w:rPr>
              <w:t xml:space="preserve">Разработване на </w:t>
            </w:r>
            <w:r>
              <w:rPr>
                <w:sz w:val="22"/>
                <w:szCs w:val="22"/>
              </w:rPr>
              <w:t>методология</w:t>
            </w:r>
            <w:r w:rsidRPr="00486D38">
              <w:rPr>
                <w:sz w:val="22"/>
                <w:szCs w:val="22"/>
              </w:rPr>
              <w:t xml:space="preserve">, </w:t>
            </w:r>
            <w:r>
              <w:rPr>
                <w:sz w:val="22"/>
                <w:szCs w:val="22"/>
              </w:rPr>
              <w:t>с</w:t>
            </w:r>
            <w:r w:rsidRPr="00486D38">
              <w:rPr>
                <w:sz w:val="22"/>
                <w:szCs w:val="22"/>
              </w:rPr>
              <w:t xml:space="preserve"> ко</w:t>
            </w:r>
            <w:r>
              <w:rPr>
                <w:sz w:val="22"/>
                <w:szCs w:val="22"/>
              </w:rPr>
              <w:t>я</w:t>
            </w:r>
            <w:r w:rsidRPr="00486D38">
              <w:rPr>
                <w:sz w:val="22"/>
                <w:szCs w:val="22"/>
              </w:rPr>
              <w:t xml:space="preserve">то да се </w:t>
            </w:r>
            <w:r>
              <w:rPr>
                <w:sz w:val="22"/>
                <w:szCs w:val="22"/>
              </w:rPr>
              <w:t>определят ред</w:t>
            </w:r>
            <w:r w:rsidR="00EA472F">
              <w:rPr>
                <w:sz w:val="22"/>
                <w:szCs w:val="22"/>
              </w:rPr>
              <w:t>ът</w:t>
            </w:r>
            <w:r>
              <w:rPr>
                <w:sz w:val="22"/>
                <w:szCs w:val="22"/>
              </w:rPr>
              <w:t xml:space="preserve"> и начин</w:t>
            </w:r>
            <w:r w:rsidR="00930595">
              <w:rPr>
                <w:sz w:val="22"/>
                <w:szCs w:val="22"/>
              </w:rPr>
              <w:t>ът</w:t>
            </w:r>
            <w:r>
              <w:rPr>
                <w:sz w:val="22"/>
                <w:szCs w:val="22"/>
              </w:rPr>
              <w:t xml:space="preserve"> за събиране на </w:t>
            </w:r>
            <w:r w:rsidRPr="00722445">
              <w:rPr>
                <w:sz w:val="22"/>
                <w:szCs w:val="22"/>
              </w:rPr>
              <w:t xml:space="preserve">статистически данни и информация по браншове и отрасли, както и за определяне </w:t>
            </w:r>
            <w:r>
              <w:rPr>
                <w:sz w:val="22"/>
                <w:szCs w:val="22"/>
              </w:rPr>
              <w:t xml:space="preserve">на </w:t>
            </w:r>
            <w:r w:rsidRPr="002E3366">
              <w:rPr>
                <w:sz w:val="22"/>
                <w:szCs w:val="22"/>
              </w:rPr>
              <w:t>обхвата на КТД</w:t>
            </w:r>
            <w:r>
              <w:rPr>
                <w:sz w:val="22"/>
                <w:szCs w:val="22"/>
              </w:rPr>
              <w:t xml:space="preserve"> </w:t>
            </w:r>
          </w:p>
        </w:tc>
        <w:tc>
          <w:tcPr>
            <w:tcW w:w="481" w:type="pct"/>
          </w:tcPr>
          <w:p w14:paraId="649F4050" w14:textId="77777777" w:rsidR="005355C9" w:rsidRPr="00486D38" w:rsidRDefault="005355C9" w:rsidP="005355C9">
            <w:pPr>
              <w:rPr>
                <w:sz w:val="22"/>
                <w:szCs w:val="22"/>
              </w:rPr>
            </w:pPr>
            <w:r w:rsidRPr="00486D38">
              <w:rPr>
                <w:sz w:val="22"/>
                <w:szCs w:val="22"/>
              </w:rPr>
              <w:t>НИПА/ НСИ/ МТСП/ Социални партньори</w:t>
            </w:r>
          </w:p>
        </w:tc>
        <w:tc>
          <w:tcPr>
            <w:tcW w:w="396" w:type="pct"/>
          </w:tcPr>
          <w:p w14:paraId="4C732583" w14:textId="77777777" w:rsidR="005355C9" w:rsidRPr="00486D38" w:rsidRDefault="005355C9" w:rsidP="005355C9">
            <w:pPr>
              <w:rPr>
                <w:sz w:val="22"/>
                <w:szCs w:val="22"/>
              </w:rPr>
            </w:pPr>
            <w:r w:rsidRPr="002E3366">
              <w:rPr>
                <w:sz w:val="22"/>
                <w:szCs w:val="22"/>
              </w:rPr>
              <w:t>20</w:t>
            </w:r>
            <w:r>
              <w:rPr>
                <w:sz w:val="22"/>
                <w:szCs w:val="22"/>
              </w:rPr>
              <w:t>30</w:t>
            </w:r>
          </w:p>
        </w:tc>
        <w:tc>
          <w:tcPr>
            <w:tcW w:w="647" w:type="pct"/>
          </w:tcPr>
          <w:p w14:paraId="7872F45E" w14:textId="57008581" w:rsidR="005355C9" w:rsidRPr="00486D38" w:rsidRDefault="005355C9" w:rsidP="005355C9">
            <w:pPr>
              <w:rPr>
                <w:sz w:val="22"/>
                <w:szCs w:val="22"/>
              </w:rPr>
            </w:pPr>
            <w:r w:rsidRPr="00486D38">
              <w:rPr>
                <w:sz w:val="22"/>
                <w:szCs w:val="22"/>
              </w:rPr>
              <w:t>Осигуряване на информация за обхвата на колективното договаряне и възможност за анализи относно предизвикателст</w:t>
            </w:r>
            <w:r w:rsidR="00CF76B9">
              <w:rPr>
                <w:sz w:val="22"/>
                <w:szCs w:val="22"/>
              </w:rPr>
              <w:t>-</w:t>
            </w:r>
            <w:r w:rsidRPr="00486D38">
              <w:rPr>
                <w:sz w:val="22"/>
                <w:szCs w:val="22"/>
              </w:rPr>
              <w:t>в</w:t>
            </w:r>
            <w:r w:rsidR="00CF76B9">
              <w:rPr>
                <w:sz w:val="22"/>
                <w:szCs w:val="22"/>
              </w:rPr>
              <w:t>а</w:t>
            </w:r>
            <w:r w:rsidRPr="00486D38">
              <w:rPr>
                <w:sz w:val="22"/>
                <w:szCs w:val="22"/>
              </w:rPr>
              <w:t>та и добрите практики</w:t>
            </w:r>
            <w:r>
              <w:rPr>
                <w:sz w:val="22"/>
                <w:szCs w:val="22"/>
              </w:rPr>
              <w:t>.</w:t>
            </w:r>
          </w:p>
        </w:tc>
        <w:tc>
          <w:tcPr>
            <w:tcW w:w="524" w:type="pct"/>
          </w:tcPr>
          <w:p w14:paraId="6D15BBEC" w14:textId="77777777" w:rsidR="005355C9" w:rsidRPr="00486D38" w:rsidRDefault="005355C9" w:rsidP="005355C9">
            <w:pPr>
              <w:rPr>
                <w:sz w:val="22"/>
                <w:szCs w:val="22"/>
              </w:rPr>
            </w:pPr>
            <w:r w:rsidRPr="00486D38">
              <w:rPr>
                <w:sz w:val="22"/>
                <w:szCs w:val="22"/>
              </w:rPr>
              <w:t>Разработен</w:t>
            </w:r>
            <w:r>
              <w:rPr>
                <w:sz w:val="22"/>
                <w:szCs w:val="22"/>
              </w:rPr>
              <w:t>а</w:t>
            </w:r>
            <w:r w:rsidRPr="00486D38">
              <w:rPr>
                <w:sz w:val="22"/>
                <w:szCs w:val="22"/>
              </w:rPr>
              <w:t xml:space="preserve"> </w:t>
            </w:r>
            <w:r>
              <w:rPr>
                <w:sz w:val="22"/>
                <w:szCs w:val="22"/>
              </w:rPr>
              <w:t>методология</w:t>
            </w:r>
          </w:p>
        </w:tc>
        <w:tc>
          <w:tcPr>
            <w:tcW w:w="323" w:type="pct"/>
          </w:tcPr>
          <w:p w14:paraId="75D73DA6" w14:textId="77777777" w:rsidR="005355C9" w:rsidRPr="00486D38" w:rsidRDefault="005355C9" w:rsidP="005355C9">
            <w:pPr>
              <w:rPr>
                <w:sz w:val="22"/>
                <w:szCs w:val="22"/>
              </w:rPr>
            </w:pPr>
            <w:r w:rsidRPr="00486D38">
              <w:rPr>
                <w:sz w:val="22"/>
                <w:szCs w:val="22"/>
              </w:rPr>
              <w:t>0</w:t>
            </w:r>
          </w:p>
        </w:tc>
        <w:tc>
          <w:tcPr>
            <w:tcW w:w="369" w:type="pct"/>
          </w:tcPr>
          <w:p w14:paraId="5D64FF51" w14:textId="77777777" w:rsidR="005355C9" w:rsidRPr="00486D38" w:rsidRDefault="005355C9" w:rsidP="005355C9">
            <w:pPr>
              <w:rPr>
                <w:sz w:val="22"/>
                <w:szCs w:val="22"/>
              </w:rPr>
            </w:pPr>
            <w:r w:rsidRPr="00486D38">
              <w:rPr>
                <w:sz w:val="22"/>
                <w:szCs w:val="22"/>
              </w:rPr>
              <w:t>1</w:t>
            </w:r>
          </w:p>
        </w:tc>
        <w:tc>
          <w:tcPr>
            <w:tcW w:w="540" w:type="pct"/>
          </w:tcPr>
          <w:p w14:paraId="06A3A391" w14:textId="77777777" w:rsidR="005355C9" w:rsidRDefault="005355C9" w:rsidP="005355C9">
            <w:pPr>
              <w:rPr>
                <w:sz w:val="22"/>
                <w:szCs w:val="22"/>
              </w:rPr>
            </w:pPr>
            <w:r w:rsidRPr="00486D38">
              <w:rPr>
                <w:sz w:val="22"/>
                <w:szCs w:val="22"/>
              </w:rPr>
              <w:t>В рамките на бюджета на организациите</w:t>
            </w:r>
          </w:p>
          <w:p w14:paraId="4EC69CAF" w14:textId="77777777" w:rsidR="00EB0A83" w:rsidRDefault="00EB0A83" w:rsidP="005355C9">
            <w:pPr>
              <w:rPr>
                <w:sz w:val="22"/>
                <w:szCs w:val="22"/>
              </w:rPr>
            </w:pPr>
          </w:p>
          <w:p w14:paraId="3475C974" w14:textId="77777777" w:rsidR="00EB0A83" w:rsidRPr="00486D38" w:rsidRDefault="00EB0A83" w:rsidP="005355C9">
            <w:pPr>
              <w:rPr>
                <w:sz w:val="22"/>
                <w:szCs w:val="22"/>
              </w:rPr>
            </w:pPr>
          </w:p>
        </w:tc>
      </w:tr>
      <w:tr w:rsidR="001632CA" w:rsidRPr="00EA472F" w14:paraId="1F4A1486" w14:textId="77777777" w:rsidTr="0061541E">
        <w:trPr>
          <w:gridAfter w:val="1"/>
          <w:wAfter w:w="71" w:type="pct"/>
          <w:jc w:val="center"/>
        </w:trPr>
        <w:tc>
          <w:tcPr>
            <w:tcW w:w="185" w:type="pct"/>
          </w:tcPr>
          <w:p w14:paraId="0F8A8674" w14:textId="1F137DAF" w:rsidR="005355C9" w:rsidRPr="00486D38" w:rsidRDefault="005355C9" w:rsidP="00F22769">
            <w:pPr>
              <w:jc w:val="center"/>
              <w:rPr>
                <w:sz w:val="22"/>
                <w:szCs w:val="22"/>
              </w:rPr>
            </w:pPr>
            <w:r w:rsidRPr="00EA472F">
              <w:rPr>
                <w:sz w:val="22"/>
                <w:szCs w:val="22"/>
              </w:rPr>
              <w:t>1</w:t>
            </w:r>
            <w:r w:rsidR="009F3B82">
              <w:rPr>
                <w:sz w:val="22"/>
                <w:szCs w:val="22"/>
              </w:rPr>
              <w:t>2</w:t>
            </w:r>
            <w:r w:rsidR="00FE4C07">
              <w:rPr>
                <w:sz w:val="22"/>
                <w:szCs w:val="22"/>
              </w:rPr>
              <w:t>.</w:t>
            </w:r>
          </w:p>
        </w:tc>
        <w:tc>
          <w:tcPr>
            <w:tcW w:w="647" w:type="pct"/>
          </w:tcPr>
          <w:p w14:paraId="5054C3D7" w14:textId="77777777" w:rsidR="005355C9" w:rsidRPr="00EA472F" w:rsidRDefault="00AD49D5" w:rsidP="005355C9">
            <w:pPr>
              <w:rPr>
                <w:sz w:val="22"/>
                <w:szCs w:val="22"/>
              </w:rPr>
            </w:pPr>
            <w:r w:rsidRPr="00EA472F">
              <w:rPr>
                <w:sz w:val="22"/>
                <w:szCs w:val="22"/>
              </w:rPr>
              <w:t>Разработване на методология за прогнозна количествена оценка на ефекти</w:t>
            </w:r>
            <w:r w:rsidR="00930595">
              <w:rPr>
                <w:sz w:val="22"/>
                <w:szCs w:val="22"/>
              </w:rPr>
              <w:t>те</w:t>
            </w:r>
            <w:r w:rsidRPr="00EA472F">
              <w:rPr>
                <w:sz w:val="22"/>
                <w:szCs w:val="22"/>
              </w:rPr>
              <w:t xml:space="preserve"> от стачни действия за уреждане на </w:t>
            </w:r>
            <w:r w:rsidR="00EA472F">
              <w:rPr>
                <w:sz w:val="22"/>
                <w:szCs w:val="22"/>
              </w:rPr>
              <w:t>колективни спорове</w:t>
            </w:r>
          </w:p>
          <w:p w14:paraId="5EE9F5AE" w14:textId="77777777" w:rsidR="005355C9" w:rsidRPr="00EA472F" w:rsidRDefault="005355C9" w:rsidP="005355C9">
            <w:pPr>
              <w:rPr>
                <w:sz w:val="22"/>
                <w:szCs w:val="22"/>
              </w:rPr>
            </w:pPr>
          </w:p>
        </w:tc>
        <w:tc>
          <w:tcPr>
            <w:tcW w:w="816" w:type="pct"/>
          </w:tcPr>
          <w:p w14:paraId="5083079A" w14:textId="042E0C6B" w:rsidR="005355C9" w:rsidRPr="00EA472F" w:rsidRDefault="00AD49D5" w:rsidP="005355C9">
            <w:pPr>
              <w:rPr>
                <w:sz w:val="22"/>
                <w:szCs w:val="22"/>
              </w:rPr>
            </w:pPr>
            <w:r w:rsidRPr="00EA472F">
              <w:rPr>
                <w:sz w:val="22"/>
                <w:szCs w:val="22"/>
              </w:rPr>
              <w:t>Разработване на иконометричен модел, индикатори и алгоритми за изчисление, тестване и въвеждане в действие на механизъм за изчисляване на загубите от колективни трудови спорове, вкл. стачки</w:t>
            </w:r>
            <w:r w:rsidR="001447AC">
              <w:rPr>
                <w:sz w:val="22"/>
                <w:szCs w:val="22"/>
              </w:rPr>
              <w:t>,</w:t>
            </w:r>
            <w:r w:rsidRPr="00EA472F">
              <w:rPr>
                <w:sz w:val="22"/>
                <w:szCs w:val="22"/>
              </w:rPr>
              <w:t xml:space="preserve"> с оглед </w:t>
            </w:r>
            <w:r w:rsidR="00CF76B9">
              <w:rPr>
                <w:sz w:val="22"/>
                <w:szCs w:val="22"/>
              </w:rPr>
              <w:t xml:space="preserve">на </w:t>
            </w:r>
            <w:r w:rsidRPr="00EA472F">
              <w:rPr>
                <w:sz w:val="22"/>
                <w:szCs w:val="22"/>
              </w:rPr>
              <w:t>определяне на отрицателните въздействия на равнище предприятие, отрасъл/бранш и на национално равнище.</w:t>
            </w:r>
          </w:p>
        </w:tc>
        <w:tc>
          <w:tcPr>
            <w:tcW w:w="481" w:type="pct"/>
          </w:tcPr>
          <w:p w14:paraId="4DC76E4B" w14:textId="77777777" w:rsidR="005355C9" w:rsidRPr="00EA472F" w:rsidRDefault="005355C9" w:rsidP="005355C9">
            <w:pPr>
              <w:rPr>
                <w:sz w:val="22"/>
                <w:szCs w:val="22"/>
              </w:rPr>
            </w:pPr>
            <w:r w:rsidRPr="00EA472F">
              <w:rPr>
                <w:sz w:val="22"/>
                <w:szCs w:val="22"/>
              </w:rPr>
              <w:t>НИПА/ НСИ/ социални партньори</w:t>
            </w:r>
          </w:p>
        </w:tc>
        <w:tc>
          <w:tcPr>
            <w:tcW w:w="396" w:type="pct"/>
          </w:tcPr>
          <w:p w14:paraId="76DF1ACB" w14:textId="77777777" w:rsidR="005355C9" w:rsidRPr="00EA472F" w:rsidRDefault="005355C9" w:rsidP="005355C9">
            <w:pPr>
              <w:rPr>
                <w:sz w:val="22"/>
                <w:szCs w:val="22"/>
              </w:rPr>
            </w:pPr>
            <w:r w:rsidRPr="00EA472F">
              <w:rPr>
                <w:sz w:val="22"/>
                <w:szCs w:val="22"/>
              </w:rPr>
              <w:t>2028</w:t>
            </w:r>
          </w:p>
        </w:tc>
        <w:tc>
          <w:tcPr>
            <w:tcW w:w="647" w:type="pct"/>
          </w:tcPr>
          <w:p w14:paraId="6813DEFF" w14:textId="77777777" w:rsidR="005355C9" w:rsidRPr="00EA472F" w:rsidRDefault="00AD49D5" w:rsidP="005355C9">
            <w:pPr>
              <w:rPr>
                <w:sz w:val="22"/>
                <w:szCs w:val="22"/>
              </w:rPr>
            </w:pPr>
            <w:r w:rsidRPr="00EA472F">
              <w:rPr>
                <w:sz w:val="22"/>
                <w:szCs w:val="22"/>
              </w:rPr>
              <w:t>Насърчаване на колективното договаряне, чрез превенция и оценка на ефекти</w:t>
            </w:r>
            <w:r w:rsidR="00930595">
              <w:rPr>
                <w:sz w:val="22"/>
                <w:szCs w:val="22"/>
              </w:rPr>
              <w:t>те</w:t>
            </w:r>
            <w:r w:rsidRPr="00EA472F">
              <w:rPr>
                <w:sz w:val="22"/>
                <w:szCs w:val="22"/>
              </w:rPr>
              <w:t xml:space="preserve"> от колективни тр</w:t>
            </w:r>
            <w:r w:rsidR="00EA472F">
              <w:rPr>
                <w:sz w:val="22"/>
                <w:szCs w:val="22"/>
              </w:rPr>
              <w:t>удови спорове и стачни действия</w:t>
            </w:r>
          </w:p>
        </w:tc>
        <w:tc>
          <w:tcPr>
            <w:tcW w:w="524" w:type="pct"/>
          </w:tcPr>
          <w:p w14:paraId="5D5EC336" w14:textId="77777777" w:rsidR="00EA472F" w:rsidRDefault="00EA472F" w:rsidP="005355C9">
            <w:pPr>
              <w:rPr>
                <w:sz w:val="22"/>
                <w:szCs w:val="22"/>
              </w:rPr>
            </w:pPr>
            <w:r>
              <w:rPr>
                <w:sz w:val="22"/>
                <w:szCs w:val="22"/>
              </w:rPr>
              <w:t>Разработена методология</w:t>
            </w:r>
          </w:p>
          <w:p w14:paraId="1773E202" w14:textId="77777777" w:rsidR="00EA472F" w:rsidRDefault="00EA472F" w:rsidP="005355C9">
            <w:pPr>
              <w:rPr>
                <w:sz w:val="22"/>
                <w:szCs w:val="22"/>
              </w:rPr>
            </w:pPr>
          </w:p>
          <w:p w14:paraId="53B23613" w14:textId="77777777" w:rsidR="005355C9" w:rsidRPr="00EA472F" w:rsidRDefault="00EA472F" w:rsidP="005355C9">
            <w:pPr>
              <w:rPr>
                <w:sz w:val="22"/>
                <w:szCs w:val="22"/>
              </w:rPr>
            </w:pPr>
            <w:r>
              <w:rPr>
                <w:sz w:val="22"/>
                <w:szCs w:val="22"/>
              </w:rPr>
              <w:t>Създаден онлайн калкулатор</w:t>
            </w:r>
          </w:p>
        </w:tc>
        <w:tc>
          <w:tcPr>
            <w:tcW w:w="323" w:type="pct"/>
          </w:tcPr>
          <w:p w14:paraId="76D15E73" w14:textId="77777777" w:rsidR="005355C9" w:rsidRDefault="005355C9" w:rsidP="005355C9">
            <w:pPr>
              <w:rPr>
                <w:sz w:val="22"/>
                <w:szCs w:val="22"/>
              </w:rPr>
            </w:pPr>
            <w:r w:rsidRPr="00EA472F">
              <w:rPr>
                <w:sz w:val="22"/>
                <w:szCs w:val="22"/>
              </w:rPr>
              <w:t>0</w:t>
            </w:r>
          </w:p>
          <w:p w14:paraId="59216307" w14:textId="77777777" w:rsidR="00EA472F" w:rsidRDefault="00EA472F" w:rsidP="005355C9">
            <w:pPr>
              <w:rPr>
                <w:sz w:val="22"/>
                <w:szCs w:val="22"/>
              </w:rPr>
            </w:pPr>
          </w:p>
          <w:p w14:paraId="70E0EA1E" w14:textId="77777777" w:rsidR="00EA472F" w:rsidRDefault="00EA472F" w:rsidP="005355C9">
            <w:pPr>
              <w:rPr>
                <w:sz w:val="22"/>
                <w:szCs w:val="22"/>
              </w:rPr>
            </w:pPr>
          </w:p>
          <w:p w14:paraId="7F827449" w14:textId="77777777" w:rsidR="00EA472F" w:rsidRPr="00EA472F" w:rsidRDefault="00EA472F" w:rsidP="005355C9">
            <w:pPr>
              <w:rPr>
                <w:sz w:val="22"/>
                <w:szCs w:val="22"/>
              </w:rPr>
            </w:pPr>
            <w:r>
              <w:rPr>
                <w:sz w:val="22"/>
                <w:szCs w:val="22"/>
              </w:rPr>
              <w:t>0</w:t>
            </w:r>
          </w:p>
        </w:tc>
        <w:tc>
          <w:tcPr>
            <w:tcW w:w="369" w:type="pct"/>
          </w:tcPr>
          <w:p w14:paraId="4AB40A3B" w14:textId="77777777" w:rsidR="005355C9" w:rsidRDefault="005355C9" w:rsidP="005355C9">
            <w:pPr>
              <w:rPr>
                <w:sz w:val="22"/>
                <w:szCs w:val="22"/>
              </w:rPr>
            </w:pPr>
            <w:r w:rsidRPr="00EA472F">
              <w:rPr>
                <w:sz w:val="22"/>
                <w:szCs w:val="22"/>
              </w:rPr>
              <w:t>1</w:t>
            </w:r>
          </w:p>
          <w:p w14:paraId="77F9610E" w14:textId="77777777" w:rsidR="00EA472F" w:rsidRDefault="00EA472F" w:rsidP="005355C9">
            <w:pPr>
              <w:rPr>
                <w:sz w:val="22"/>
                <w:szCs w:val="22"/>
              </w:rPr>
            </w:pPr>
          </w:p>
          <w:p w14:paraId="350D5E4E" w14:textId="77777777" w:rsidR="00EA472F" w:rsidRDefault="00EA472F" w:rsidP="005355C9">
            <w:pPr>
              <w:rPr>
                <w:sz w:val="22"/>
                <w:szCs w:val="22"/>
              </w:rPr>
            </w:pPr>
          </w:p>
          <w:p w14:paraId="5CE7B8DD" w14:textId="77777777" w:rsidR="00EA472F" w:rsidRPr="00EA472F" w:rsidRDefault="00EA472F" w:rsidP="005355C9">
            <w:pPr>
              <w:rPr>
                <w:sz w:val="22"/>
                <w:szCs w:val="22"/>
              </w:rPr>
            </w:pPr>
            <w:r>
              <w:rPr>
                <w:sz w:val="22"/>
                <w:szCs w:val="22"/>
              </w:rPr>
              <w:t>1</w:t>
            </w:r>
          </w:p>
        </w:tc>
        <w:tc>
          <w:tcPr>
            <w:tcW w:w="540" w:type="pct"/>
          </w:tcPr>
          <w:p w14:paraId="40ABF105" w14:textId="77777777" w:rsidR="005355C9" w:rsidRPr="00EA472F" w:rsidRDefault="005355C9" w:rsidP="00930595">
            <w:pPr>
              <w:rPr>
                <w:sz w:val="22"/>
                <w:szCs w:val="22"/>
              </w:rPr>
            </w:pPr>
            <w:r w:rsidRPr="00EA472F">
              <w:rPr>
                <w:sz w:val="22"/>
                <w:szCs w:val="22"/>
              </w:rPr>
              <w:t>В рамките на бюджета на</w:t>
            </w:r>
            <w:r w:rsidR="00B44A85" w:rsidRPr="00EA472F">
              <w:rPr>
                <w:sz w:val="22"/>
                <w:szCs w:val="22"/>
              </w:rPr>
              <w:t xml:space="preserve"> НИПА</w:t>
            </w:r>
            <w:r w:rsidR="00722445" w:rsidRPr="00EA472F">
              <w:rPr>
                <w:sz w:val="22"/>
                <w:szCs w:val="22"/>
              </w:rPr>
              <w:t xml:space="preserve"> и финансиране от</w:t>
            </w:r>
            <w:r w:rsidR="00B44A85" w:rsidRPr="00EA472F">
              <w:rPr>
                <w:sz w:val="22"/>
                <w:szCs w:val="22"/>
              </w:rPr>
              <w:t xml:space="preserve"> </w:t>
            </w:r>
            <w:r w:rsidR="00930595">
              <w:rPr>
                <w:sz w:val="22"/>
                <w:szCs w:val="22"/>
              </w:rPr>
              <w:t xml:space="preserve"> </w:t>
            </w:r>
            <w:r w:rsidR="00930595" w:rsidRPr="00930595">
              <w:rPr>
                <w:sz w:val="22"/>
                <w:szCs w:val="22"/>
              </w:rPr>
              <w:t>Оперативна програма „Развитие на човешките ресурси“ 2021-2027</w:t>
            </w:r>
          </w:p>
        </w:tc>
      </w:tr>
      <w:tr w:rsidR="001632CA" w:rsidRPr="00EA2F1D" w14:paraId="798968F5" w14:textId="77777777" w:rsidTr="0061541E">
        <w:trPr>
          <w:gridAfter w:val="1"/>
          <w:wAfter w:w="71" w:type="pct"/>
          <w:jc w:val="center"/>
        </w:trPr>
        <w:tc>
          <w:tcPr>
            <w:tcW w:w="185" w:type="pct"/>
            <w:tcBorders>
              <w:top w:val="single" w:sz="4" w:space="0" w:color="auto"/>
              <w:left w:val="single" w:sz="4" w:space="0" w:color="auto"/>
              <w:bottom w:val="single" w:sz="4" w:space="0" w:color="auto"/>
              <w:right w:val="single" w:sz="4" w:space="0" w:color="auto"/>
            </w:tcBorders>
          </w:tcPr>
          <w:p w14:paraId="78022BFF" w14:textId="49C9597F" w:rsidR="005355C9" w:rsidRPr="00486D38" w:rsidRDefault="005355C9" w:rsidP="00F22769">
            <w:pPr>
              <w:jc w:val="center"/>
              <w:rPr>
                <w:sz w:val="22"/>
                <w:szCs w:val="22"/>
              </w:rPr>
            </w:pPr>
            <w:r>
              <w:rPr>
                <w:sz w:val="22"/>
                <w:szCs w:val="22"/>
              </w:rPr>
              <w:t>1</w:t>
            </w:r>
            <w:r w:rsidR="009F3B82">
              <w:rPr>
                <w:sz w:val="22"/>
                <w:szCs w:val="22"/>
              </w:rPr>
              <w:t>3</w:t>
            </w:r>
            <w:r w:rsidR="00FE4C07">
              <w:rPr>
                <w:sz w:val="22"/>
                <w:szCs w:val="22"/>
              </w:rPr>
              <w:t>.</w:t>
            </w:r>
          </w:p>
        </w:tc>
        <w:tc>
          <w:tcPr>
            <w:tcW w:w="647" w:type="pct"/>
            <w:tcBorders>
              <w:top w:val="single" w:sz="4" w:space="0" w:color="auto"/>
              <w:left w:val="single" w:sz="4" w:space="0" w:color="auto"/>
              <w:bottom w:val="single" w:sz="4" w:space="0" w:color="auto"/>
              <w:right w:val="single" w:sz="4" w:space="0" w:color="auto"/>
            </w:tcBorders>
          </w:tcPr>
          <w:p w14:paraId="065ED53E" w14:textId="77777777" w:rsidR="005355C9" w:rsidRPr="00486D38" w:rsidRDefault="005355C9" w:rsidP="005355C9">
            <w:pPr>
              <w:rPr>
                <w:sz w:val="22"/>
                <w:szCs w:val="22"/>
              </w:rPr>
            </w:pPr>
            <w:r w:rsidRPr="00486D38">
              <w:rPr>
                <w:sz w:val="22"/>
                <w:szCs w:val="22"/>
              </w:rPr>
              <w:t>Публикуване на годишни доклади за колективното договаряне и за колективните трудови спорове</w:t>
            </w:r>
          </w:p>
        </w:tc>
        <w:tc>
          <w:tcPr>
            <w:tcW w:w="816" w:type="pct"/>
            <w:tcBorders>
              <w:top w:val="single" w:sz="4" w:space="0" w:color="auto"/>
              <w:left w:val="single" w:sz="4" w:space="0" w:color="auto"/>
              <w:bottom w:val="single" w:sz="4" w:space="0" w:color="auto"/>
              <w:right w:val="single" w:sz="4" w:space="0" w:color="auto"/>
            </w:tcBorders>
          </w:tcPr>
          <w:p w14:paraId="7F276BE2" w14:textId="77777777" w:rsidR="005355C9" w:rsidRPr="00486D38" w:rsidRDefault="005355C9" w:rsidP="005355C9">
            <w:pPr>
              <w:rPr>
                <w:sz w:val="22"/>
                <w:szCs w:val="22"/>
              </w:rPr>
            </w:pPr>
            <w:r w:rsidRPr="00486D38">
              <w:rPr>
                <w:sz w:val="22"/>
                <w:szCs w:val="22"/>
              </w:rPr>
              <w:t xml:space="preserve">Изготвяне и публикуване на интернет страницата на НИПА на годишни доклади, в които да се проследяват тенденциите и предизвикателствата </w:t>
            </w:r>
            <w:r w:rsidRPr="00486D38">
              <w:rPr>
                <w:sz w:val="22"/>
                <w:szCs w:val="22"/>
              </w:rPr>
              <w:lastRenderedPageBreak/>
              <w:t>във връзка с колективното договаряне и колективните трудови спорове</w:t>
            </w:r>
          </w:p>
        </w:tc>
        <w:tc>
          <w:tcPr>
            <w:tcW w:w="481" w:type="pct"/>
            <w:tcBorders>
              <w:top w:val="single" w:sz="4" w:space="0" w:color="auto"/>
              <w:left w:val="single" w:sz="4" w:space="0" w:color="auto"/>
              <w:bottom w:val="single" w:sz="4" w:space="0" w:color="auto"/>
              <w:right w:val="single" w:sz="4" w:space="0" w:color="auto"/>
            </w:tcBorders>
          </w:tcPr>
          <w:p w14:paraId="2662BE6E" w14:textId="77777777" w:rsidR="005355C9" w:rsidRPr="00486D38" w:rsidRDefault="005355C9" w:rsidP="005355C9">
            <w:pPr>
              <w:rPr>
                <w:sz w:val="22"/>
                <w:szCs w:val="22"/>
              </w:rPr>
            </w:pPr>
            <w:r w:rsidRPr="00486D38">
              <w:rPr>
                <w:sz w:val="22"/>
                <w:szCs w:val="22"/>
              </w:rPr>
              <w:lastRenderedPageBreak/>
              <w:t>НИПА</w:t>
            </w:r>
          </w:p>
        </w:tc>
        <w:tc>
          <w:tcPr>
            <w:tcW w:w="396" w:type="pct"/>
            <w:tcBorders>
              <w:top w:val="single" w:sz="4" w:space="0" w:color="auto"/>
              <w:left w:val="single" w:sz="4" w:space="0" w:color="auto"/>
              <w:bottom w:val="single" w:sz="4" w:space="0" w:color="auto"/>
              <w:right w:val="single" w:sz="4" w:space="0" w:color="auto"/>
            </w:tcBorders>
          </w:tcPr>
          <w:p w14:paraId="35304938" w14:textId="77777777" w:rsidR="005355C9" w:rsidRPr="00486D38" w:rsidRDefault="005355C9" w:rsidP="005355C9">
            <w:pPr>
              <w:rPr>
                <w:sz w:val="22"/>
                <w:szCs w:val="22"/>
              </w:rPr>
            </w:pPr>
            <w:r w:rsidRPr="00EA2F1D">
              <w:rPr>
                <w:sz w:val="22"/>
                <w:szCs w:val="22"/>
              </w:rPr>
              <w:t xml:space="preserve">2026 - </w:t>
            </w:r>
            <w:r w:rsidRPr="008B17A4">
              <w:rPr>
                <w:sz w:val="22"/>
                <w:szCs w:val="22"/>
              </w:rPr>
              <w:t>2030</w:t>
            </w:r>
          </w:p>
        </w:tc>
        <w:tc>
          <w:tcPr>
            <w:tcW w:w="647" w:type="pct"/>
            <w:tcBorders>
              <w:top w:val="single" w:sz="4" w:space="0" w:color="auto"/>
              <w:left w:val="single" w:sz="4" w:space="0" w:color="auto"/>
              <w:bottom w:val="single" w:sz="4" w:space="0" w:color="auto"/>
              <w:right w:val="single" w:sz="4" w:space="0" w:color="auto"/>
            </w:tcBorders>
          </w:tcPr>
          <w:p w14:paraId="1875B938" w14:textId="77777777" w:rsidR="005355C9" w:rsidRPr="00486D38" w:rsidRDefault="005355C9" w:rsidP="005355C9">
            <w:pPr>
              <w:rPr>
                <w:sz w:val="22"/>
                <w:szCs w:val="22"/>
              </w:rPr>
            </w:pPr>
            <w:r w:rsidRPr="00486D38">
              <w:rPr>
                <w:sz w:val="22"/>
                <w:szCs w:val="22"/>
              </w:rPr>
              <w:t>Повишаване на информираността относно колективното договаряне и колективните трудови спорове</w:t>
            </w:r>
          </w:p>
        </w:tc>
        <w:tc>
          <w:tcPr>
            <w:tcW w:w="524" w:type="pct"/>
            <w:tcBorders>
              <w:top w:val="single" w:sz="4" w:space="0" w:color="auto"/>
              <w:left w:val="single" w:sz="4" w:space="0" w:color="auto"/>
              <w:bottom w:val="single" w:sz="4" w:space="0" w:color="auto"/>
              <w:right w:val="single" w:sz="4" w:space="0" w:color="auto"/>
            </w:tcBorders>
          </w:tcPr>
          <w:p w14:paraId="774F64F1" w14:textId="77777777" w:rsidR="005355C9" w:rsidRPr="00486D38" w:rsidRDefault="005355C9" w:rsidP="005355C9">
            <w:pPr>
              <w:rPr>
                <w:sz w:val="22"/>
                <w:szCs w:val="22"/>
              </w:rPr>
            </w:pPr>
            <w:r w:rsidRPr="00486D38">
              <w:rPr>
                <w:sz w:val="22"/>
                <w:szCs w:val="22"/>
              </w:rPr>
              <w:t>Брой публикувани доклади</w:t>
            </w:r>
          </w:p>
        </w:tc>
        <w:tc>
          <w:tcPr>
            <w:tcW w:w="323" w:type="pct"/>
            <w:tcBorders>
              <w:top w:val="single" w:sz="4" w:space="0" w:color="auto"/>
              <w:left w:val="single" w:sz="4" w:space="0" w:color="auto"/>
              <w:bottom w:val="single" w:sz="4" w:space="0" w:color="auto"/>
              <w:right w:val="single" w:sz="4" w:space="0" w:color="auto"/>
            </w:tcBorders>
          </w:tcPr>
          <w:p w14:paraId="3BE07C52" w14:textId="77777777" w:rsidR="005355C9" w:rsidRPr="00486D38" w:rsidRDefault="005355C9" w:rsidP="005355C9">
            <w:pPr>
              <w:rPr>
                <w:sz w:val="22"/>
                <w:szCs w:val="22"/>
              </w:rPr>
            </w:pPr>
            <w:r w:rsidRPr="00486D38">
              <w:rPr>
                <w:sz w:val="22"/>
                <w:szCs w:val="22"/>
              </w:rPr>
              <w:t>0</w:t>
            </w:r>
          </w:p>
        </w:tc>
        <w:tc>
          <w:tcPr>
            <w:tcW w:w="369" w:type="pct"/>
            <w:tcBorders>
              <w:top w:val="single" w:sz="4" w:space="0" w:color="auto"/>
              <w:left w:val="single" w:sz="4" w:space="0" w:color="auto"/>
              <w:bottom w:val="single" w:sz="4" w:space="0" w:color="auto"/>
              <w:right w:val="single" w:sz="4" w:space="0" w:color="auto"/>
            </w:tcBorders>
          </w:tcPr>
          <w:p w14:paraId="2E0E188D" w14:textId="77777777" w:rsidR="005355C9" w:rsidRPr="00486D38" w:rsidRDefault="005355C9" w:rsidP="005355C9">
            <w:pPr>
              <w:rPr>
                <w:sz w:val="22"/>
                <w:szCs w:val="22"/>
              </w:rPr>
            </w:pPr>
            <w:r w:rsidRPr="00486D38">
              <w:rPr>
                <w:sz w:val="22"/>
                <w:szCs w:val="22"/>
              </w:rPr>
              <w:t>8</w:t>
            </w:r>
          </w:p>
        </w:tc>
        <w:tc>
          <w:tcPr>
            <w:tcW w:w="540" w:type="pct"/>
            <w:tcBorders>
              <w:top w:val="single" w:sz="4" w:space="0" w:color="auto"/>
              <w:left w:val="single" w:sz="4" w:space="0" w:color="auto"/>
              <w:bottom w:val="single" w:sz="4" w:space="0" w:color="auto"/>
              <w:right w:val="single" w:sz="4" w:space="0" w:color="auto"/>
            </w:tcBorders>
          </w:tcPr>
          <w:p w14:paraId="6DD0ACFD" w14:textId="77777777" w:rsidR="005355C9" w:rsidRPr="00486D38" w:rsidRDefault="005355C9" w:rsidP="005355C9">
            <w:pPr>
              <w:rPr>
                <w:sz w:val="22"/>
                <w:szCs w:val="22"/>
              </w:rPr>
            </w:pPr>
            <w:r w:rsidRPr="005C714E">
              <w:rPr>
                <w:sz w:val="22"/>
                <w:szCs w:val="22"/>
              </w:rPr>
              <w:t>В рамките на утвърдения бюджет</w:t>
            </w:r>
            <w:r w:rsidRPr="00486D38">
              <w:rPr>
                <w:sz w:val="22"/>
                <w:szCs w:val="22"/>
              </w:rPr>
              <w:t xml:space="preserve"> на НИПА</w:t>
            </w:r>
          </w:p>
        </w:tc>
      </w:tr>
      <w:tr w:rsidR="001632CA" w:rsidRPr="00EA2F1D" w14:paraId="4B0B3F4F" w14:textId="77777777" w:rsidTr="003F547E">
        <w:trPr>
          <w:gridAfter w:val="1"/>
          <w:wAfter w:w="71" w:type="pct"/>
          <w:trHeight w:val="4247"/>
          <w:jc w:val="center"/>
        </w:trPr>
        <w:tc>
          <w:tcPr>
            <w:tcW w:w="185" w:type="pct"/>
          </w:tcPr>
          <w:p w14:paraId="278C735F" w14:textId="4C7B3C72" w:rsidR="005355C9" w:rsidRPr="006447AE" w:rsidRDefault="005355C9" w:rsidP="00F22769">
            <w:pPr>
              <w:jc w:val="center"/>
              <w:rPr>
                <w:sz w:val="22"/>
                <w:szCs w:val="22"/>
              </w:rPr>
            </w:pPr>
            <w:r>
              <w:rPr>
                <w:sz w:val="22"/>
                <w:szCs w:val="22"/>
              </w:rPr>
              <w:t>1</w:t>
            </w:r>
            <w:r w:rsidR="009F3B82">
              <w:rPr>
                <w:sz w:val="22"/>
                <w:szCs w:val="22"/>
              </w:rPr>
              <w:t>4</w:t>
            </w:r>
            <w:r w:rsidR="00FE4C07">
              <w:rPr>
                <w:sz w:val="22"/>
                <w:szCs w:val="22"/>
              </w:rPr>
              <w:t>.</w:t>
            </w:r>
          </w:p>
        </w:tc>
        <w:tc>
          <w:tcPr>
            <w:tcW w:w="647" w:type="pct"/>
          </w:tcPr>
          <w:p w14:paraId="5232BA6F" w14:textId="77777777" w:rsidR="005355C9" w:rsidRPr="006447AE" w:rsidRDefault="005355C9" w:rsidP="005355C9">
            <w:pPr>
              <w:rPr>
                <w:sz w:val="22"/>
                <w:szCs w:val="22"/>
              </w:rPr>
            </w:pPr>
            <w:r w:rsidRPr="006447AE">
              <w:rPr>
                <w:sz w:val="22"/>
                <w:szCs w:val="22"/>
              </w:rPr>
              <w:t xml:space="preserve">Изграждане на звена към организациите на работодателите и на работниците и служителите за насърчаване на колективното договаряне </w:t>
            </w:r>
          </w:p>
        </w:tc>
        <w:tc>
          <w:tcPr>
            <w:tcW w:w="816" w:type="pct"/>
          </w:tcPr>
          <w:p w14:paraId="7F2713A1" w14:textId="77777777" w:rsidR="005355C9" w:rsidRPr="006447AE" w:rsidRDefault="005355C9" w:rsidP="001447AC">
            <w:pPr>
              <w:rPr>
                <w:sz w:val="22"/>
                <w:szCs w:val="22"/>
              </w:rPr>
            </w:pPr>
            <w:r w:rsidRPr="006447AE">
              <w:rPr>
                <w:sz w:val="22"/>
                <w:szCs w:val="22"/>
              </w:rPr>
              <w:t xml:space="preserve">Изграждане на звена в признатите за представителни на национално </w:t>
            </w:r>
            <w:r w:rsidR="001447AC">
              <w:rPr>
                <w:sz w:val="22"/>
                <w:szCs w:val="22"/>
              </w:rPr>
              <w:t>равнище</w:t>
            </w:r>
            <w:r w:rsidR="001447AC" w:rsidRPr="006447AE">
              <w:rPr>
                <w:sz w:val="22"/>
                <w:szCs w:val="22"/>
              </w:rPr>
              <w:t xml:space="preserve"> </w:t>
            </w:r>
            <w:r w:rsidRPr="006447AE">
              <w:rPr>
                <w:sz w:val="22"/>
                <w:szCs w:val="22"/>
              </w:rPr>
              <w:t xml:space="preserve">организации на социалните партньори, които да оказват подкрепа и методическо ръководство при преговори за сключване на колективни договори Публикуване на интернет страниците на организациите </w:t>
            </w:r>
            <w:r w:rsidR="001F5DE0">
              <w:rPr>
                <w:sz w:val="22"/>
                <w:szCs w:val="22"/>
              </w:rPr>
              <w:t xml:space="preserve">на </w:t>
            </w:r>
            <w:r w:rsidRPr="006447AE">
              <w:rPr>
                <w:sz w:val="22"/>
                <w:szCs w:val="22"/>
              </w:rPr>
              <w:t xml:space="preserve">данни за контакт със звената </w:t>
            </w:r>
          </w:p>
        </w:tc>
        <w:tc>
          <w:tcPr>
            <w:tcW w:w="481" w:type="pct"/>
          </w:tcPr>
          <w:p w14:paraId="1929097E" w14:textId="77777777" w:rsidR="005355C9" w:rsidRPr="006447AE" w:rsidRDefault="005355C9" w:rsidP="005355C9">
            <w:pPr>
              <w:rPr>
                <w:sz w:val="22"/>
                <w:szCs w:val="22"/>
              </w:rPr>
            </w:pPr>
            <w:r w:rsidRPr="006447AE">
              <w:rPr>
                <w:sz w:val="22"/>
                <w:szCs w:val="22"/>
              </w:rPr>
              <w:t>Социални партньори</w:t>
            </w:r>
          </w:p>
        </w:tc>
        <w:tc>
          <w:tcPr>
            <w:tcW w:w="396" w:type="pct"/>
          </w:tcPr>
          <w:p w14:paraId="565DDFF1" w14:textId="77777777" w:rsidR="005355C9" w:rsidRPr="006447AE" w:rsidRDefault="005355C9" w:rsidP="00EA472F">
            <w:pPr>
              <w:rPr>
                <w:sz w:val="22"/>
                <w:szCs w:val="22"/>
              </w:rPr>
            </w:pPr>
            <w:r w:rsidRPr="006447AE">
              <w:rPr>
                <w:sz w:val="22"/>
                <w:szCs w:val="22"/>
              </w:rPr>
              <w:t>202</w:t>
            </w:r>
            <w:r w:rsidR="00EA472F">
              <w:rPr>
                <w:sz w:val="22"/>
                <w:szCs w:val="22"/>
              </w:rPr>
              <w:t>6</w:t>
            </w:r>
          </w:p>
        </w:tc>
        <w:tc>
          <w:tcPr>
            <w:tcW w:w="647" w:type="pct"/>
          </w:tcPr>
          <w:p w14:paraId="6A651117" w14:textId="77777777" w:rsidR="005355C9" w:rsidRPr="006447AE" w:rsidRDefault="005355C9" w:rsidP="005355C9">
            <w:pPr>
              <w:rPr>
                <w:sz w:val="22"/>
                <w:szCs w:val="22"/>
              </w:rPr>
            </w:pPr>
            <w:r w:rsidRPr="006447AE">
              <w:rPr>
                <w:sz w:val="22"/>
                <w:szCs w:val="22"/>
              </w:rPr>
              <w:t xml:space="preserve">Осигуряване на подкрепа при водене на преговори за сключване на колективни трудови договори. Намаляване на колективните трудови спорове. </w:t>
            </w:r>
          </w:p>
        </w:tc>
        <w:tc>
          <w:tcPr>
            <w:tcW w:w="524" w:type="pct"/>
          </w:tcPr>
          <w:p w14:paraId="424D98D0" w14:textId="77777777" w:rsidR="005355C9" w:rsidRPr="006447AE" w:rsidRDefault="005355C9" w:rsidP="005355C9">
            <w:pPr>
              <w:rPr>
                <w:sz w:val="22"/>
                <w:szCs w:val="22"/>
              </w:rPr>
            </w:pPr>
            <w:r w:rsidRPr="006447AE">
              <w:rPr>
                <w:sz w:val="22"/>
                <w:szCs w:val="22"/>
              </w:rPr>
              <w:t>Брой звена в организациите на работодатели и на работниците и служителите</w:t>
            </w:r>
          </w:p>
        </w:tc>
        <w:tc>
          <w:tcPr>
            <w:tcW w:w="323" w:type="pct"/>
          </w:tcPr>
          <w:p w14:paraId="35EC4E43" w14:textId="77777777" w:rsidR="005355C9" w:rsidRPr="006447AE" w:rsidRDefault="005355C9" w:rsidP="005355C9">
            <w:pPr>
              <w:rPr>
                <w:sz w:val="22"/>
                <w:szCs w:val="22"/>
              </w:rPr>
            </w:pPr>
            <w:r w:rsidRPr="006447AE">
              <w:rPr>
                <w:sz w:val="22"/>
                <w:szCs w:val="22"/>
              </w:rPr>
              <w:t>0</w:t>
            </w:r>
          </w:p>
        </w:tc>
        <w:tc>
          <w:tcPr>
            <w:tcW w:w="369" w:type="pct"/>
          </w:tcPr>
          <w:p w14:paraId="45832CFE" w14:textId="77777777" w:rsidR="005355C9" w:rsidRPr="006447AE" w:rsidRDefault="005355C9" w:rsidP="005355C9">
            <w:pPr>
              <w:rPr>
                <w:sz w:val="22"/>
                <w:szCs w:val="22"/>
              </w:rPr>
            </w:pPr>
            <w:r w:rsidRPr="006447AE">
              <w:rPr>
                <w:sz w:val="22"/>
                <w:szCs w:val="22"/>
              </w:rPr>
              <w:t>6</w:t>
            </w:r>
          </w:p>
        </w:tc>
        <w:tc>
          <w:tcPr>
            <w:tcW w:w="540" w:type="pct"/>
          </w:tcPr>
          <w:p w14:paraId="5461DF25" w14:textId="77777777" w:rsidR="005355C9" w:rsidRDefault="005355C9" w:rsidP="005355C9">
            <w:pPr>
              <w:rPr>
                <w:sz w:val="22"/>
                <w:szCs w:val="22"/>
              </w:rPr>
            </w:pPr>
            <w:r w:rsidRPr="006447AE">
              <w:rPr>
                <w:sz w:val="22"/>
                <w:szCs w:val="22"/>
              </w:rPr>
              <w:t>В рамките на бюджета на организациите</w:t>
            </w:r>
          </w:p>
          <w:p w14:paraId="49BA643C" w14:textId="77777777" w:rsidR="00EB0A83" w:rsidRDefault="00EB0A83" w:rsidP="005355C9">
            <w:pPr>
              <w:rPr>
                <w:sz w:val="22"/>
                <w:szCs w:val="22"/>
              </w:rPr>
            </w:pPr>
          </w:p>
          <w:p w14:paraId="0EA42AD1" w14:textId="77777777" w:rsidR="00EB0A83" w:rsidRPr="00486D38" w:rsidRDefault="00EB0A83" w:rsidP="005355C9">
            <w:pPr>
              <w:rPr>
                <w:sz w:val="22"/>
                <w:szCs w:val="22"/>
              </w:rPr>
            </w:pPr>
          </w:p>
        </w:tc>
      </w:tr>
      <w:tr w:rsidR="001632CA" w:rsidRPr="00EA2F1D" w14:paraId="18CDE229" w14:textId="77777777" w:rsidTr="0061541E">
        <w:trPr>
          <w:gridAfter w:val="1"/>
          <w:wAfter w:w="71" w:type="pct"/>
          <w:jc w:val="center"/>
        </w:trPr>
        <w:tc>
          <w:tcPr>
            <w:tcW w:w="185" w:type="pct"/>
          </w:tcPr>
          <w:p w14:paraId="09889A10" w14:textId="2ECABD0E" w:rsidR="005355C9" w:rsidRPr="00486D38" w:rsidRDefault="005355C9" w:rsidP="00F22769">
            <w:pPr>
              <w:jc w:val="center"/>
              <w:rPr>
                <w:sz w:val="22"/>
                <w:szCs w:val="22"/>
              </w:rPr>
            </w:pPr>
            <w:r>
              <w:rPr>
                <w:sz w:val="22"/>
                <w:szCs w:val="22"/>
              </w:rPr>
              <w:t>1</w:t>
            </w:r>
            <w:r w:rsidR="009F3B82">
              <w:rPr>
                <w:sz w:val="22"/>
                <w:szCs w:val="22"/>
              </w:rPr>
              <w:t>5</w:t>
            </w:r>
            <w:r w:rsidR="00FE4C07">
              <w:rPr>
                <w:sz w:val="22"/>
                <w:szCs w:val="22"/>
              </w:rPr>
              <w:t>.</w:t>
            </w:r>
          </w:p>
        </w:tc>
        <w:tc>
          <w:tcPr>
            <w:tcW w:w="647" w:type="pct"/>
          </w:tcPr>
          <w:p w14:paraId="588AFB8D" w14:textId="77777777" w:rsidR="005355C9" w:rsidRPr="00486D38" w:rsidRDefault="005355C9" w:rsidP="005355C9">
            <w:pPr>
              <w:rPr>
                <w:sz w:val="22"/>
                <w:szCs w:val="22"/>
              </w:rPr>
            </w:pPr>
            <w:r w:rsidRPr="00486D38">
              <w:rPr>
                <w:sz w:val="22"/>
                <w:szCs w:val="22"/>
              </w:rPr>
              <w:t>Публикуване на интернет страниците на социалните партньори на списък с браншовите и отрасловите организации, които са техни членове</w:t>
            </w:r>
          </w:p>
        </w:tc>
        <w:tc>
          <w:tcPr>
            <w:tcW w:w="816" w:type="pct"/>
          </w:tcPr>
          <w:p w14:paraId="66E142B6" w14:textId="77777777" w:rsidR="005355C9" w:rsidRPr="00486D38" w:rsidRDefault="005355C9" w:rsidP="005355C9">
            <w:pPr>
              <w:rPr>
                <w:sz w:val="22"/>
                <w:szCs w:val="22"/>
              </w:rPr>
            </w:pPr>
            <w:r w:rsidRPr="00486D38">
              <w:rPr>
                <w:sz w:val="22"/>
                <w:szCs w:val="22"/>
              </w:rPr>
              <w:t>Публикуване на интернет страницата на всяка от организациите на работодателите и на работниците и служителите</w:t>
            </w:r>
            <w:r>
              <w:rPr>
                <w:sz w:val="22"/>
                <w:szCs w:val="22"/>
              </w:rPr>
              <w:t>, признати за представителни на национално равнище,</w:t>
            </w:r>
            <w:r w:rsidRPr="00486D38">
              <w:rPr>
                <w:sz w:val="22"/>
                <w:szCs w:val="22"/>
              </w:rPr>
              <w:t xml:space="preserve"> на списък с браншовите и отрасловите организации, които са техни членове</w:t>
            </w:r>
          </w:p>
        </w:tc>
        <w:tc>
          <w:tcPr>
            <w:tcW w:w="481" w:type="pct"/>
          </w:tcPr>
          <w:p w14:paraId="6AC92EEF" w14:textId="77777777" w:rsidR="005355C9" w:rsidRPr="00486D38" w:rsidRDefault="005355C9" w:rsidP="005355C9">
            <w:pPr>
              <w:rPr>
                <w:sz w:val="22"/>
                <w:szCs w:val="22"/>
              </w:rPr>
            </w:pPr>
            <w:r w:rsidRPr="00486D38">
              <w:rPr>
                <w:sz w:val="22"/>
                <w:szCs w:val="22"/>
              </w:rPr>
              <w:t>Социални партньори</w:t>
            </w:r>
          </w:p>
        </w:tc>
        <w:tc>
          <w:tcPr>
            <w:tcW w:w="396" w:type="pct"/>
          </w:tcPr>
          <w:p w14:paraId="431A7977" w14:textId="77777777" w:rsidR="005355C9" w:rsidRPr="00486D38" w:rsidRDefault="005355C9" w:rsidP="005355C9">
            <w:pPr>
              <w:rPr>
                <w:sz w:val="22"/>
                <w:szCs w:val="22"/>
              </w:rPr>
            </w:pPr>
            <w:r w:rsidRPr="00486D38">
              <w:rPr>
                <w:sz w:val="22"/>
                <w:szCs w:val="22"/>
              </w:rPr>
              <w:t>2026</w:t>
            </w:r>
          </w:p>
        </w:tc>
        <w:tc>
          <w:tcPr>
            <w:tcW w:w="647" w:type="pct"/>
          </w:tcPr>
          <w:p w14:paraId="69B2A0C5" w14:textId="77777777" w:rsidR="005355C9" w:rsidRPr="00486D38" w:rsidRDefault="005355C9" w:rsidP="005355C9">
            <w:pPr>
              <w:rPr>
                <w:sz w:val="22"/>
                <w:szCs w:val="22"/>
              </w:rPr>
            </w:pPr>
            <w:r>
              <w:rPr>
                <w:sz w:val="22"/>
                <w:szCs w:val="22"/>
              </w:rPr>
              <w:t xml:space="preserve">Наличие </w:t>
            </w:r>
            <w:r w:rsidRPr="00486D38">
              <w:rPr>
                <w:sz w:val="22"/>
                <w:szCs w:val="22"/>
              </w:rPr>
              <w:t xml:space="preserve">на </w:t>
            </w:r>
            <w:r>
              <w:rPr>
                <w:sz w:val="22"/>
                <w:szCs w:val="22"/>
              </w:rPr>
              <w:t xml:space="preserve">актуална </w:t>
            </w:r>
            <w:r w:rsidRPr="00486D38">
              <w:rPr>
                <w:sz w:val="22"/>
                <w:szCs w:val="22"/>
              </w:rPr>
              <w:t>публична информация за браншовите и отрасловите организации, които могат да водят преговори за сключване на колективен трудов договор на ниво отрасъл или бранш</w:t>
            </w:r>
          </w:p>
        </w:tc>
        <w:tc>
          <w:tcPr>
            <w:tcW w:w="524" w:type="pct"/>
          </w:tcPr>
          <w:p w14:paraId="04CE9DE8" w14:textId="77777777" w:rsidR="005355C9" w:rsidRPr="00486D38" w:rsidRDefault="005355C9" w:rsidP="005355C9">
            <w:pPr>
              <w:rPr>
                <w:sz w:val="22"/>
                <w:szCs w:val="22"/>
              </w:rPr>
            </w:pPr>
            <w:r w:rsidRPr="00486D38">
              <w:rPr>
                <w:sz w:val="22"/>
                <w:szCs w:val="22"/>
              </w:rPr>
              <w:t>Публикувани списъци</w:t>
            </w:r>
          </w:p>
        </w:tc>
        <w:tc>
          <w:tcPr>
            <w:tcW w:w="323" w:type="pct"/>
          </w:tcPr>
          <w:p w14:paraId="058C75D2" w14:textId="77777777" w:rsidR="005355C9" w:rsidRPr="00486D38" w:rsidRDefault="005355C9" w:rsidP="005355C9">
            <w:pPr>
              <w:rPr>
                <w:sz w:val="22"/>
                <w:szCs w:val="22"/>
              </w:rPr>
            </w:pPr>
            <w:r w:rsidRPr="00486D38">
              <w:rPr>
                <w:sz w:val="22"/>
                <w:szCs w:val="22"/>
              </w:rPr>
              <w:t>0</w:t>
            </w:r>
          </w:p>
        </w:tc>
        <w:tc>
          <w:tcPr>
            <w:tcW w:w="369" w:type="pct"/>
          </w:tcPr>
          <w:p w14:paraId="7890B707" w14:textId="77777777" w:rsidR="005355C9" w:rsidRPr="00486D38" w:rsidRDefault="005355C9" w:rsidP="005355C9">
            <w:pPr>
              <w:rPr>
                <w:sz w:val="22"/>
                <w:szCs w:val="22"/>
              </w:rPr>
            </w:pPr>
            <w:r w:rsidRPr="00486D38">
              <w:rPr>
                <w:sz w:val="22"/>
                <w:szCs w:val="22"/>
              </w:rPr>
              <w:t>6</w:t>
            </w:r>
          </w:p>
        </w:tc>
        <w:tc>
          <w:tcPr>
            <w:tcW w:w="540" w:type="pct"/>
          </w:tcPr>
          <w:p w14:paraId="62CA7B28" w14:textId="77777777" w:rsidR="005355C9" w:rsidRDefault="005355C9" w:rsidP="005355C9">
            <w:pPr>
              <w:rPr>
                <w:sz w:val="22"/>
                <w:szCs w:val="22"/>
              </w:rPr>
            </w:pPr>
            <w:r w:rsidRPr="00486D38">
              <w:rPr>
                <w:sz w:val="22"/>
                <w:szCs w:val="22"/>
              </w:rPr>
              <w:t>В рамките на бюджета на организациите</w:t>
            </w:r>
          </w:p>
          <w:p w14:paraId="0CE391DD" w14:textId="77777777" w:rsidR="00EB0A83" w:rsidRDefault="00EB0A83" w:rsidP="005355C9">
            <w:pPr>
              <w:rPr>
                <w:sz w:val="22"/>
                <w:szCs w:val="22"/>
              </w:rPr>
            </w:pPr>
          </w:p>
          <w:p w14:paraId="115F8715" w14:textId="77777777" w:rsidR="00EB0A83" w:rsidRPr="00486D38" w:rsidRDefault="00EB0A83" w:rsidP="005355C9">
            <w:pPr>
              <w:rPr>
                <w:sz w:val="22"/>
                <w:szCs w:val="22"/>
              </w:rPr>
            </w:pPr>
          </w:p>
        </w:tc>
      </w:tr>
      <w:tr w:rsidR="001632CA" w:rsidRPr="00EA2F1D" w14:paraId="6D2E5A00" w14:textId="77777777" w:rsidTr="0061541E">
        <w:trPr>
          <w:gridAfter w:val="1"/>
          <w:wAfter w:w="71" w:type="pct"/>
          <w:jc w:val="center"/>
        </w:trPr>
        <w:tc>
          <w:tcPr>
            <w:tcW w:w="185" w:type="pct"/>
          </w:tcPr>
          <w:p w14:paraId="2D69F4D8" w14:textId="32C37B2F" w:rsidR="005355C9" w:rsidRPr="00486D38" w:rsidRDefault="005355C9" w:rsidP="00F22769">
            <w:pPr>
              <w:jc w:val="center"/>
              <w:rPr>
                <w:sz w:val="22"/>
                <w:szCs w:val="22"/>
              </w:rPr>
            </w:pPr>
            <w:r>
              <w:rPr>
                <w:sz w:val="22"/>
                <w:szCs w:val="22"/>
              </w:rPr>
              <w:lastRenderedPageBreak/>
              <w:t>1</w:t>
            </w:r>
            <w:r w:rsidR="009F3B82">
              <w:rPr>
                <w:sz w:val="22"/>
                <w:szCs w:val="22"/>
              </w:rPr>
              <w:t>6</w:t>
            </w:r>
            <w:r w:rsidR="00FE4C07">
              <w:rPr>
                <w:sz w:val="22"/>
                <w:szCs w:val="22"/>
              </w:rPr>
              <w:t>.</w:t>
            </w:r>
          </w:p>
        </w:tc>
        <w:tc>
          <w:tcPr>
            <w:tcW w:w="647" w:type="pct"/>
          </w:tcPr>
          <w:p w14:paraId="54E2D3EA" w14:textId="759F1BCA" w:rsidR="008319AA" w:rsidRPr="00486D38" w:rsidRDefault="005355C9" w:rsidP="00EA472F">
            <w:pPr>
              <w:rPr>
                <w:sz w:val="22"/>
                <w:szCs w:val="22"/>
              </w:rPr>
            </w:pPr>
            <w:r>
              <w:rPr>
                <w:sz w:val="22"/>
                <w:szCs w:val="22"/>
              </w:rPr>
              <w:t>Провеждане на обучения н</w:t>
            </w:r>
            <w:r w:rsidRPr="00486D38">
              <w:rPr>
                <w:sz w:val="22"/>
                <w:szCs w:val="22"/>
              </w:rPr>
              <w:t xml:space="preserve">а </w:t>
            </w:r>
            <w:r>
              <w:rPr>
                <w:sz w:val="22"/>
                <w:szCs w:val="22"/>
              </w:rPr>
              <w:t xml:space="preserve">посредници </w:t>
            </w:r>
            <w:r w:rsidRPr="00486D38">
              <w:rPr>
                <w:sz w:val="22"/>
                <w:szCs w:val="22"/>
              </w:rPr>
              <w:t>и арбитри за уреждане на колективни трудови спорове</w:t>
            </w:r>
            <w:r>
              <w:rPr>
                <w:sz w:val="22"/>
                <w:szCs w:val="22"/>
              </w:rPr>
              <w:t>, както и на експерти на социалните партньори в помощ на страните при преговорите за колективното договаряне.</w:t>
            </w:r>
          </w:p>
        </w:tc>
        <w:tc>
          <w:tcPr>
            <w:tcW w:w="816" w:type="pct"/>
          </w:tcPr>
          <w:p w14:paraId="1CE8A2DC" w14:textId="77777777" w:rsidR="005355C9" w:rsidRPr="00486D38" w:rsidRDefault="005355C9" w:rsidP="005355C9">
            <w:pPr>
              <w:rPr>
                <w:sz w:val="22"/>
                <w:szCs w:val="22"/>
              </w:rPr>
            </w:pPr>
            <w:r w:rsidRPr="00486D38">
              <w:rPr>
                <w:sz w:val="22"/>
                <w:szCs w:val="22"/>
              </w:rPr>
              <w:t xml:space="preserve">Провеждане на обучения на лица, които </w:t>
            </w:r>
            <w:r>
              <w:rPr>
                <w:sz w:val="22"/>
                <w:szCs w:val="22"/>
              </w:rPr>
              <w:t xml:space="preserve">са включени в списъка на посредниците </w:t>
            </w:r>
            <w:r w:rsidRPr="00486D38">
              <w:rPr>
                <w:sz w:val="22"/>
                <w:szCs w:val="22"/>
              </w:rPr>
              <w:t>и арбитри</w:t>
            </w:r>
            <w:r>
              <w:rPr>
                <w:sz w:val="22"/>
                <w:szCs w:val="22"/>
              </w:rPr>
              <w:t>те</w:t>
            </w:r>
            <w:r w:rsidRPr="00486D38">
              <w:rPr>
                <w:sz w:val="22"/>
                <w:szCs w:val="22"/>
              </w:rPr>
              <w:t xml:space="preserve"> в процеса на уреждане на колективни трудови спорове.</w:t>
            </w:r>
          </w:p>
        </w:tc>
        <w:tc>
          <w:tcPr>
            <w:tcW w:w="481" w:type="pct"/>
          </w:tcPr>
          <w:p w14:paraId="23BC8626" w14:textId="77777777" w:rsidR="005355C9" w:rsidRPr="00486D38" w:rsidRDefault="005355C9" w:rsidP="005355C9">
            <w:pPr>
              <w:rPr>
                <w:sz w:val="22"/>
                <w:szCs w:val="22"/>
              </w:rPr>
            </w:pPr>
            <w:r w:rsidRPr="00486D38">
              <w:rPr>
                <w:sz w:val="22"/>
                <w:szCs w:val="22"/>
              </w:rPr>
              <w:t>НИПА</w:t>
            </w:r>
          </w:p>
        </w:tc>
        <w:tc>
          <w:tcPr>
            <w:tcW w:w="396" w:type="pct"/>
          </w:tcPr>
          <w:p w14:paraId="12732A70" w14:textId="77777777" w:rsidR="005355C9" w:rsidRPr="00486D38" w:rsidRDefault="005355C9" w:rsidP="005355C9">
            <w:pPr>
              <w:rPr>
                <w:sz w:val="22"/>
                <w:szCs w:val="22"/>
              </w:rPr>
            </w:pPr>
            <w:r w:rsidRPr="00486D38">
              <w:rPr>
                <w:sz w:val="22"/>
                <w:szCs w:val="22"/>
              </w:rPr>
              <w:t>2026 - 2030</w:t>
            </w:r>
          </w:p>
        </w:tc>
        <w:tc>
          <w:tcPr>
            <w:tcW w:w="647" w:type="pct"/>
          </w:tcPr>
          <w:p w14:paraId="672FBADD" w14:textId="77777777" w:rsidR="005355C9" w:rsidRPr="00486D38" w:rsidRDefault="005355C9" w:rsidP="005355C9">
            <w:pPr>
              <w:rPr>
                <w:sz w:val="22"/>
                <w:szCs w:val="22"/>
              </w:rPr>
            </w:pPr>
            <w:r w:rsidRPr="00486D38">
              <w:rPr>
                <w:sz w:val="22"/>
                <w:szCs w:val="22"/>
              </w:rPr>
              <w:t xml:space="preserve">Изграждане на капацитет за разрешаване на колективни трудови спорове. </w:t>
            </w:r>
          </w:p>
        </w:tc>
        <w:tc>
          <w:tcPr>
            <w:tcW w:w="524" w:type="pct"/>
          </w:tcPr>
          <w:p w14:paraId="2D20A89F" w14:textId="77777777" w:rsidR="005355C9" w:rsidRPr="00486D38" w:rsidRDefault="005355C9" w:rsidP="005355C9">
            <w:pPr>
              <w:rPr>
                <w:sz w:val="22"/>
                <w:szCs w:val="22"/>
              </w:rPr>
            </w:pPr>
            <w:r w:rsidRPr="00486D38">
              <w:rPr>
                <w:sz w:val="22"/>
                <w:szCs w:val="22"/>
              </w:rPr>
              <w:t>Брой  обучени лица</w:t>
            </w:r>
          </w:p>
        </w:tc>
        <w:tc>
          <w:tcPr>
            <w:tcW w:w="323" w:type="pct"/>
          </w:tcPr>
          <w:p w14:paraId="58F1AAA9" w14:textId="77777777" w:rsidR="005355C9" w:rsidRPr="00486D38" w:rsidRDefault="005355C9" w:rsidP="005355C9">
            <w:pPr>
              <w:rPr>
                <w:sz w:val="22"/>
                <w:szCs w:val="22"/>
              </w:rPr>
            </w:pPr>
            <w:r w:rsidRPr="00486D38">
              <w:rPr>
                <w:sz w:val="22"/>
                <w:szCs w:val="22"/>
              </w:rPr>
              <w:t>0</w:t>
            </w:r>
          </w:p>
        </w:tc>
        <w:tc>
          <w:tcPr>
            <w:tcW w:w="369" w:type="pct"/>
          </w:tcPr>
          <w:p w14:paraId="4A2CF980" w14:textId="77777777" w:rsidR="005355C9" w:rsidRPr="00486D38" w:rsidRDefault="00B44A85" w:rsidP="005355C9">
            <w:pPr>
              <w:rPr>
                <w:sz w:val="22"/>
                <w:szCs w:val="22"/>
              </w:rPr>
            </w:pPr>
            <w:r w:rsidRPr="00811A5B">
              <w:rPr>
                <w:sz w:val="22"/>
                <w:szCs w:val="22"/>
              </w:rPr>
              <w:t>5</w:t>
            </w:r>
          </w:p>
        </w:tc>
        <w:tc>
          <w:tcPr>
            <w:tcW w:w="540" w:type="pct"/>
          </w:tcPr>
          <w:p w14:paraId="3A6C70C0" w14:textId="77777777" w:rsidR="005355C9" w:rsidRPr="00486D38" w:rsidRDefault="005355C9" w:rsidP="005355C9">
            <w:pPr>
              <w:rPr>
                <w:sz w:val="22"/>
                <w:szCs w:val="22"/>
              </w:rPr>
            </w:pPr>
            <w:r w:rsidRPr="00486D38">
              <w:rPr>
                <w:sz w:val="22"/>
                <w:szCs w:val="22"/>
              </w:rPr>
              <w:t>В рамките на бюджета на НИПА</w:t>
            </w:r>
          </w:p>
        </w:tc>
      </w:tr>
      <w:tr w:rsidR="001632CA" w:rsidRPr="00EA2F1D" w14:paraId="2354CE72" w14:textId="77777777" w:rsidTr="0061541E">
        <w:trPr>
          <w:gridAfter w:val="1"/>
          <w:wAfter w:w="71" w:type="pct"/>
          <w:jc w:val="center"/>
        </w:trPr>
        <w:tc>
          <w:tcPr>
            <w:tcW w:w="185" w:type="pct"/>
          </w:tcPr>
          <w:p w14:paraId="74D8044E" w14:textId="542830BC" w:rsidR="005355C9" w:rsidRPr="00486D38" w:rsidRDefault="005355C9" w:rsidP="00FE4C07">
            <w:pPr>
              <w:jc w:val="center"/>
              <w:rPr>
                <w:sz w:val="22"/>
                <w:szCs w:val="22"/>
              </w:rPr>
            </w:pPr>
            <w:r w:rsidRPr="00EA472F">
              <w:rPr>
                <w:sz w:val="22"/>
                <w:szCs w:val="22"/>
              </w:rPr>
              <w:t>1</w:t>
            </w:r>
            <w:r w:rsidR="009F3B82">
              <w:rPr>
                <w:sz w:val="22"/>
                <w:szCs w:val="22"/>
              </w:rPr>
              <w:t>7</w:t>
            </w:r>
            <w:r w:rsidR="00FE4C07">
              <w:rPr>
                <w:sz w:val="22"/>
                <w:szCs w:val="22"/>
              </w:rPr>
              <w:t>.</w:t>
            </w:r>
          </w:p>
        </w:tc>
        <w:tc>
          <w:tcPr>
            <w:tcW w:w="647" w:type="pct"/>
          </w:tcPr>
          <w:p w14:paraId="36232BFF" w14:textId="66EF415E" w:rsidR="005355C9" w:rsidRPr="00486D38" w:rsidRDefault="005355C9" w:rsidP="005355C9">
            <w:pPr>
              <w:rPr>
                <w:sz w:val="22"/>
                <w:szCs w:val="22"/>
              </w:rPr>
            </w:pPr>
            <w:r w:rsidRPr="00486D38">
              <w:rPr>
                <w:sz w:val="22"/>
                <w:szCs w:val="22"/>
              </w:rPr>
              <w:t xml:space="preserve">Организиране на информационна кампания за популяризиране на ползите от КТД </w:t>
            </w:r>
          </w:p>
        </w:tc>
        <w:tc>
          <w:tcPr>
            <w:tcW w:w="816" w:type="pct"/>
          </w:tcPr>
          <w:p w14:paraId="1DB57503" w14:textId="5CC666B9" w:rsidR="005355C9" w:rsidRPr="00486D38" w:rsidRDefault="00EA472F" w:rsidP="00EA472F">
            <w:pPr>
              <w:rPr>
                <w:sz w:val="22"/>
                <w:szCs w:val="22"/>
              </w:rPr>
            </w:pPr>
            <w:r w:rsidRPr="00EA472F">
              <w:rPr>
                <w:sz w:val="22"/>
                <w:szCs w:val="22"/>
              </w:rPr>
              <w:t>Създаване на ефективна комуникационна стратегия и пр</w:t>
            </w:r>
            <w:r w:rsidR="005355C9" w:rsidRPr="00EA472F">
              <w:rPr>
                <w:sz w:val="22"/>
                <w:szCs w:val="22"/>
              </w:rPr>
              <w:t xml:space="preserve">овеждане на информационна </w:t>
            </w:r>
            <w:r w:rsidR="005355C9" w:rsidRPr="00486D38">
              <w:rPr>
                <w:sz w:val="22"/>
                <w:szCs w:val="22"/>
              </w:rPr>
              <w:t>кампания, чрез която да се популяризират</w:t>
            </w:r>
            <w:r>
              <w:rPr>
                <w:sz w:val="22"/>
                <w:szCs w:val="22"/>
              </w:rPr>
              <w:t xml:space="preserve"> сред обществото и медиите</w:t>
            </w:r>
            <w:r w:rsidR="005355C9" w:rsidRPr="00486D38">
              <w:rPr>
                <w:sz w:val="22"/>
                <w:szCs w:val="22"/>
              </w:rPr>
              <w:t xml:space="preserve"> ползите за работниците и служителите и за работодателите от колективното договаряне. </w:t>
            </w:r>
          </w:p>
        </w:tc>
        <w:tc>
          <w:tcPr>
            <w:tcW w:w="481" w:type="pct"/>
          </w:tcPr>
          <w:p w14:paraId="5556C071" w14:textId="77777777" w:rsidR="005355C9" w:rsidRPr="00486D38" w:rsidRDefault="005355C9" w:rsidP="00372F2D">
            <w:pPr>
              <w:rPr>
                <w:sz w:val="22"/>
                <w:szCs w:val="22"/>
              </w:rPr>
            </w:pPr>
            <w:r w:rsidRPr="00486D38">
              <w:rPr>
                <w:sz w:val="22"/>
                <w:szCs w:val="22"/>
              </w:rPr>
              <w:t>Социални партньори</w:t>
            </w:r>
          </w:p>
        </w:tc>
        <w:tc>
          <w:tcPr>
            <w:tcW w:w="396" w:type="pct"/>
          </w:tcPr>
          <w:p w14:paraId="7C218C68" w14:textId="77777777" w:rsidR="005355C9" w:rsidRDefault="005355C9" w:rsidP="005355C9">
            <w:pPr>
              <w:rPr>
                <w:sz w:val="22"/>
                <w:szCs w:val="22"/>
              </w:rPr>
            </w:pPr>
            <w:r w:rsidRPr="00486D38">
              <w:rPr>
                <w:sz w:val="22"/>
                <w:szCs w:val="22"/>
              </w:rPr>
              <w:t>2028</w:t>
            </w:r>
          </w:p>
          <w:p w14:paraId="2E147E6C" w14:textId="77777777" w:rsidR="005355C9" w:rsidRDefault="005355C9" w:rsidP="005355C9">
            <w:pPr>
              <w:rPr>
                <w:sz w:val="22"/>
                <w:szCs w:val="22"/>
              </w:rPr>
            </w:pPr>
          </w:p>
          <w:p w14:paraId="6342CCD3" w14:textId="77777777" w:rsidR="005355C9" w:rsidRDefault="005355C9" w:rsidP="005355C9">
            <w:pPr>
              <w:rPr>
                <w:sz w:val="22"/>
                <w:szCs w:val="22"/>
              </w:rPr>
            </w:pPr>
          </w:p>
          <w:p w14:paraId="14B8A175" w14:textId="77777777" w:rsidR="005355C9" w:rsidRDefault="005355C9" w:rsidP="005355C9">
            <w:pPr>
              <w:rPr>
                <w:sz w:val="22"/>
                <w:szCs w:val="22"/>
              </w:rPr>
            </w:pPr>
          </w:p>
          <w:p w14:paraId="0A16C113" w14:textId="77777777" w:rsidR="005355C9" w:rsidRDefault="005355C9" w:rsidP="005355C9">
            <w:pPr>
              <w:rPr>
                <w:sz w:val="22"/>
                <w:szCs w:val="22"/>
              </w:rPr>
            </w:pPr>
          </w:p>
          <w:p w14:paraId="25F9B8E4" w14:textId="77777777" w:rsidR="005355C9" w:rsidRDefault="005355C9" w:rsidP="005355C9">
            <w:pPr>
              <w:rPr>
                <w:sz w:val="22"/>
                <w:szCs w:val="22"/>
              </w:rPr>
            </w:pPr>
          </w:p>
          <w:p w14:paraId="7836C523" w14:textId="77777777" w:rsidR="005355C9" w:rsidRDefault="005355C9" w:rsidP="005355C9">
            <w:pPr>
              <w:rPr>
                <w:sz w:val="22"/>
                <w:szCs w:val="22"/>
              </w:rPr>
            </w:pPr>
          </w:p>
          <w:p w14:paraId="6835C666" w14:textId="77777777" w:rsidR="005355C9" w:rsidRDefault="005355C9" w:rsidP="005355C9">
            <w:pPr>
              <w:rPr>
                <w:sz w:val="22"/>
                <w:szCs w:val="22"/>
              </w:rPr>
            </w:pPr>
          </w:p>
          <w:p w14:paraId="72092C77" w14:textId="77777777" w:rsidR="005355C9" w:rsidRDefault="005355C9" w:rsidP="005355C9">
            <w:pPr>
              <w:rPr>
                <w:sz w:val="22"/>
                <w:szCs w:val="22"/>
              </w:rPr>
            </w:pPr>
          </w:p>
          <w:p w14:paraId="64FBC345" w14:textId="77777777" w:rsidR="005355C9" w:rsidRPr="00486D38" w:rsidRDefault="005355C9" w:rsidP="005355C9">
            <w:pPr>
              <w:rPr>
                <w:sz w:val="22"/>
                <w:szCs w:val="22"/>
              </w:rPr>
            </w:pPr>
          </w:p>
        </w:tc>
        <w:tc>
          <w:tcPr>
            <w:tcW w:w="647" w:type="pct"/>
          </w:tcPr>
          <w:p w14:paraId="297F1997" w14:textId="09226D8D" w:rsidR="005355C9" w:rsidRPr="00486D38" w:rsidRDefault="00EA472F" w:rsidP="005355C9">
            <w:pPr>
              <w:rPr>
                <w:sz w:val="22"/>
                <w:szCs w:val="22"/>
              </w:rPr>
            </w:pPr>
            <w:r>
              <w:rPr>
                <w:sz w:val="22"/>
                <w:szCs w:val="22"/>
              </w:rPr>
              <w:t xml:space="preserve">Популяризиране на колективното договаряне и повишаване на информираността на обществото за ползите от него. </w:t>
            </w:r>
            <w:r w:rsidR="005355C9" w:rsidRPr="00486D38">
              <w:rPr>
                <w:sz w:val="22"/>
                <w:szCs w:val="22"/>
              </w:rPr>
              <w:t xml:space="preserve">Повишаване на </w:t>
            </w:r>
            <w:r w:rsidR="005355C9">
              <w:rPr>
                <w:sz w:val="22"/>
                <w:szCs w:val="22"/>
              </w:rPr>
              <w:t xml:space="preserve">мотивацията за сключване на колективни </w:t>
            </w:r>
            <w:r w:rsidR="005355C9" w:rsidRPr="00486D38">
              <w:rPr>
                <w:sz w:val="22"/>
                <w:szCs w:val="22"/>
              </w:rPr>
              <w:t>догов</w:t>
            </w:r>
            <w:r w:rsidR="005355C9">
              <w:rPr>
                <w:sz w:val="22"/>
                <w:szCs w:val="22"/>
              </w:rPr>
              <w:t>ори</w:t>
            </w:r>
            <w:r w:rsidR="005355C9" w:rsidRPr="00486D38">
              <w:rPr>
                <w:sz w:val="22"/>
                <w:szCs w:val="22"/>
              </w:rPr>
              <w:t>.</w:t>
            </w:r>
          </w:p>
        </w:tc>
        <w:tc>
          <w:tcPr>
            <w:tcW w:w="524" w:type="pct"/>
          </w:tcPr>
          <w:p w14:paraId="0C058270" w14:textId="73FA1A0D" w:rsidR="005355C9" w:rsidRPr="00486D38" w:rsidRDefault="005355C9" w:rsidP="005355C9">
            <w:pPr>
              <w:rPr>
                <w:sz w:val="22"/>
                <w:szCs w:val="22"/>
              </w:rPr>
            </w:pPr>
            <w:r w:rsidRPr="00486D38">
              <w:rPr>
                <w:sz w:val="22"/>
                <w:szCs w:val="22"/>
              </w:rPr>
              <w:t>Брой проведени информа</w:t>
            </w:r>
            <w:r w:rsidR="00CF76B9">
              <w:rPr>
                <w:sz w:val="22"/>
                <w:szCs w:val="22"/>
              </w:rPr>
              <w:t>-</w:t>
            </w:r>
            <w:r w:rsidRPr="00486D38">
              <w:rPr>
                <w:sz w:val="22"/>
                <w:szCs w:val="22"/>
              </w:rPr>
              <w:t>ционни кампании</w:t>
            </w:r>
          </w:p>
        </w:tc>
        <w:tc>
          <w:tcPr>
            <w:tcW w:w="323" w:type="pct"/>
          </w:tcPr>
          <w:p w14:paraId="4A69A83A" w14:textId="77777777" w:rsidR="005355C9" w:rsidRPr="00486D38" w:rsidRDefault="005355C9" w:rsidP="005355C9">
            <w:pPr>
              <w:rPr>
                <w:sz w:val="22"/>
                <w:szCs w:val="22"/>
              </w:rPr>
            </w:pPr>
            <w:r w:rsidRPr="00486D38">
              <w:rPr>
                <w:sz w:val="22"/>
                <w:szCs w:val="22"/>
              </w:rPr>
              <w:t>0</w:t>
            </w:r>
          </w:p>
        </w:tc>
        <w:tc>
          <w:tcPr>
            <w:tcW w:w="369" w:type="pct"/>
          </w:tcPr>
          <w:p w14:paraId="526792FC" w14:textId="77777777" w:rsidR="005355C9" w:rsidRPr="00486D38" w:rsidRDefault="005355C9" w:rsidP="005355C9">
            <w:pPr>
              <w:rPr>
                <w:sz w:val="22"/>
                <w:szCs w:val="22"/>
              </w:rPr>
            </w:pPr>
            <w:r w:rsidRPr="00486D38">
              <w:rPr>
                <w:sz w:val="22"/>
                <w:szCs w:val="22"/>
              </w:rPr>
              <w:t>1</w:t>
            </w:r>
          </w:p>
        </w:tc>
        <w:tc>
          <w:tcPr>
            <w:tcW w:w="540" w:type="pct"/>
          </w:tcPr>
          <w:p w14:paraId="6A7EA62F" w14:textId="77777777" w:rsidR="005355C9" w:rsidRPr="00EA472F" w:rsidRDefault="005355C9" w:rsidP="005355C9">
            <w:pPr>
              <w:rPr>
                <w:sz w:val="22"/>
                <w:szCs w:val="22"/>
              </w:rPr>
            </w:pPr>
            <w:r w:rsidRPr="00EA472F">
              <w:rPr>
                <w:sz w:val="22"/>
                <w:szCs w:val="22"/>
              </w:rPr>
              <w:t>В рамките на бюджета на организациите</w:t>
            </w:r>
          </w:p>
          <w:p w14:paraId="17BA54B5" w14:textId="77777777" w:rsidR="005355C9" w:rsidRPr="003F589F" w:rsidRDefault="005355C9" w:rsidP="005355C9">
            <w:pPr>
              <w:rPr>
                <w:color w:val="FF0000"/>
                <w:sz w:val="22"/>
                <w:szCs w:val="22"/>
              </w:rPr>
            </w:pPr>
          </w:p>
          <w:p w14:paraId="6250725A" w14:textId="77777777" w:rsidR="005355C9" w:rsidRPr="003F589F" w:rsidRDefault="005355C9" w:rsidP="005355C9">
            <w:pPr>
              <w:rPr>
                <w:color w:val="FF0000"/>
                <w:sz w:val="22"/>
                <w:szCs w:val="22"/>
              </w:rPr>
            </w:pPr>
          </w:p>
          <w:p w14:paraId="433FD54A" w14:textId="77777777" w:rsidR="005355C9" w:rsidRPr="003F589F" w:rsidRDefault="005355C9" w:rsidP="005355C9">
            <w:pPr>
              <w:rPr>
                <w:color w:val="FF0000"/>
                <w:sz w:val="22"/>
                <w:szCs w:val="22"/>
              </w:rPr>
            </w:pPr>
          </w:p>
          <w:p w14:paraId="02E6559F" w14:textId="77777777" w:rsidR="005355C9" w:rsidRPr="003F589F" w:rsidRDefault="005355C9" w:rsidP="005355C9">
            <w:pPr>
              <w:rPr>
                <w:color w:val="FF0000"/>
                <w:sz w:val="22"/>
                <w:szCs w:val="22"/>
              </w:rPr>
            </w:pPr>
          </w:p>
          <w:p w14:paraId="596F7127" w14:textId="77777777" w:rsidR="005355C9" w:rsidRPr="003F589F" w:rsidRDefault="005355C9" w:rsidP="00EA472F">
            <w:pPr>
              <w:rPr>
                <w:color w:val="FF0000"/>
                <w:sz w:val="22"/>
                <w:szCs w:val="22"/>
              </w:rPr>
            </w:pPr>
          </w:p>
        </w:tc>
      </w:tr>
      <w:tr w:rsidR="001632CA" w:rsidRPr="00EA2F1D" w14:paraId="352BB9E0" w14:textId="77777777" w:rsidTr="0061541E">
        <w:trPr>
          <w:gridAfter w:val="1"/>
          <w:wAfter w:w="71" w:type="pct"/>
          <w:jc w:val="center"/>
        </w:trPr>
        <w:tc>
          <w:tcPr>
            <w:tcW w:w="185" w:type="pct"/>
            <w:tcBorders>
              <w:top w:val="single" w:sz="4" w:space="0" w:color="auto"/>
              <w:left w:val="single" w:sz="4" w:space="0" w:color="auto"/>
              <w:bottom w:val="single" w:sz="4" w:space="0" w:color="auto"/>
              <w:right w:val="single" w:sz="4" w:space="0" w:color="auto"/>
            </w:tcBorders>
          </w:tcPr>
          <w:p w14:paraId="0780BDC4" w14:textId="24E2869F" w:rsidR="005355C9" w:rsidRPr="000C21A0" w:rsidRDefault="00020F46" w:rsidP="00F22769">
            <w:pPr>
              <w:jc w:val="center"/>
              <w:rPr>
                <w:sz w:val="22"/>
                <w:szCs w:val="22"/>
              </w:rPr>
            </w:pPr>
            <w:r>
              <w:rPr>
                <w:sz w:val="22"/>
                <w:szCs w:val="22"/>
              </w:rPr>
              <w:t>1</w:t>
            </w:r>
            <w:r w:rsidR="009F3B82">
              <w:rPr>
                <w:sz w:val="22"/>
                <w:szCs w:val="22"/>
              </w:rPr>
              <w:t>8</w:t>
            </w:r>
            <w:r w:rsidR="00FE4C07">
              <w:rPr>
                <w:sz w:val="22"/>
                <w:szCs w:val="22"/>
              </w:rPr>
              <w:t>.</w:t>
            </w:r>
          </w:p>
        </w:tc>
        <w:tc>
          <w:tcPr>
            <w:tcW w:w="647" w:type="pct"/>
            <w:tcBorders>
              <w:top w:val="single" w:sz="4" w:space="0" w:color="auto"/>
              <w:left w:val="single" w:sz="4" w:space="0" w:color="auto"/>
              <w:bottom w:val="single" w:sz="4" w:space="0" w:color="auto"/>
              <w:right w:val="single" w:sz="4" w:space="0" w:color="auto"/>
            </w:tcBorders>
          </w:tcPr>
          <w:p w14:paraId="70FCAD37" w14:textId="77777777" w:rsidR="005355C9" w:rsidRPr="000C21A0" w:rsidRDefault="005355C9" w:rsidP="00EA472F">
            <w:pPr>
              <w:rPr>
                <w:sz w:val="22"/>
                <w:szCs w:val="22"/>
              </w:rPr>
            </w:pPr>
            <w:r w:rsidRPr="000C21A0">
              <w:rPr>
                <w:sz w:val="22"/>
                <w:szCs w:val="22"/>
              </w:rPr>
              <w:t>Разработване на</w:t>
            </w:r>
            <w:r w:rsidR="00EA472F">
              <w:rPr>
                <w:sz w:val="22"/>
                <w:szCs w:val="22"/>
              </w:rPr>
              <w:t xml:space="preserve"> наръчник за колективно договаряне </w:t>
            </w:r>
          </w:p>
        </w:tc>
        <w:tc>
          <w:tcPr>
            <w:tcW w:w="816" w:type="pct"/>
            <w:tcBorders>
              <w:top w:val="single" w:sz="4" w:space="0" w:color="auto"/>
              <w:left w:val="single" w:sz="4" w:space="0" w:color="auto"/>
              <w:bottom w:val="single" w:sz="4" w:space="0" w:color="auto"/>
              <w:right w:val="single" w:sz="4" w:space="0" w:color="auto"/>
            </w:tcBorders>
          </w:tcPr>
          <w:p w14:paraId="288E0CD8" w14:textId="08D1659C" w:rsidR="008319AA" w:rsidRPr="000C21A0" w:rsidRDefault="005355C9" w:rsidP="00505400">
            <w:pPr>
              <w:rPr>
                <w:sz w:val="22"/>
                <w:szCs w:val="22"/>
              </w:rPr>
            </w:pPr>
            <w:r w:rsidRPr="000C21A0">
              <w:rPr>
                <w:sz w:val="22"/>
                <w:szCs w:val="22"/>
              </w:rPr>
              <w:t xml:space="preserve">Разработване на </w:t>
            </w:r>
            <w:r w:rsidR="00EA472F">
              <w:rPr>
                <w:sz w:val="22"/>
                <w:szCs w:val="22"/>
              </w:rPr>
              <w:t>наръчници</w:t>
            </w:r>
            <w:r>
              <w:rPr>
                <w:sz w:val="22"/>
                <w:szCs w:val="22"/>
              </w:rPr>
              <w:t xml:space="preserve"> за колективно договаряне, в ко</w:t>
            </w:r>
            <w:r w:rsidR="00EA472F">
              <w:rPr>
                <w:sz w:val="22"/>
                <w:szCs w:val="22"/>
              </w:rPr>
              <w:t>и</w:t>
            </w:r>
            <w:r w:rsidRPr="000C21A0">
              <w:rPr>
                <w:sz w:val="22"/>
                <w:szCs w:val="22"/>
              </w:rPr>
              <w:t xml:space="preserve">то да се </w:t>
            </w:r>
            <w:r w:rsidR="001F0AB7">
              <w:rPr>
                <w:sz w:val="22"/>
                <w:szCs w:val="22"/>
              </w:rPr>
              <w:t xml:space="preserve">включи информация за начина на водене на преговори и </w:t>
            </w:r>
            <w:r>
              <w:rPr>
                <w:sz w:val="22"/>
                <w:szCs w:val="22"/>
              </w:rPr>
              <w:t>примерни</w:t>
            </w:r>
            <w:r w:rsidRPr="000C21A0">
              <w:rPr>
                <w:sz w:val="22"/>
                <w:szCs w:val="22"/>
              </w:rPr>
              <w:t xml:space="preserve"> </w:t>
            </w:r>
            <w:r w:rsidR="001F0AB7">
              <w:rPr>
                <w:sz w:val="22"/>
                <w:szCs w:val="22"/>
              </w:rPr>
              <w:t>въпроси</w:t>
            </w:r>
            <w:r w:rsidR="00EA472F">
              <w:rPr>
                <w:sz w:val="22"/>
                <w:szCs w:val="22"/>
              </w:rPr>
              <w:t xml:space="preserve">, които могат </w:t>
            </w:r>
            <w:r w:rsidR="001F0AB7">
              <w:rPr>
                <w:sz w:val="22"/>
                <w:szCs w:val="22"/>
              </w:rPr>
              <w:t xml:space="preserve">да са </w:t>
            </w:r>
            <w:r w:rsidR="00505400">
              <w:rPr>
                <w:sz w:val="22"/>
                <w:szCs w:val="22"/>
              </w:rPr>
              <w:lastRenderedPageBreak/>
              <w:t xml:space="preserve">предмет </w:t>
            </w:r>
            <w:r w:rsidR="001F0AB7">
              <w:rPr>
                <w:sz w:val="22"/>
                <w:szCs w:val="22"/>
              </w:rPr>
              <w:t>на колективно договаряне, включително</w:t>
            </w:r>
            <w:r w:rsidRPr="000C21A0">
              <w:rPr>
                <w:sz w:val="22"/>
                <w:szCs w:val="22"/>
              </w:rPr>
              <w:t xml:space="preserve"> </w:t>
            </w:r>
            <w:r w:rsidR="001F0AB7" w:rsidRPr="001F0AB7">
              <w:rPr>
                <w:sz w:val="22"/>
                <w:szCs w:val="22"/>
              </w:rPr>
              <w:t xml:space="preserve">с примерни клаузи за КТД по </w:t>
            </w:r>
            <w:r w:rsidR="001F0AB7">
              <w:rPr>
                <w:sz w:val="22"/>
                <w:szCs w:val="22"/>
              </w:rPr>
              <w:t>отношение на</w:t>
            </w:r>
            <w:r w:rsidR="001F0AB7" w:rsidRPr="001F0AB7">
              <w:rPr>
                <w:sz w:val="22"/>
                <w:szCs w:val="22"/>
              </w:rPr>
              <w:t xml:space="preserve"> екологични стандарти, работа от разстояние, изкуствен интелект и др.</w:t>
            </w:r>
          </w:p>
        </w:tc>
        <w:tc>
          <w:tcPr>
            <w:tcW w:w="481" w:type="pct"/>
            <w:tcBorders>
              <w:top w:val="single" w:sz="4" w:space="0" w:color="auto"/>
              <w:left w:val="single" w:sz="4" w:space="0" w:color="auto"/>
              <w:bottom w:val="single" w:sz="4" w:space="0" w:color="auto"/>
              <w:right w:val="single" w:sz="4" w:space="0" w:color="auto"/>
            </w:tcBorders>
          </w:tcPr>
          <w:p w14:paraId="6C8F89AA" w14:textId="77777777" w:rsidR="00811A5B" w:rsidRDefault="005355C9" w:rsidP="005355C9">
            <w:pPr>
              <w:rPr>
                <w:sz w:val="22"/>
                <w:szCs w:val="22"/>
              </w:rPr>
            </w:pPr>
            <w:r w:rsidRPr="000C21A0">
              <w:rPr>
                <w:sz w:val="22"/>
                <w:szCs w:val="22"/>
              </w:rPr>
              <w:lastRenderedPageBreak/>
              <w:t>Социални партньори</w:t>
            </w:r>
            <w:r w:rsidR="00811A5B">
              <w:rPr>
                <w:sz w:val="22"/>
                <w:szCs w:val="22"/>
              </w:rPr>
              <w:t>/</w:t>
            </w:r>
          </w:p>
          <w:p w14:paraId="59A13EBC" w14:textId="77777777" w:rsidR="005355C9" w:rsidRPr="000C21A0" w:rsidRDefault="00811A5B" w:rsidP="005355C9">
            <w:pPr>
              <w:rPr>
                <w:sz w:val="22"/>
                <w:szCs w:val="22"/>
              </w:rPr>
            </w:pPr>
            <w:r>
              <w:rPr>
                <w:sz w:val="22"/>
                <w:szCs w:val="22"/>
              </w:rPr>
              <w:t>НИПА</w:t>
            </w:r>
            <w:r w:rsidR="005355C9" w:rsidRPr="000C21A0">
              <w:rPr>
                <w:sz w:val="22"/>
                <w:szCs w:val="22"/>
              </w:rPr>
              <w:t xml:space="preserve"> </w:t>
            </w:r>
          </w:p>
        </w:tc>
        <w:tc>
          <w:tcPr>
            <w:tcW w:w="396" w:type="pct"/>
            <w:tcBorders>
              <w:top w:val="single" w:sz="4" w:space="0" w:color="auto"/>
              <w:left w:val="single" w:sz="4" w:space="0" w:color="auto"/>
              <w:bottom w:val="single" w:sz="4" w:space="0" w:color="auto"/>
              <w:right w:val="single" w:sz="4" w:space="0" w:color="auto"/>
            </w:tcBorders>
          </w:tcPr>
          <w:p w14:paraId="19F0956E" w14:textId="77777777" w:rsidR="005355C9" w:rsidRPr="000C21A0" w:rsidRDefault="005355C9" w:rsidP="005355C9">
            <w:pPr>
              <w:rPr>
                <w:sz w:val="22"/>
                <w:szCs w:val="22"/>
              </w:rPr>
            </w:pPr>
            <w:r w:rsidRPr="000C21A0">
              <w:rPr>
                <w:sz w:val="22"/>
                <w:szCs w:val="22"/>
              </w:rPr>
              <w:t>2027</w:t>
            </w:r>
          </w:p>
        </w:tc>
        <w:tc>
          <w:tcPr>
            <w:tcW w:w="647" w:type="pct"/>
            <w:tcBorders>
              <w:top w:val="single" w:sz="4" w:space="0" w:color="auto"/>
              <w:left w:val="single" w:sz="4" w:space="0" w:color="auto"/>
              <w:bottom w:val="single" w:sz="4" w:space="0" w:color="auto"/>
              <w:right w:val="single" w:sz="4" w:space="0" w:color="auto"/>
            </w:tcBorders>
          </w:tcPr>
          <w:p w14:paraId="3DA15C5A" w14:textId="77777777" w:rsidR="005355C9" w:rsidRPr="000C21A0" w:rsidRDefault="005355C9" w:rsidP="005355C9">
            <w:pPr>
              <w:rPr>
                <w:sz w:val="22"/>
                <w:szCs w:val="22"/>
              </w:rPr>
            </w:pPr>
            <w:r w:rsidRPr="000C21A0">
              <w:rPr>
                <w:sz w:val="22"/>
                <w:szCs w:val="22"/>
              </w:rPr>
              <w:t>Подпомагане на процеса на преговори за сключване на колективни дог</w:t>
            </w:r>
            <w:r>
              <w:rPr>
                <w:sz w:val="22"/>
                <w:szCs w:val="22"/>
              </w:rPr>
              <w:t xml:space="preserve">овори и насърчаване на колективното </w:t>
            </w:r>
            <w:r>
              <w:rPr>
                <w:sz w:val="22"/>
                <w:szCs w:val="22"/>
              </w:rPr>
              <w:lastRenderedPageBreak/>
              <w:t>договаряне</w:t>
            </w:r>
            <w:r w:rsidR="001F0AB7">
              <w:rPr>
                <w:sz w:val="22"/>
                <w:szCs w:val="22"/>
              </w:rPr>
              <w:t>. Подпомагане на участниците в преговорите представители на работодатели и синдикати</w:t>
            </w:r>
            <w:r w:rsidR="00505400">
              <w:rPr>
                <w:sz w:val="22"/>
                <w:szCs w:val="22"/>
              </w:rPr>
              <w:t>.</w:t>
            </w:r>
            <w:r>
              <w:rPr>
                <w:sz w:val="22"/>
                <w:szCs w:val="22"/>
              </w:rPr>
              <w:t xml:space="preserve"> </w:t>
            </w:r>
          </w:p>
        </w:tc>
        <w:tc>
          <w:tcPr>
            <w:tcW w:w="524" w:type="pct"/>
            <w:tcBorders>
              <w:top w:val="single" w:sz="4" w:space="0" w:color="auto"/>
              <w:left w:val="single" w:sz="4" w:space="0" w:color="auto"/>
              <w:bottom w:val="single" w:sz="4" w:space="0" w:color="auto"/>
              <w:right w:val="single" w:sz="4" w:space="0" w:color="auto"/>
            </w:tcBorders>
          </w:tcPr>
          <w:p w14:paraId="7260B5CB" w14:textId="77777777" w:rsidR="005355C9" w:rsidRPr="000C21A0" w:rsidRDefault="005355C9" w:rsidP="005355C9">
            <w:pPr>
              <w:rPr>
                <w:sz w:val="22"/>
                <w:szCs w:val="22"/>
              </w:rPr>
            </w:pPr>
            <w:r w:rsidRPr="000C21A0">
              <w:rPr>
                <w:sz w:val="22"/>
                <w:szCs w:val="22"/>
              </w:rPr>
              <w:lastRenderedPageBreak/>
              <w:t xml:space="preserve">Брой </w:t>
            </w:r>
            <w:r>
              <w:rPr>
                <w:sz w:val="22"/>
                <w:szCs w:val="22"/>
              </w:rPr>
              <w:t>ръководства</w:t>
            </w:r>
          </w:p>
        </w:tc>
        <w:tc>
          <w:tcPr>
            <w:tcW w:w="323" w:type="pct"/>
            <w:tcBorders>
              <w:top w:val="single" w:sz="4" w:space="0" w:color="auto"/>
              <w:left w:val="single" w:sz="4" w:space="0" w:color="auto"/>
              <w:bottom w:val="single" w:sz="4" w:space="0" w:color="auto"/>
              <w:right w:val="single" w:sz="4" w:space="0" w:color="auto"/>
            </w:tcBorders>
          </w:tcPr>
          <w:p w14:paraId="032B296E" w14:textId="77777777" w:rsidR="005355C9" w:rsidRPr="000C21A0" w:rsidRDefault="005355C9" w:rsidP="005355C9">
            <w:pPr>
              <w:rPr>
                <w:sz w:val="22"/>
                <w:szCs w:val="22"/>
              </w:rPr>
            </w:pPr>
            <w:r w:rsidRPr="000C21A0">
              <w:rPr>
                <w:sz w:val="22"/>
                <w:szCs w:val="22"/>
              </w:rPr>
              <w:t>0</w:t>
            </w:r>
          </w:p>
        </w:tc>
        <w:tc>
          <w:tcPr>
            <w:tcW w:w="369" w:type="pct"/>
            <w:tcBorders>
              <w:top w:val="single" w:sz="4" w:space="0" w:color="auto"/>
              <w:left w:val="single" w:sz="4" w:space="0" w:color="auto"/>
              <w:bottom w:val="single" w:sz="4" w:space="0" w:color="auto"/>
              <w:right w:val="single" w:sz="4" w:space="0" w:color="auto"/>
            </w:tcBorders>
          </w:tcPr>
          <w:p w14:paraId="29E11E07" w14:textId="77777777" w:rsidR="00EA472F" w:rsidRPr="00EA472F" w:rsidRDefault="00EA472F" w:rsidP="00EA472F">
            <w:pPr>
              <w:rPr>
                <w:sz w:val="22"/>
                <w:szCs w:val="22"/>
              </w:rPr>
            </w:pPr>
            <w:r>
              <w:rPr>
                <w:sz w:val="22"/>
                <w:szCs w:val="22"/>
              </w:rPr>
              <w:t>2</w:t>
            </w:r>
            <w:r w:rsidR="005355C9" w:rsidRPr="00EA472F">
              <w:rPr>
                <w:sz w:val="22"/>
                <w:szCs w:val="22"/>
              </w:rPr>
              <w:t xml:space="preserve"> </w:t>
            </w:r>
          </w:p>
          <w:p w14:paraId="3C49CDCF" w14:textId="77777777" w:rsidR="00AF2F54" w:rsidRPr="000C21A0" w:rsidRDefault="00AF2F54" w:rsidP="005355C9">
            <w:pPr>
              <w:rPr>
                <w:sz w:val="22"/>
                <w:szCs w:val="22"/>
              </w:rPr>
            </w:pPr>
          </w:p>
        </w:tc>
        <w:tc>
          <w:tcPr>
            <w:tcW w:w="540" w:type="pct"/>
            <w:tcBorders>
              <w:top w:val="single" w:sz="4" w:space="0" w:color="auto"/>
              <w:left w:val="single" w:sz="4" w:space="0" w:color="auto"/>
              <w:bottom w:val="single" w:sz="4" w:space="0" w:color="auto"/>
              <w:right w:val="single" w:sz="4" w:space="0" w:color="auto"/>
            </w:tcBorders>
          </w:tcPr>
          <w:p w14:paraId="766951D1" w14:textId="77777777" w:rsidR="005355C9" w:rsidRDefault="005355C9" w:rsidP="005355C9">
            <w:pPr>
              <w:rPr>
                <w:sz w:val="22"/>
                <w:szCs w:val="22"/>
              </w:rPr>
            </w:pPr>
            <w:r w:rsidRPr="000C21A0">
              <w:rPr>
                <w:sz w:val="22"/>
                <w:szCs w:val="22"/>
              </w:rPr>
              <w:t>В рамките на бюджета на организациите</w:t>
            </w:r>
          </w:p>
          <w:p w14:paraId="4174B40A" w14:textId="77777777" w:rsidR="005355C9" w:rsidRPr="008B1376" w:rsidRDefault="005355C9" w:rsidP="005355C9">
            <w:pPr>
              <w:rPr>
                <w:sz w:val="22"/>
                <w:szCs w:val="22"/>
                <w:lang w:val="en-US"/>
              </w:rPr>
            </w:pPr>
          </w:p>
        </w:tc>
      </w:tr>
      <w:tr w:rsidR="001632CA" w:rsidRPr="00EA2F1D" w14:paraId="75B6CC2A" w14:textId="77777777" w:rsidTr="0061541E">
        <w:trPr>
          <w:gridAfter w:val="1"/>
          <w:wAfter w:w="71" w:type="pct"/>
          <w:jc w:val="center"/>
        </w:trPr>
        <w:tc>
          <w:tcPr>
            <w:tcW w:w="185" w:type="pct"/>
          </w:tcPr>
          <w:p w14:paraId="56597E67" w14:textId="215351F0" w:rsidR="005355C9" w:rsidRPr="00486D38" w:rsidRDefault="008319AA" w:rsidP="00F22769">
            <w:pPr>
              <w:jc w:val="center"/>
              <w:rPr>
                <w:sz w:val="22"/>
                <w:szCs w:val="22"/>
              </w:rPr>
            </w:pPr>
            <w:r>
              <w:rPr>
                <w:sz w:val="22"/>
                <w:szCs w:val="22"/>
              </w:rPr>
              <w:t>19</w:t>
            </w:r>
            <w:r w:rsidR="00FE4C07">
              <w:rPr>
                <w:sz w:val="22"/>
                <w:szCs w:val="22"/>
              </w:rPr>
              <w:t>.</w:t>
            </w:r>
          </w:p>
        </w:tc>
        <w:tc>
          <w:tcPr>
            <w:tcW w:w="647" w:type="pct"/>
          </w:tcPr>
          <w:p w14:paraId="4253225D" w14:textId="77777777" w:rsidR="005355C9" w:rsidRPr="00486D38" w:rsidRDefault="005355C9" w:rsidP="005355C9">
            <w:pPr>
              <w:rPr>
                <w:sz w:val="22"/>
                <w:szCs w:val="22"/>
              </w:rPr>
            </w:pPr>
            <w:r w:rsidRPr="00486D38">
              <w:rPr>
                <w:sz w:val="22"/>
                <w:szCs w:val="22"/>
              </w:rPr>
              <w:t>Организиране на дни на колективното договаряне</w:t>
            </w:r>
          </w:p>
        </w:tc>
        <w:tc>
          <w:tcPr>
            <w:tcW w:w="816" w:type="pct"/>
          </w:tcPr>
          <w:p w14:paraId="0A5A27AD" w14:textId="77777777" w:rsidR="005355C9" w:rsidRPr="00486D38" w:rsidRDefault="005355C9" w:rsidP="005355C9">
            <w:pPr>
              <w:rPr>
                <w:sz w:val="22"/>
                <w:szCs w:val="22"/>
              </w:rPr>
            </w:pPr>
            <w:r w:rsidRPr="00486D38">
              <w:rPr>
                <w:sz w:val="22"/>
                <w:szCs w:val="22"/>
              </w:rPr>
              <w:t>Организиране на събития, в които да се представят добрите практики и предизвикателствата пред колективното договаряне</w:t>
            </w:r>
          </w:p>
        </w:tc>
        <w:tc>
          <w:tcPr>
            <w:tcW w:w="481" w:type="pct"/>
          </w:tcPr>
          <w:p w14:paraId="3FB0BBD0" w14:textId="77777777" w:rsidR="005355C9" w:rsidRPr="00486D38" w:rsidRDefault="005355C9" w:rsidP="005355C9">
            <w:pPr>
              <w:rPr>
                <w:sz w:val="22"/>
                <w:szCs w:val="22"/>
              </w:rPr>
            </w:pPr>
            <w:r w:rsidRPr="00486D38">
              <w:rPr>
                <w:sz w:val="22"/>
                <w:szCs w:val="22"/>
              </w:rPr>
              <w:t>Социални партньори</w:t>
            </w:r>
          </w:p>
        </w:tc>
        <w:tc>
          <w:tcPr>
            <w:tcW w:w="396" w:type="pct"/>
          </w:tcPr>
          <w:p w14:paraId="7A21FB97" w14:textId="77777777" w:rsidR="005355C9" w:rsidRPr="00486D38" w:rsidRDefault="005355C9" w:rsidP="005355C9">
            <w:pPr>
              <w:rPr>
                <w:sz w:val="22"/>
                <w:szCs w:val="22"/>
              </w:rPr>
            </w:pPr>
            <w:r w:rsidRPr="00486D38">
              <w:rPr>
                <w:sz w:val="22"/>
                <w:szCs w:val="22"/>
              </w:rPr>
              <w:t>2026 –2030</w:t>
            </w:r>
          </w:p>
        </w:tc>
        <w:tc>
          <w:tcPr>
            <w:tcW w:w="647" w:type="pct"/>
          </w:tcPr>
          <w:p w14:paraId="04BDD8AE" w14:textId="77777777" w:rsidR="005355C9" w:rsidRPr="00486D38" w:rsidRDefault="005355C9" w:rsidP="005355C9">
            <w:pPr>
              <w:rPr>
                <w:sz w:val="22"/>
                <w:szCs w:val="22"/>
              </w:rPr>
            </w:pPr>
            <w:r w:rsidRPr="00486D38">
              <w:rPr>
                <w:sz w:val="22"/>
                <w:szCs w:val="22"/>
              </w:rPr>
              <w:t>Насърчаване на колективното договаряне сред членовете на организациите чрез провеждане на форуми и дискусии</w:t>
            </w:r>
          </w:p>
        </w:tc>
        <w:tc>
          <w:tcPr>
            <w:tcW w:w="524" w:type="pct"/>
          </w:tcPr>
          <w:p w14:paraId="022E3267" w14:textId="77777777" w:rsidR="005355C9" w:rsidRPr="00486D38" w:rsidRDefault="005355C9" w:rsidP="005355C9">
            <w:pPr>
              <w:rPr>
                <w:sz w:val="22"/>
                <w:szCs w:val="22"/>
              </w:rPr>
            </w:pPr>
            <w:r w:rsidRPr="00486D38">
              <w:rPr>
                <w:sz w:val="22"/>
                <w:szCs w:val="22"/>
              </w:rPr>
              <w:t>Брой проведени събития</w:t>
            </w:r>
          </w:p>
        </w:tc>
        <w:tc>
          <w:tcPr>
            <w:tcW w:w="323" w:type="pct"/>
          </w:tcPr>
          <w:p w14:paraId="41504CD2" w14:textId="77777777" w:rsidR="005355C9" w:rsidRPr="00486D38" w:rsidRDefault="005355C9" w:rsidP="005355C9">
            <w:pPr>
              <w:rPr>
                <w:sz w:val="22"/>
                <w:szCs w:val="22"/>
              </w:rPr>
            </w:pPr>
            <w:r w:rsidRPr="00486D38">
              <w:rPr>
                <w:sz w:val="22"/>
                <w:szCs w:val="22"/>
              </w:rPr>
              <w:t>0</w:t>
            </w:r>
          </w:p>
        </w:tc>
        <w:tc>
          <w:tcPr>
            <w:tcW w:w="369" w:type="pct"/>
          </w:tcPr>
          <w:p w14:paraId="409FDEFF" w14:textId="77777777" w:rsidR="005355C9" w:rsidRPr="00486D38" w:rsidRDefault="001F0AB7" w:rsidP="001F0AB7">
            <w:pPr>
              <w:rPr>
                <w:sz w:val="22"/>
                <w:szCs w:val="22"/>
              </w:rPr>
            </w:pPr>
            <w:r>
              <w:rPr>
                <w:sz w:val="22"/>
                <w:szCs w:val="22"/>
              </w:rPr>
              <w:t>2</w:t>
            </w:r>
          </w:p>
        </w:tc>
        <w:tc>
          <w:tcPr>
            <w:tcW w:w="540" w:type="pct"/>
          </w:tcPr>
          <w:p w14:paraId="503AAAC9" w14:textId="77777777" w:rsidR="005355C9" w:rsidRPr="00486D38" w:rsidRDefault="005355C9" w:rsidP="005355C9">
            <w:pPr>
              <w:rPr>
                <w:sz w:val="22"/>
                <w:szCs w:val="22"/>
              </w:rPr>
            </w:pPr>
            <w:r w:rsidRPr="00486D38">
              <w:rPr>
                <w:sz w:val="22"/>
                <w:szCs w:val="22"/>
              </w:rPr>
              <w:t>В рамките на бюджета на организациите</w:t>
            </w:r>
          </w:p>
        </w:tc>
      </w:tr>
      <w:tr w:rsidR="001632CA" w:rsidRPr="00EA2F1D" w14:paraId="0834AF27" w14:textId="77777777" w:rsidTr="0061541E">
        <w:trPr>
          <w:gridAfter w:val="1"/>
          <w:wAfter w:w="71" w:type="pct"/>
          <w:jc w:val="center"/>
        </w:trPr>
        <w:tc>
          <w:tcPr>
            <w:tcW w:w="185" w:type="pct"/>
          </w:tcPr>
          <w:p w14:paraId="00C35DB9" w14:textId="147B254E" w:rsidR="005355C9" w:rsidRPr="00486D38" w:rsidRDefault="005355C9" w:rsidP="00F22769">
            <w:pPr>
              <w:jc w:val="center"/>
              <w:rPr>
                <w:sz w:val="22"/>
                <w:szCs w:val="22"/>
              </w:rPr>
            </w:pPr>
            <w:r>
              <w:rPr>
                <w:sz w:val="22"/>
                <w:szCs w:val="22"/>
              </w:rPr>
              <w:t>2</w:t>
            </w:r>
            <w:r w:rsidR="008319AA">
              <w:rPr>
                <w:sz w:val="22"/>
                <w:szCs w:val="22"/>
              </w:rPr>
              <w:t>0</w:t>
            </w:r>
            <w:r w:rsidR="00FE4C07">
              <w:rPr>
                <w:sz w:val="22"/>
                <w:szCs w:val="22"/>
              </w:rPr>
              <w:t>.</w:t>
            </w:r>
          </w:p>
        </w:tc>
        <w:tc>
          <w:tcPr>
            <w:tcW w:w="647" w:type="pct"/>
          </w:tcPr>
          <w:p w14:paraId="61EF3C6D" w14:textId="77777777" w:rsidR="005355C9" w:rsidRPr="00486D38" w:rsidRDefault="005355C9" w:rsidP="005355C9">
            <w:pPr>
              <w:rPr>
                <w:sz w:val="22"/>
                <w:szCs w:val="22"/>
              </w:rPr>
            </w:pPr>
            <w:r w:rsidRPr="00486D38">
              <w:rPr>
                <w:sz w:val="22"/>
                <w:szCs w:val="22"/>
              </w:rPr>
              <w:t>Контрол за изпълнението на</w:t>
            </w:r>
            <w:r>
              <w:rPr>
                <w:sz w:val="22"/>
                <w:szCs w:val="22"/>
              </w:rPr>
              <w:t xml:space="preserve"> задължението на работодателя да</w:t>
            </w:r>
            <w:r w:rsidRPr="00486D38">
              <w:rPr>
                <w:sz w:val="22"/>
                <w:szCs w:val="22"/>
              </w:rPr>
              <w:t xml:space="preserve"> преговаря и </w:t>
            </w:r>
            <w:r>
              <w:rPr>
                <w:sz w:val="22"/>
                <w:szCs w:val="22"/>
              </w:rPr>
              <w:t xml:space="preserve">да </w:t>
            </w:r>
            <w:r w:rsidRPr="00486D38">
              <w:rPr>
                <w:sz w:val="22"/>
                <w:szCs w:val="22"/>
              </w:rPr>
              <w:t>предоставя</w:t>
            </w:r>
            <w:r>
              <w:rPr>
                <w:sz w:val="22"/>
                <w:szCs w:val="22"/>
              </w:rPr>
              <w:t xml:space="preserve"> </w:t>
            </w:r>
            <w:r w:rsidRPr="00486D38">
              <w:rPr>
                <w:sz w:val="22"/>
                <w:szCs w:val="22"/>
              </w:rPr>
              <w:t>информация на синдикалните организации</w:t>
            </w:r>
          </w:p>
        </w:tc>
        <w:tc>
          <w:tcPr>
            <w:tcW w:w="816" w:type="pct"/>
          </w:tcPr>
          <w:p w14:paraId="31EE009C" w14:textId="77777777" w:rsidR="005355C9" w:rsidRPr="00486D38" w:rsidRDefault="005355C9" w:rsidP="005355C9">
            <w:pPr>
              <w:rPr>
                <w:sz w:val="22"/>
                <w:szCs w:val="22"/>
              </w:rPr>
            </w:pPr>
            <w:r w:rsidRPr="00EA2F1D">
              <w:rPr>
                <w:sz w:val="22"/>
                <w:szCs w:val="22"/>
              </w:rPr>
              <w:t xml:space="preserve">Осъществяване на </w:t>
            </w:r>
            <w:r w:rsidRPr="008B17A4">
              <w:rPr>
                <w:sz w:val="22"/>
                <w:szCs w:val="22"/>
              </w:rPr>
              <w:t xml:space="preserve">ефективен контрол за спазване на изискванията за преговаряне и за предоставяне на информация по всеки получен сигнал </w:t>
            </w:r>
          </w:p>
        </w:tc>
        <w:tc>
          <w:tcPr>
            <w:tcW w:w="481" w:type="pct"/>
          </w:tcPr>
          <w:p w14:paraId="129A2BE7" w14:textId="77777777" w:rsidR="005355C9" w:rsidRPr="00486D38" w:rsidRDefault="005355C9" w:rsidP="005355C9">
            <w:pPr>
              <w:rPr>
                <w:sz w:val="22"/>
                <w:szCs w:val="22"/>
              </w:rPr>
            </w:pPr>
            <w:r w:rsidRPr="00486D38">
              <w:rPr>
                <w:sz w:val="22"/>
                <w:szCs w:val="22"/>
              </w:rPr>
              <w:t>ИА ГИТ</w:t>
            </w:r>
          </w:p>
        </w:tc>
        <w:tc>
          <w:tcPr>
            <w:tcW w:w="396" w:type="pct"/>
          </w:tcPr>
          <w:p w14:paraId="3F92FE7B" w14:textId="77777777" w:rsidR="005355C9" w:rsidRPr="00486D38" w:rsidRDefault="005355C9" w:rsidP="005355C9">
            <w:pPr>
              <w:rPr>
                <w:sz w:val="22"/>
                <w:szCs w:val="22"/>
              </w:rPr>
            </w:pPr>
            <w:r w:rsidRPr="00486D38">
              <w:rPr>
                <w:sz w:val="22"/>
                <w:szCs w:val="22"/>
              </w:rPr>
              <w:t>2026 - 2030</w:t>
            </w:r>
          </w:p>
        </w:tc>
        <w:tc>
          <w:tcPr>
            <w:tcW w:w="647" w:type="pct"/>
          </w:tcPr>
          <w:p w14:paraId="05398C0E" w14:textId="77777777" w:rsidR="005355C9" w:rsidRPr="00486D38" w:rsidRDefault="005355C9" w:rsidP="005355C9">
            <w:pPr>
              <w:rPr>
                <w:sz w:val="22"/>
                <w:szCs w:val="22"/>
              </w:rPr>
            </w:pPr>
            <w:r w:rsidRPr="00EA2F1D">
              <w:rPr>
                <w:sz w:val="22"/>
                <w:szCs w:val="22"/>
              </w:rPr>
              <w:t>Създаване на гаранции за изпълнение на задълженията на страните в процеса на колективно трудово договаряне</w:t>
            </w:r>
          </w:p>
        </w:tc>
        <w:tc>
          <w:tcPr>
            <w:tcW w:w="524" w:type="pct"/>
          </w:tcPr>
          <w:p w14:paraId="0BBEA09F" w14:textId="77777777" w:rsidR="005355C9" w:rsidRPr="00486D38" w:rsidRDefault="005355C9" w:rsidP="005355C9">
            <w:pPr>
              <w:rPr>
                <w:sz w:val="22"/>
                <w:szCs w:val="22"/>
              </w:rPr>
            </w:pPr>
            <w:r w:rsidRPr="00EA2F1D">
              <w:rPr>
                <w:sz w:val="22"/>
                <w:szCs w:val="22"/>
              </w:rPr>
              <w:t xml:space="preserve">% реализирани проверки  по сигнали </w:t>
            </w:r>
          </w:p>
        </w:tc>
        <w:tc>
          <w:tcPr>
            <w:tcW w:w="323" w:type="pct"/>
          </w:tcPr>
          <w:p w14:paraId="2B24BBB2" w14:textId="77777777" w:rsidR="005355C9" w:rsidRPr="00486D38" w:rsidRDefault="005355C9" w:rsidP="005355C9">
            <w:pPr>
              <w:rPr>
                <w:sz w:val="22"/>
                <w:szCs w:val="22"/>
              </w:rPr>
            </w:pPr>
            <w:r w:rsidRPr="00486D38">
              <w:rPr>
                <w:sz w:val="22"/>
                <w:szCs w:val="22"/>
              </w:rPr>
              <w:t>100</w:t>
            </w:r>
          </w:p>
        </w:tc>
        <w:tc>
          <w:tcPr>
            <w:tcW w:w="369" w:type="pct"/>
          </w:tcPr>
          <w:p w14:paraId="3B415D87" w14:textId="77777777" w:rsidR="005355C9" w:rsidRPr="00486D38" w:rsidRDefault="005355C9" w:rsidP="005355C9">
            <w:pPr>
              <w:rPr>
                <w:sz w:val="22"/>
                <w:szCs w:val="22"/>
              </w:rPr>
            </w:pPr>
            <w:r w:rsidRPr="00486D38">
              <w:rPr>
                <w:sz w:val="22"/>
                <w:szCs w:val="22"/>
              </w:rPr>
              <w:t>100</w:t>
            </w:r>
          </w:p>
        </w:tc>
        <w:tc>
          <w:tcPr>
            <w:tcW w:w="540" w:type="pct"/>
          </w:tcPr>
          <w:p w14:paraId="55ADD0EB" w14:textId="77777777" w:rsidR="005355C9" w:rsidRPr="00486D38" w:rsidRDefault="005355C9" w:rsidP="005355C9">
            <w:pPr>
              <w:rPr>
                <w:sz w:val="22"/>
                <w:szCs w:val="22"/>
              </w:rPr>
            </w:pPr>
            <w:r w:rsidRPr="00486D38">
              <w:rPr>
                <w:sz w:val="22"/>
                <w:szCs w:val="22"/>
              </w:rPr>
              <w:t>В рамките на бюджета на ИА ГИТ</w:t>
            </w:r>
          </w:p>
        </w:tc>
      </w:tr>
      <w:bookmarkEnd w:id="19"/>
    </w:tbl>
    <w:p w14:paraId="68300E3B" w14:textId="77777777" w:rsidR="00F13CBB" w:rsidRDefault="00F13CBB" w:rsidP="00883329">
      <w:pPr>
        <w:tabs>
          <w:tab w:val="left" w:pos="5530"/>
        </w:tabs>
      </w:pPr>
    </w:p>
    <w:p w14:paraId="169EEDF0" w14:textId="77777777" w:rsidR="00883329" w:rsidRPr="00883329" w:rsidRDefault="00883329" w:rsidP="00883329">
      <w:pPr>
        <w:tabs>
          <w:tab w:val="left" w:pos="5530"/>
        </w:tabs>
        <w:rPr>
          <w:b/>
        </w:rPr>
      </w:pPr>
      <w:r>
        <w:tab/>
      </w:r>
    </w:p>
    <w:sectPr w:rsidR="00883329" w:rsidRPr="00883329" w:rsidSect="00AC1F68">
      <w:headerReference w:type="default" r:id="rId14"/>
      <w:footerReference w:type="default" r:id="rId15"/>
      <w:footerReference w:type="first" r:id="rId16"/>
      <w:pgSz w:w="15840" w:h="12240" w:orient="landscape"/>
      <w:pgMar w:top="1440" w:right="1440" w:bottom="1440" w:left="1440" w:header="14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A238C" w14:textId="77777777" w:rsidR="00C60DDA" w:rsidRDefault="00C60DDA" w:rsidP="00840D6A">
      <w:r>
        <w:separator/>
      </w:r>
    </w:p>
  </w:endnote>
  <w:endnote w:type="continuationSeparator" w:id="0">
    <w:p w14:paraId="75CBC43B" w14:textId="77777777" w:rsidR="00C60DDA" w:rsidRDefault="00C60DDA" w:rsidP="0084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oogle San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Google Sans Tex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921865"/>
      <w:docPartObj>
        <w:docPartGallery w:val="Page Numbers (Bottom of Page)"/>
        <w:docPartUnique/>
      </w:docPartObj>
    </w:sdtPr>
    <w:sdtEndPr>
      <w:rPr>
        <w:noProof/>
      </w:rPr>
    </w:sdtEndPr>
    <w:sdtContent>
      <w:p w14:paraId="0218B7A2" w14:textId="77777777" w:rsidR="00E779F7" w:rsidRDefault="00E779F7" w:rsidP="001B125E">
        <w:pPr>
          <w:pStyle w:val="Footer"/>
          <w:jc w:val="center"/>
        </w:pPr>
        <w:r>
          <w:fldChar w:fldCharType="begin"/>
        </w:r>
        <w:r>
          <w:instrText xml:space="preserve"> PAGE   \* MERGEFORMAT </w:instrText>
        </w:r>
        <w:r>
          <w:fldChar w:fldCharType="separate"/>
        </w:r>
        <w:r w:rsidR="00195480">
          <w:rPr>
            <w:noProof/>
          </w:rPr>
          <w:t>24</w:t>
        </w:r>
        <w:r>
          <w:rPr>
            <w:noProof/>
          </w:rPr>
          <w:fldChar w:fldCharType="end"/>
        </w:r>
      </w:p>
    </w:sdtContent>
  </w:sdt>
  <w:p w14:paraId="09498285" w14:textId="77777777" w:rsidR="00E779F7" w:rsidRDefault="00E77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9393" w14:textId="77777777" w:rsidR="00E779F7" w:rsidRDefault="00E779F7">
    <w:pPr>
      <w:pStyle w:val="Footer"/>
      <w:jc w:val="right"/>
    </w:pPr>
  </w:p>
  <w:p w14:paraId="546B6636" w14:textId="77777777" w:rsidR="00E779F7" w:rsidRDefault="00E77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27327"/>
      <w:docPartObj>
        <w:docPartGallery w:val="Page Numbers (Bottom of Page)"/>
        <w:docPartUnique/>
      </w:docPartObj>
    </w:sdtPr>
    <w:sdtEndPr>
      <w:rPr>
        <w:noProof/>
      </w:rPr>
    </w:sdtEndPr>
    <w:sdtContent>
      <w:p w14:paraId="080BBEEB" w14:textId="77777777" w:rsidR="00E779F7" w:rsidRDefault="00E779F7" w:rsidP="001B125E">
        <w:pPr>
          <w:pStyle w:val="Footer"/>
          <w:jc w:val="center"/>
        </w:pPr>
        <w:r>
          <w:fldChar w:fldCharType="begin"/>
        </w:r>
        <w:r>
          <w:instrText xml:space="preserve"> PAGE   \* MERGEFORMAT </w:instrText>
        </w:r>
        <w:r>
          <w:fldChar w:fldCharType="separate"/>
        </w:r>
        <w:r w:rsidR="00195480">
          <w:rPr>
            <w:noProof/>
          </w:rPr>
          <w:t>32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6DBC" w14:textId="77777777" w:rsidR="00E779F7" w:rsidRDefault="00E779F7">
    <w:pPr>
      <w:pStyle w:val="Footer"/>
      <w:jc w:val="right"/>
    </w:pPr>
    <w:r>
      <w:fldChar w:fldCharType="begin"/>
    </w:r>
    <w:r>
      <w:instrText xml:space="preserve"> PAGE   \* MERGEFORMAT </w:instrText>
    </w:r>
    <w:r>
      <w:fldChar w:fldCharType="separate"/>
    </w:r>
    <w:r>
      <w:rPr>
        <w:noProof/>
      </w:rPr>
      <w:t>3</w:t>
    </w:r>
    <w:r>
      <w:rPr>
        <w:noProof/>
      </w:rPr>
      <w:fldChar w:fldCharType="end"/>
    </w:r>
  </w:p>
  <w:p w14:paraId="3B2C928C" w14:textId="77777777" w:rsidR="00E779F7" w:rsidRDefault="00E779F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25DBF" w14:textId="77777777" w:rsidR="00C60DDA" w:rsidRDefault="00C60DDA" w:rsidP="00840D6A">
      <w:r>
        <w:separator/>
      </w:r>
    </w:p>
  </w:footnote>
  <w:footnote w:type="continuationSeparator" w:id="0">
    <w:p w14:paraId="659CB06A" w14:textId="77777777" w:rsidR="00C60DDA" w:rsidRDefault="00C60DDA" w:rsidP="00840D6A">
      <w:r>
        <w:continuationSeparator/>
      </w:r>
    </w:p>
  </w:footnote>
  <w:footnote w:id="1">
    <w:p w14:paraId="7E240D37" w14:textId="77777777" w:rsidR="00E779F7" w:rsidRDefault="00E779F7" w:rsidP="00E835A3">
      <w:pPr>
        <w:pStyle w:val="FootnoteText"/>
      </w:pPr>
      <w:r>
        <w:rPr>
          <w:rStyle w:val="FootnoteReference"/>
        </w:rPr>
        <w:footnoteRef/>
      </w:r>
      <w:r>
        <w:t xml:space="preserve"> </w:t>
      </w:r>
      <w:r w:rsidRPr="003D56A1">
        <w:t>Eurofound (2023), ETUI Collective Bargaining Reports, DG Employment, EU Commission Staff Working Document (SWD/2021/29 final).</w:t>
      </w:r>
    </w:p>
  </w:footnote>
  <w:footnote w:id="2">
    <w:p w14:paraId="481BF948" w14:textId="77777777" w:rsidR="00E779F7" w:rsidRDefault="00E779F7" w:rsidP="00E835A3">
      <w:pPr>
        <w:pStyle w:val="FootnoteText"/>
        <w:spacing w:after="60"/>
      </w:pPr>
      <w:r w:rsidRPr="005340F8">
        <w:rPr>
          <w:rStyle w:val="FootnoteCharacters"/>
        </w:rPr>
        <w:footnoteRef/>
      </w:r>
      <w:r>
        <w:t xml:space="preserve"> </w:t>
      </w:r>
      <w:r w:rsidRPr="000032C4">
        <w:t>Източник:</w:t>
      </w:r>
      <w:r>
        <w:t xml:space="preserve"> Министерство на финансите,</w:t>
      </w:r>
      <w:r w:rsidRPr="005340F8">
        <w:rPr>
          <w:lang w:val="ru-RU"/>
        </w:rPr>
        <w:t xml:space="preserve"> </w:t>
      </w:r>
      <w:hyperlink r:id="rId1" w:history="1">
        <w:r>
          <w:rPr>
            <w:rStyle w:val="Hyperlink"/>
            <w:lang w:val="ru-RU"/>
          </w:rPr>
          <w:t>Конвергентна програма на Република България 202</w:t>
        </w:r>
        <w:r>
          <w:rPr>
            <w:rStyle w:val="Hyperlink"/>
            <w:lang w:val="en-US"/>
          </w:rPr>
          <w:t>4</w:t>
        </w:r>
        <w:r>
          <w:rPr>
            <w:rStyle w:val="Hyperlink"/>
            <w:lang w:val="ru-RU"/>
          </w:rPr>
          <w:t>-202</w:t>
        </w:r>
        <w:r>
          <w:rPr>
            <w:rStyle w:val="Hyperlink"/>
            <w:lang w:val="en-US"/>
          </w:rPr>
          <w:t>7</w:t>
        </w:r>
        <w:r>
          <w:rPr>
            <w:rStyle w:val="Hyperlink"/>
            <w:lang w:val="ru-RU"/>
          </w:rPr>
          <w:t xml:space="preserve"> г.</w:t>
        </w:r>
      </w:hyperlink>
      <w:r>
        <w:rPr>
          <w:lang w:val="ru-RU"/>
        </w:rPr>
        <w:t xml:space="preserve">, </w:t>
      </w:r>
    </w:p>
  </w:footnote>
  <w:footnote w:id="3">
    <w:p w14:paraId="74371432" w14:textId="77777777" w:rsidR="00E779F7" w:rsidRDefault="00E779F7" w:rsidP="00843FAD">
      <w:pPr>
        <w:pStyle w:val="FootnoteText"/>
      </w:pPr>
      <w:r w:rsidRPr="0030527C">
        <w:rPr>
          <w:rStyle w:val="FootnoteReference"/>
        </w:rPr>
        <w:footnoteRef/>
      </w:r>
      <w:r w:rsidRPr="0030527C">
        <w:t xml:space="preserve">   Единността (единството) на държавната служба се изразява в единни правила, по които следва да се прилага във всички институции. То произтича от единността на държавата, държавната власт, държавната политика, държавната администрация и държавния бюджет, което от своя страна се обуславя от единството на народа/нацията и народния суверенитет и овластяването от народа на предвидените в Конституцията органи да осъществяват опосредствано (от негово име) и в негов интерес държавната власт. С оглед на това единство, срокът за изпитване на държавните служители е императивно уреден в чл. 12 от ЗДСл като еднократен, продължителен (едногодишен), при назначаването за първи път на държавна служба до изтичането му без прекратяване на правоотношението. При вече изтекъл срок за изпитване (стабилизирано служебно правоотношение) съществуват възможности за временно преместване на работа в друга административна структура, вкл. извън България (в институция на ЕС), без конкурс и без прекратяване на служебното правоотношение в изпращащата администрация (чл. 81б и чл. 81в от ЗДСл).</w:t>
      </w:r>
    </w:p>
  </w:footnote>
  <w:footnote w:id="4">
    <w:p w14:paraId="000EC897" w14:textId="77777777" w:rsidR="00E779F7" w:rsidRDefault="00E779F7">
      <w:pPr>
        <w:pStyle w:val="FootnoteText"/>
      </w:pPr>
      <w:r w:rsidRPr="0030527C">
        <w:rPr>
          <w:rStyle w:val="FootnoteReference"/>
        </w:rPr>
        <w:footnoteRef/>
      </w:r>
      <w:r w:rsidRPr="0030527C">
        <w:t xml:space="preserve">   „Социален диалог“, съгласно дефиницията в пар. 1 от определенията в Препоръка на Съвета от 12 юни 2023 г. относно укрепването на социалния диалог в ЕС,  „означава всички видове преговори, консултации или обмен на информация между или сред представители на правителства, работодатели и работници по въпроси от общ интерес, свързани с икономическите политики, политиките по заетостта и социалните политики, които съществуват като двустранни отношения между работниците и работодателите, включително колективно договаряне, или като тристранен процес, при който държавата е официална страна в диалога, и могат да бъдат неформални или институционализирани, или комбинация от двете, като се провеждат на национално, регионално или местно равнище или на равнище предприятия, на междусекторно или секторно равнище, или на няколко от тези равнища едновременно.“</w:t>
      </w:r>
    </w:p>
  </w:footnote>
  <w:footnote w:id="5">
    <w:p w14:paraId="5231F73C" w14:textId="77777777" w:rsidR="00E779F7" w:rsidRDefault="00E779F7">
      <w:pPr>
        <w:pStyle w:val="FootnoteText"/>
      </w:pPr>
      <w:r w:rsidRPr="00AB0F3D">
        <w:rPr>
          <w:rStyle w:val="FootnoteReference"/>
        </w:rPr>
        <w:sym w:font="Symbol" w:char="F02A"/>
      </w:r>
      <w:r>
        <w:t xml:space="preserve"> За източник на информация е ползвана базата данни от информационната система на НИПА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7FD2" w14:textId="77777777" w:rsidR="00E779F7" w:rsidRDefault="00E779F7" w:rsidP="00504724">
    <w:pPr>
      <w:pStyle w:val="Header"/>
      <w:ind w:right="-456"/>
      <w:jc w:val="right"/>
      <w:rPr>
        <w:sz w:val="16"/>
        <w:szCs w:val="16"/>
        <w:lang w:val="bg-BG"/>
      </w:rPr>
    </w:pPr>
    <w:r>
      <w:rPr>
        <w:sz w:val="16"/>
        <w:szCs w:val="16"/>
        <w:lang w:val="bg-BG"/>
      </w:rPr>
      <w:tab/>
    </w:r>
    <w:r>
      <w:rPr>
        <w:sz w:val="16"/>
        <w:szCs w:val="16"/>
        <w:lang w:val="bg-B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1800"/>
        </w:tabs>
        <w:ind w:left="1800" w:hanging="360"/>
      </w:pPr>
      <w:rPr>
        <w:rFonts w:ascii="Times New Roman" w:hAnsi="Times New Roman"/>
        <w:color w:val="000000"/>
        <w:sz w:val="28"/>
      </w:rPr>
    </w:lvl>
  </w:abstractNum>
  <w:abstractNum w:abstractNumId="1" w15:restartNumberingAfterBreak="0">
    <w:nsid w:val="00000003"/>
    <w:multiLevelType w:val="singleLevel"/>
    <w:tmpl w:val="00000003"/>
    <w:name w:val="WW8Num3"/>
    <w:lvl w:ilvl="0">
      <w:numFmt w:val="bullet"/>
      <w:lvlText w:val="-"/>
      <w:lvlJc w:val="left"/>
      <w:pPr>
        <w:tabs>
          <w:tab w:val="num" w:pos="1800"/>
        </w:tabs>
        <w:ind w:left="1800" w:hanging="360"/>
      </w:pPr>
      <w:rPr>
        <w:rFonts w:ascii="Times New Roman" w:hAnsi="Times New Roman"/>
        <w:color w:val="000000"/>
        <w:sz w:val="28"/>
      </w:rPr>
    </w:lvl>
  </w:abstractNum>
  <w:abstractNum w:abstractNumId="2" w15:restartNumberingAfterBreak="0">
    <w:nsid w:val="0000000E"/>
    <w:multiLevelType w:val="singleLevel"/>
    <w:tmpl w:val="0000000E"/>
    <w:name w:val="WW8Num14"/>
    <w:lvl w:ilvl="0">
      <w:numFmt w:val="bullet"/>
      <w:lvlText w:val="-"/>
      <w:lvlJc w:val="left"/>
      <w:pPr>
        <w:tabs>
          <w:tab w:val="num" w:pos="1080"/>
        </w:tabs>
        <w:ind w:left="1080" w:hanging="360"/>
      </w:pPr>
      <w:rPr>
        <w:rFonts w:ascii="Times New Roman" w:hAnsi="Times New Roman"/>
      </w:rPr>
    </w:lvl>
  </w:abstractNum>
  <w:abstractNum w:abstractNumId="3" w15:restartNumberingAfterBreak="0">
    <w:nsid w:val="00EA2F06"/>
    <w:multiLevelType w:val="hybridMultilevel"/>
    <w:tmpl w:val="4594CF2E"/>
    <w:lvl w:ilvl="0" w:tplc="04020001">
      <w:start w:val="1"/>
      <w:numFmt w:val="bullet"/>
      <w:lvlText w:val=""/>
      <w:lvlJc w:val="left"/>
      <w:pPr>
        <w:ind w:left="1429" w:hanging="360"/>
      </w:pPr>
      <w:rPr>
        <w:rFonts w:ascii="Symbol" w:hAnsi="Symbol" w:hint="default"/>
      </w:rPr>
    </w:lvl>
    <w:lvl w:ilvl="1" w:tplc="04020003">
      <w:start w:val="1"/>
      <w:numFmt w:val="bullet"/>
      <w:lvlText w:val="o"/>
      <w:lvlJc w:val="left"/>
      <w:pPr>
        <w:ind w:left="2149" w:hanging="360"/>
      </w:pPr>
      <w:rPr>
        <w:rFonts w:ascii="Courier New" w:hAnsi="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 w15:restartNumberingAfterBreak="0">
    <w:nsid w:val="067B40BF"/>
    <w:multiLevelType w:val="multilevel"/>
    <w:tmpl w:val="2C9A6B7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100B2BD6"/>
    <w:multiLevelType w:val="hybridMultilevel"/>
    <w:tmpl w:val="7390C148"/>
    <w:lvl w:ilvl="0" w:tplc="91062308">
      <w:start w:val="1"/>
      <w:numFmt w:val="decimal"/>
      <w:lvlText w:val="%1."/>
      <w:lvlJc w:val="left"/>
      <w:pPr>
        <w:ind w:left="720" w:hanging="360"/>
      </w:pPr>
      <w:rPr>
        <w:rFonts w:ascii="Google Sans" w:hAnsi="Google San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0D6059C"/>
    <w:multiLevelType w:val="hybridMultilevel"/>
    <w:tmpl w:val="B34C10B4"/>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 w15:restartNumberingAfterBreak="0">
    <w:nsid w:val="18C7507B"/>
    <w:multiLevelType w:val="hybridMultilevel"/>
    <w:tmpl w:val="8A2A1626"/>
    <w:lvl w:ilvl="0" w:tplc="0000000E">
      <w:numFmt w:val="bullet"/>
      <w:lvlText w:val="-"/>
      <w:lvlJc w:val="left"/>
      <w:pPr>
        <w:ind w:left="1429" w:hanging="360"/>
      </w:pPr>
      <w:rPr>
        <w:rFonts w:ascii="Times New Roman" w:hAnsi="Times New Roman" w:hint="default"/>
      </w:rPr>
    </w:lvl>
    <w:lvl w:ilvl="1" w:tplc="04020003">
      <w:start w:val="1"/>
      <w:numFmt w:val="bullet"/>
      <w:lvlText w:val="o"/>
      <w:lvlJc w:val="left"/>
      <w:pPr>
        <w:ind w:left="2149" w:hanging="360"/>
      </w:pPr>
      <w:rPr>
        <w:rFonts w:ascii="Courier New" w:hAnsi="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15:restartNumberingAfterBreak="0">
    <w:nsid w:val="1EAD796B"/>
    <w:multiLevelType w:val="hybridMultilevel"/>
    <w:tmpl w:val="667AD222"/>
    <w:lvl w:ilvl="0" w:tplc="0402000F">
      <w:start w:val="1"/>
      <w:numFmt w:val="decimal"/>
      <w:lvlText w:val="%1."/>
      <w:lvlJc w:val="left"/>
      <w:pPr>
        <w:ind w:left="61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4091D2E"/>
    <w:multiLevelType w:val="hybridMultilevel"/>
    <w:tmpl w:val="428A0064"/>
    <w:lvl w:ilvl="0" w:tplc="A0C2DFF0">
      <w:start w:val="1"/>
      <w:numFmt w:val="upperRoman"/>
      <w:lvlText w:val="%1."/>
      <w:lvlJc w:val="left"/>
      <w:pPr>
        <w:tabs>
          <w:tab w:val="num" w:pos="419"/>
        </w:tabs>
        <w:ind w:left="1139" w:hanging="419"/>
      </w:pPr>
      <w:rPr>
        <w:rFonts w:cs="Times New Roman" w:hint="default"/>
      </w:rPr>
    </w:lvl>
    <w:lvl w:ilvl="1" w:tplc="04020019">
      <w:start w:val="1"/>
      <w:numFmt w:val="lowerLetter"/>
      <w:lvlText w:val="%2."/>
      <w:lvlJc w:val="left"/>
      <w:pPr>
        <w:tabs>
          <w:tab w:val="num" w:pos="1139"/>
        </w:tabs>
        <w:ind w:left="1139" w:hanging="360"/>
      </w:pPr>
      <w:rPr>
        <w:rFonts w:cs="Times New Roman"/>
      </w:rPr>
    </w:lvl>
    <w:lvl w:ilvl="2" w:tplc="0402001B" w:tentative="1">
      <w:start w:val="1"/>
      <w:numFmt w:val="lowerRoman"/>
      <w:lvlText w:val="%3."/>
      <w:lvlJc w:val="right"/>
      <w:pPr>
        <w:tabs>
          <w:tab w:val="num" w:pos="1859"/>
        </w:tabs>
        <w:ind w:left="1859" w:hanging="180"/>
      </w:pPr>
      <w:rPr>
        <w:rFonts w:cs="Times New Roman"/>
      </w:rPr>
    </w:lvl>
    <w:lvl w:ilvl="3" w:tplc="0402000F" w:tentative="1">
      <w:start w:val="1"/>
      <w:numFmt w:val="decimal"/>
      <w:lvlText w:val="%4."/>
      <w:lvlJc w:val="left"/>
      <w:pPr>
        <w:tabs>
          <w:tab w:val="num" w:pos="2579"/>
        </w:tabs>
        <w:ind w:left="2579" w:hanging="360"/>
      </w:pPr>
      <w:rPr>
        <w:rFonts w:cs="Times New Roman"/>
      </w:rPr>
    </w:lvl>
    <w:lvl w:ilvl="4" w:tplc="04020019" w:tentative="1">
      <w:start w:val="1"/>
      <w:numFmt w:val="lowerLetter"/>
      <w:lvlText w:val="%5."/>
      <w:lvlJc w:val="left"/>
      <w:pPr>
        <w:tabs>
          <w:tab w:val="num" w:pos="3299"/>
        </w:tabs>
        <w:ind w:left="3299" w:hanging="360"/>
      </w:pPr>
      <w:rPr>
        <w:rFonts w:cs="Times New Roman"/>
      </w:rPr>
    </w:lvl>
    <w:lvl w:ilvl="5" w:tplc="0402001B" w:tentative="1">
      <w:start w:val="1"/>
      <w:numFmt w:val="lowerRoman"/>
      <w:lvlText w:val="%6."/>
      <w:lvlJc w:val="right"/>
      <w:pPr>
        <w:tabs>
          <w:tab w:val="num" w:pos="4019"/>
        </w:tabs>
        <w:ind w:left="4019" w:hanging="180"/>
      </w:pPr>
      <w:rPr>
        <w:rFonts w:cs="Times New Roman"/>
      </w:rPr>
    </w:lvl>
    <w:lvl w:ilvl="6" w:tplc="0402000F" w:tentative="1">
      <w:start w:val="1"/>
      <w:numFmt w:val="decimal"/>
      <w:lvlText w:val="%7."/>
      <w:lvlJc w:val="left"/>
      <w:pPr>
        <w:tabs>
          <w:tab w:val="num" w:pos="4739"/>
        </w:tabs>
        <w:ind w:left="4739" w:hanging="360"/>
      </w:pPr>
      <w:rPr>
        <w:rFonts w:cs="Times New Roman"/>
      </w:rPr>
    </w:lvl>
    <w:lvl w:ilvl="7" w:tplc="04020019" w:tentative="1">
      <w:start w:val="1"/>
      <w:numFmt w:val="lowerLetter"/>
      <w:lvlText w:val="%8."/>
      <w:lvlJc w:val="left"/>
      <w:pPr>
        <w:tabs>
          <w:tab w:val="num" w:pos="5459"/>
        </w:tabs>
        <w:ind w:left="5459" w:hanging="360"/>
      </w:pPr>
      <w:rPr>
        <w:rFonts w:cs="Times New Roman"/>
      </w:rPr>
    </w:lvl>
    <w:lvl w:ilvl="8" w:tplc="0402001B" w:tentative="1">
      <w:start w:val="1"/>
      <w:numFmt w:val="lowerRoman"/>
      <w:lvlText w:val="%9."/>
      <w:lvlJc w:val="right"/>
      <w:pPr>
        <w:tabs>
          <w:tab w:val="num" w:pos="6179"/>
        </w:tabs>
        <w:ind w:left="6179" w:hanging="180"/>
      </w:pPr>
      <w:rPr>
        <w:rFonts w:cs="Times New Roman"/>
      </w:rPr>
    </w:lvl>
  </w:abstractNum>
  <w:abstractNum w:abstractNumId="10" w15:restartNumberingAfterBreak="0">
    <w:nsid w:val="2615366C"/>
    <w:multiLevelType w:val="hybridMultilevel"/>
    <w:tmpl w:val="515A3DCA"/>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1" w15:restartNumberingAfterBreak="0">
    <w:nsid w:val="33FF088E"/>
    <w:multiLevelType w:val="hybridMultilevel"/>
    <w:tmpl w:val="A456EA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652315F"/>
    <w:multiLevelType w:val="hybridMultilevel"/>
    <w:tmpl w:val="503457B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3" w15:restartNumberingAfterBreak="0">
    <w:nsid w:val="3BA9767D"/>
    <w:multiLevelType w:val="hybridMultilevel"/>
    <w:tmpl w:val="093ED6FC"/>
    <w:lvl w:ilvl="0" w:tplc="0402000F">
      <w:start w:val="1"/>
      <w:numFmt w:val="decimal"/>
      <w:lvlText w:val="%1."/>
      <w:lvlJc w:val="left"/>
      <w:pPr>
        <w:ind w:left="61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C595FE0"/>
    <w:multiLevelType w:val="hybridMultilevel"/>
    <w:tmpl w:val="88D4B5F8"/>
    <w:lvl w:ilvl="0" w:tplc="0000000E">
      <w:numFmt w:val="bullet"/>
      <w:lvlText w:val="-"/>
      <w:lvlJc w:val="left"/>
      <w:pPr>
        <w:tabs>
          <w:tab w:val="num" w:pos="1080"/>
        </w:tabs>
        <w:ind w:left="1080" w:hanging="360"/>
      </w:pPr>
      <w:rPr>
        <w:rFonts w:ascii="Times New Roman" w:hAnsi="Times New Roman" w:hint="default"/>
        <w:color w:val="auto"/>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45CA2"/>
    <w:multiLevelType w:val="hybridMultilevel"/>
    <w:tmpl w:val="DFF8D4B4"/>
    <w:lvl w:ilvl="0" w:tplc="CB28748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2BF6236"/>
    <w:multiLevelType w:val="hybridMultilevel"/>
    <w:tmpl w:val="0D9ED81E"/>
    <w:lvl w:ilvl="0" w:tplc="089A5E1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40E1618"/>
    <w:multiLevelType w:val="hybridMultilevel"/>
    <w:tmpl w:val="DEBED3D2"/>
    <w:lvl w:ilvl="0" w:tplc="0402000F">
      <w:start w:val="1"/>
      <w:numFmt w:val="decimal"/>
      <w:lvlText w:val="%1."/>
      <w:lvlJc w:val="left"/>
      <w:pPr>
        <w:ind w:left="61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620752C"/>
    <w:multiLevelType w:val="hybridMultilevel"/>
    <w:tmpl w:val="D352726E"/>
    <w:lvl w:ilvl="0" w:tplc="0402000F">
      <w:start w:val="1"/>
      <w:numFmt w:val="decimal"/>
      <w:lvlText w:val="%1."/>
      <w:lvlJc w:val="left"/>
      <w:pPr>
        <w:ind w:left="61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AA56B00"/>
    <w:multiLevelType w:val="hybridMultilevel"/>
    <w:tmpl w:val="571408BA"/>
    <w:lvl w:ilvl="0" w:tplc="1968EDE2">
      <w:numFmt w:val="bullet"/>
      <w:lvlText w:val="-"/>
      <w:lvlJc w:val="left"/>
      <w:pPr>
        <w:tabs>
          <w:tab w:val="num" w:pos="1069"/>
        </w:tabs>
        <w:ind w:left="1069" w:hanging="360"/>
      </w:pPr>
      <w:rPr>
        <w:rFonts w:ascii="Times New Roman" w:hAnsi="Times New Roman" w:cs="Times New Roman" w:hint="default"/>
        <w:b/>
        <w:color w:val="auto"/>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0" w15:restartNumberingAfterBreak="0">
    <w:nsid w:val="4BDF6FF0"/>
    <w:multiLevelType w:val="hybridMultilevel"/>
    <w:tmpl w:val="7A4E8900"/>
    <w:lvl w:ilvl="0" w:tplc="0402000F">
      <w:start w:val="1"/>
      <w:numFmt w:val="decimal"/>
      <w:lvlText w:val="%1."/>
      <w:lvlJc w:val="left"/>
      <w:pPr>
        <w:ind w:left="61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CE77E9A"/>
    <w:multiLevelType w:val="hybridMultilevel"/>
    <w:tmpl w:val="388253B2"/>
    <w:lvl w:ilvl="0" w:tplc="A0C2DFF0">
      <w:start w:val="1"/>
      <w:numFmt w:val="upperRoman"/>
      <w:lvlText w:val="%1."/>
      <w:lvlJc w:val="left"/>
      <w:pPr>
        <w:tabs>
          <w:tab w:val="num" w:pos="-301"/>
        </w:tabs>
        <w:ind w:left="419" w:hanging="419"/>
      </w:pPr>
      <w:rPr>
        <w:rFonts w:cs="Times New Roman" w:hint="default"/>
      </w:rPr>
    </w:lvl>
    <w:lvl w:ilvl="1" w:tplc="1ED4000A">
      <w:start w:val="1"/>
      <w:numFmt w:val="decimal"/>
      <w:lvlText w:val="%2."/>
      <w:lvlJc w:val="left"/>
      <w:pPr>
        <w:tabs>
          <w:tab w:val="num" w:pos="910"/>
        </w:tabs>
        <w:ind w:left="419" w:hanging="360"/>
      </w:pPr>
      <w:rPr>
        <w:rFonts w:cs="Times New Roman" w:hint="default"/>
      </w:rPr>
    </w:lvl>
    <w:lvl w:ilvl="2" w:tplc="0402001B" w:tentative="1">
      <w:start w:val="1"/>
      <w:numFmt w:val="lowerRoman"/>
      <w:lvlText w:val="%3."/>
      <w:lvlJc w:val="right"/>
      <w:pPr>
        <w:tabs>
          <w:tab w:val="num" w:pos="1139"/>
        </w:tabs>
        <w:ind w:left="1139" w:hanging="180"/>
      </w:pPr>
      <w:rPr>
        <w:rFonts w:cs="Times New Roman"/>
      </w:rPr>
    </w:lvl>
    <w:lvl w:ilvl="3" w:tplc="0402000F" w:tentative="1">
      <w:start w:val="1"/>
      <w:numFmt w:val="decimal"/>
      <w:lvlText w:val="%4."/>
      <w:lvlJc w:val="left"/>
      <w:pPr>
        <w:tabs>
          <w:tab w:val="num" w:pos="1859"/>
        </w:tabs>
        <w:ind w:left="1859" w:hanging="360"/>
      </w:pPr>
      <w:rPr>
        <w:rFonts w:cs="Times New Roman"/>
      </w:rPr>
    </w:lvl>
    <w:lvl w:ilvl="4" w:tplc="04020019" w:tentative="1">
      <w:start w:val="1"/>
      <w:numFmt w:val="lowerLetter"/>
      <w:lvlText w:val="%5."/>
      <w:lvlJc w:val="left"/>
      <w:pPr>
        <w:tabs>
          <w:tab w:val="num" w:pos="2579"/>
        </w:tabs>
        <w:ind w:left="2579" w:hanging="360"/>
      </w:pPr>
      <w:rPr>
        <w:rFonts w:cs="Times New Roman"/>
      </w:rPr>
    </w:lvl>
    <w:lvl w:ilvl="5" w:tplc="0402001B" w:tentative="1">
      <w:start w:val="1"/>
      <w:numFmt w:val="lowerRoman"/>
      <w:lvlText w:val="%6."/>
      <w:lvlJc w:val="right"/>
      <w:pPr>
        <w:tabs>
          <w:tab w:val="num" w:pos="3299"/>
        </w:tabs>
        <w:ind w:left="3299" w:hanging="180"/>
      </w:pPr>
      <w:rPr>
        <w:rFonts w:cs="Times New Roman"/>
      </w:rPr>
    </w:lvl>
    <w:lvl w:ilvl="6" w:tplc="0402000F" w:tentative="1">
      <w:start w:val="1"/>
      <w:numFmt w:val="decimal"/>
      <w:lvlText w:val="%7."/>
      <w:lvlJc w:val="left"/>
      <w:pPr>
        <w:tabs>
          <w:tab w:val="num" w:pos="4019"/>
        </w:tabs>
        <w:ind w:left="4019" w:hanging="360"/>
      </w:pPr>
      <w:rPr>
        <w:rFonts w:cs="Times New Roman"/>
      </w:rPr>
    </w:lvl>
    <w:lvl w:ilvl="7" w:tplc="04020019" w:tentative="1">
      <w:start w:val="1"/>
      <w:numFmt w:val="lowerLetter"/>
      <w:lvlText w:val="%8."/>
      <w:lvlJc w:val="left"/>
      <w:pPr>
        <w:tabs>
          <w:tab w:val="num" w:pos="4739"/>
        </w:tabs>
        <w:ind w:left="4739" w:hanging="360"/>
      </w:pPr>
      <w:rPr>
        <w:rFonts w:cs="Times New Roman"/>
      </w:rPr>
    </w:lvl>
    <w:lvl w:ilvl="8" w:tplc="0402001B" w:tentative="1">
      <w:start w:val="1"/>
      <w:numFmt w:val="lowerRoman"/>
      <w:lvlText w:val="%9."/>
      <w:lvlJc w:val="right"/>
      <w:pPr>
        <w:tabs>
          <w:tab w:val="num" w:pos="5459"/>
        </w:tabs>
        <w:ind w:left="5459" w:hanging="180"/>
      </w:pPr>
      <w:rPr>
        <w:rFonts w:cs="Times New Roman"/>
      </w:rPr>
    </w:lvl>
  </w:abstractNum>
  <w:abstractNum w:abstractNumId="22" w15:restartNumberingAfterBreak="0">
    <w:nsid w:val="4FB92D48"/>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FF364AF"/>
    <w:multiLevelType w:val="hybridMultilevel"/>
    <w:tmpl w:val="48FECCC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4" w15:restartNumberingAfterBreak="0">
    <w:nsid w:val="516428AB"/>
    <w:multiLevelType w:val="hybridMultilevel"/>
    <w:tmpl w:val="DEBED3D2"/>
    <w:lvl w:ilvl="0" w:tplc="0402000F">
      <w:start w:val="1"/>
      <w:numFmt w:val="decimal"/>
      <w:lvlText w:val="%1."/>
      <w:lvlJc w:val="left"/>
      <w:pPr>
        <w:ind w:left="61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19B6432"/>
    <w:multiLevelType w:val="hybridMultilevel"/>
    <w:tmpl w:val="623AE99E"/>
    <w:lvl w:ilvl="0" w:tplc="04090001">
      <w:start w:val="1"/>
      <w:numFmt w:val="bullet"/>
      <w:lvlText w:val=""/>
      <w:lvlJc w:val="left"/>
      <w:pPr>
        <w:ind w:left="1066" w:hanging="360"/>
      </w:pPr>
      <w:rPr>
        <w:rFonts w:ascii="Symbol" w:hAnsi="Symbol" w:hint="default"/>
      </w:rPr>
    </w:lvl>
    <w:lvl w:ilvl="1" w:tplc="04090003">
      <w:start w:val="1"/>
      <w:numFmt w:val="bullet"/>
      <w:lvlText w:val="o"/>
      <w:lvlJc w:val="left"/>
      <w:pPr>
        <w:ind w:left="1786" w:hanging="360"/>
      </w:pPr>
      <w:rPr>
        <w:rFonts w:ascii="Courier New" w:hAnsi="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6" w15:restartNumberingAfterBreak="0">
    <w:nsid w:val="54F90D1D"/>
    <w:multiLevelType w:val="hybridMultilevel"/>
    <w:tmpl w:val="721AB256"/>
    <w:lvl w:ilvl="0" w:tplc="21ECDBF0">
      <w:start w:val="1"/>
      <w:numFmt w:val="decimal"/>
      <w:lvlText w:val="%1."/>
      <w:lvlJc w:val="left"/>
      <w:pPr>
        <w:ind w:left="900" w:hanging="360"/>
      </w:pPr>
      <w:rPr>
        <w:rFonts w:cs="Times New Roman"/>
        <w:sz w:val="22"/>
        <w:szCs w:val="22"/>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7" w15:restartNumberingAfterBreak="0">
    <w:nsid w:val="54F91906"/>
    <w:multiLevelType w:val="multilevel"/>
    <w:tmpl w:val="04020023"/>
    <w:styleLink w:val="ArticleSection"/>
    <w:lvl w:ilvl="0">
      <w:start w:val="1"/>
      <w:numFmt w:val="upperRoman"/>
      <w:pStyle w:val="Heading1"/>
      <w:lvlText w:val="Article %1."/>
      <w:lvlJc w:val="left"/>
      <w:pPr>
        <w:tabs>
          <w:tab w:val="num" w:pos="3142"/>
        </w:tabs>
        <w:ind w:left="1702"/>
      </w:pPr>
      <w:rPr>
        <w:rFonts w:cs="Times New Roman"/>
      </w:rPr>
    </w:lvl>
    <w:lvl w:ilvl="1">
      <w:start w:val="1"/>
      <w:numFmt w:val="decimalZero"/>
      <w:pStyle w:val="Heading2"/>
      <w:isLgl/>
      <w:lvlText w:val="Section %1.%2"/>
      <w:lvlJc w:val="left"/>
      <w:pPr>
        <w:tabs>
          <w:tab w:val="num" w:pos="3142"/>
        </w:tabs>
        <w:ind w:left="1702"/>
      </w:pPr>
      <w:rPr>
        <w:rFonts w:cs="Times New Roman"/>
      </w:rPr>
    </w:lvl>
    <w:lvl w:ilvl="2">
      <w:start w:val="1"/>
      <w:numFmt w:val="lowerLetter"/>
      <w:pStyle w:val="Heading3"/>
      <w:lvlText w:val="(%3)"/>
      <w:lvlJc w:val="left"/>
      <w:pPr>
        <w:tabs>
          <w:tab w:val="num" w:pos="2422"/>
        </w:tabs>
        <w:ind w:left="2422" w:hanging="432"/>
      </w:pPr>
      <w:rPr>
        <w:rFonts w:cs="Times New Roman"/>
      </w:rPr>
    </w:lvl>
    <w:lvl w:ilvl="3">
      <w:start w:val="1"/>
      <w:numFmt w:val="lowerRoman"/>
      <w:pStyle w:val="Heading4"/>
      <w:lvlText w:val="(%4)"/>
      <w:lvlJc w:val="right"/>
      <w:pPr>
        <w:tabs>
          <w:tab w:val="num" w:pos="2566"/>
        </w:tabs>
        <w:ind w:left="2566" w:hanging="144"/>
      </w:pPr>
      <w:rPr>
        <w:rFonts w:cs="Times New Roman"/>
      </w:rPr>
    </w:lvl>
    <w:lvl w:ilvl="4">
      <w:start w:val="1"/>
      <w:numFmt w:val="decimal"/>
      <w:pStyle w:val="Heading5"/>
      <w:lvlText w:val="%5)"/>
      <w:lvlJc w:val="left"/>
      <w:pPr>
        <w:tabs>
          <w:tab w:val="num" w:pos="2710"/>
        </w:tabs>
        <w:ind w:left="2710" w:hanging="432"/>
      </w:pPr>
      <w:rPr>
        <w:rFonts w:cs="Times New Roman"/>
      </w:rPr>
    </w:lvl>
    <w:lvl w:ilvl="5">
      <w:start w:val="1"/>
      <w:numFmt w:val="lowerLetter"/>
      <w:pStyle w:val="Heading6"/>
      <w:lvlText w:val="%6)"/>
      <w:lvlJc w:val="left"/>
      <w:pPr>
        <w:tabs>
          <w:tab w:val="num" w:pos="2854"/>
        </w:tabs>
        <w:ind w:left="2854" w:hanging="432"/>
      </w:pPr>
      <w:rPr>
        <w:rFonts w:cs="Times New Roman"/>
      </w:rPr>
    </w:lvl>
    <w:lvl w:ilvl="6">
      <w:start w:val="1"/>
      <w:numFmt w:val="lowerRoman"/>
      <w:pStyle w:val="Heading7"/>
      <w:lvlText w:val="%7)"/>
      <w:lvlJc w:val="right"/>
      <w:pPr>
        <w:tabs>
          <w:tab w:val="num" w:pos="2998"/>
        </w:tabs>
        <w:ind w:left="2998" w:hanging="288"/>
      </w:pPr>
      <w:rPr>
        <w:rFonts w:cs="Times New Roman"/>
      </w:rPr>
    </w:lvl>
    <w:lvl w:ilvl="7">
      <w:start w:val="1"/>
      <w:numFmt w:val="lowerLetter"/>
      <w:pStyle w:val="Heading8"/>
      <w:lvlText w:val="%8."/>
      <w:lvlJc w:val="left"/>
      <w:pPr>
        <w:tabs>
          <w:tab w:val="num" w:pos="3142"/>
        </w:tabs>
        <w:ind w:left="3142" w:hanging="432"/>
      </w:pPr>
      <w:rPr>
        <w:rFonts w:cs="Times New Roman"/>
      </w:rPr>
    </w:lvl>
    <w:lvl w:ilvl="8">
      <w:start w:val="1"/>
      <w:numFmt w:val="lowerRoman"/>
      <w:pStyle w:val="Heading9"/>
      <w:lvlText w:val="%9."/>
      <w:lvlJc w:val="right"/>
      <w:pPr>
        <w:tabs>
          <w:tab w:val="num" w:pos="3286"/>
        </w:tabs>
        <w:ind w:left="3286" w:hanging="144"/>
      </w:pPr>
      <w:rPr>
        <w:rFonts w:cs="Times New Roman"/>
      </w:rPr>
    </w:lvl>
  </w:abstractNum>
  <w:abstractNum w:abstractNumId="28" w15:restartNumberingAfterBreak="0">
    <w:nsid w:val="55A438CE"/>
    <w:multiLevelType w:val="hybridMultilevel"/>
    <w:tmpl w:val="094AC37E"/>
    <w:lvl w:ilvl="0" w:tplc="73A611C4">
      <w:start w:val="1"/>
      <w:numFmt w:val="upperRoman"/>
      <w:lvlText w:val="%1."/>
      <w:lvlJc w:val="left"/>
      <w:pPr>
        <w:ind w:left="780" w:hanging="720"/>
      </w:pPr>
      <w:rPr>
        <w:rFonts w:hint="default"/>
        <w:b/>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9" w15:restartNumberingAfterBreak="0">
    <w:nsid w:val="56641458"/>
    <w:multiLevelType w:val="hybridMultilevel"/>
    <w:tmpl w:val="6EFC1D8E"/>
    <w:lvl w:ilvl="0" w:tplc="4F6EB3BE">
      <w:start w:val="1"/>
      <w:numFmt w:val="bullet"/>
      <w:lvlText w:val=""/>
      <w:lvlJc w:val="left"/>
      <w:pPr>
        <w:tabs>
          <w:tab w:val="num" w:pos="1673"/>
        </w:tabs>
        <w:ind w:left="709" w:firstLine="567"/>
      </w:pPr>
      <w:rPr>
        <w:rFonts w:ascii="Symbol" w:hAnsi="Symbol" w:hint="default"/>
        <w:color w:val="auto"/>
      </w:rPr>
    </w:lvl>
    <w:lvl w:ilvl="1" w:tplc="04020003">
      <w:start w:val="1"/>
      <w:numFmt w:val="bullet"/>
      <w:lvlText w:val="o"/>
      <w:lvlJc w:val="left"/>
      <w:pPr>
        <w:tabs>
          <w:tab w:val="num" w:pos="2149"/>
        </w:tabs>
        <w:ind w:left="2149" w:hanging="360"/>
      </w:pPr>
      <w:rPr>
        <w:rFonts w:ascii="Courier New" w:hAnsi="Courier New" w:hint="default"/>
      </w:rPr>
    </w:lvl>
    <w:lvl w:ilvl="2" w:tplc="04020005">
      <w:start w:val="1"/>
      <w:numFmt w:val="bullet"/>
      <w:lvlText w:val=""/>
      <w:lvlJc w:val="left"/>
      <w:pPr>
        <w:tabs>
          <w:tab w:val="num" w:pos="2869"/>
        </w:tabs>
        <w:ind w:left="2869" w:hanging="360"/>
      </w:pPr>
      <w:rPr>
        <w:rFonts w:ascii="Wingdings" w:hAnsi="Wingdings" w:hint="default"/>
      </w:rPr>
    </w:lvl>
    <w:lvl w:ilvl="3" w:tplc="04020001">
      <w:start w:val="1"/>
      <w:numFmt w:val="bullet"/>
      <w:lvlText w:val=""/>
      <w:lvlJc w:val="left"/>
      <w:pPr>
        <w:tabs>
          <w:tab w:val="num" w:pos="3589"/>
        </w:tabs>
        <w:ind w:left="3589" w:hanging="360"/>
      </w:pPr>
      <w:rPr>
        <w:rFonts w:ascii="Symbol" w:hAnsi="Symbol" w:hint="default"/>
      </w:rPr>
    </w:lvl>
    <w:lvl w:ilvl="4" w:tplc="04020003">
      <w:start w:val="1"/>
      <w:numFmt w:val="bullet"/>
      <w:lvlText w:val="o"/>
      <w:lvlJc w:val="left"/>
      <w:pPr>
        <w:tabs>
          <w:tab w:val="num" w:pos="4309"/>
        </w:tabs>
        <w:ind w:left="4309" w:hanging="360"/>
      </w:pPr>
      <w:rPr>
        <w:rFonts w:ascii="Courier New" w:hAnsi="Courier New" w:hint="default"/>
      </w:rPr>
    </w:lvl>
    <w:lvl w:ilvl="5" w:tplc="04020005">
      <w:start w:val="1"/>
      <w:numFmt w:val="bullet"/>
      <w:lvlText w:val=""/>
      <w:lvlJc w:val="left"/>
      <w:pPr>
        <w:tabs>
          <w:tab w:val="num" w:pos="5029"/>
        </w:tabs>
        <w:ind w:left="5029" w:hanging="360"/>
      </w:pPr>
      <w:rPr>
        <w:rFonts w:ascii="Wingdings" w:hAnsi="Wingdings" w:hint="default"/>
      </w:rPr>
    </w:lvl>
    <w:lvl w:ilvl="6" w:tplc="04020001">
      <w:start w:val="1"/>
      <w:numFmt w:val="bullet"/>
      <w:lvlText w:val=""/>
      <w:lvlJc w:val="left"/>
      <w:pPr>
        <w:tabs>
          <w:tab w:val="num" w:pos="5749"/>
        </w:tabs>
        <w:ind w:left="5749" w:hanging="360"/>
      </w:pPr>
      <w:rPr>
        <w:rFonts w:ascii="Symbol" w:hAnsi="Symbol" w:hint="default"/>
      </w:rPr>
    </w:lvl>
    <w:lvl w:ilvl="7" w:tplc="04020003">
      <w:start w:val="1"/>
      <w:numFmt w:val="bullet"/>
      <w:lvlText w:val="o"/>
      <w:lvlJc w:val="left"/>
      <w:pPr>
        <w:tabs>
          <w:tab w:val="num" w:pos="6469"/>
        </w:tabs>
        <w:ind w:left="6469" w:hanging="360"/>
      </w:pPr>
      <w:rPr>
        <w:rFonts w:ascii="Courier New" w:hAnsi="Courier New" w:hint="default"/>
      </w:rPr>
    </w:lvl>
    <w:lvl w:ilvl="8" w:tplc="04020005">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69716B3"/>
    <w:multiLevelType w:val="hybridMultilevel"/>
    <w:tmpl w:val="EFAC1E0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145" w:hanging="705"/>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7842C26"/>
    <w:multiLevelType w:val="hybridMultilevel"/>
    <w:tmpl w:val="E536F5C2"/>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2" w15:restartNumberingAfterBreak="0">
    <w:nsid w:val="5CAE38DC"/>
    <w:multiLevelType w:val="hybridMultilevel"/>
    <w:tmpl w:val="F6388B6C"/>
    <w:lvl w:ilvl="0" w:tplc="DA080C0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5F0B63AC"/>
    <w:multiLevelType w:val="hybridMultilevel"/>
    <w:tmpl w:val="2710DD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5FA34812"/>
    <w:multiLevelType w:val="hybridMultilevel"/>
    <w:tmpl w:val="093ED6FC"/>
    <w:lvl w:ilvl="0" w:tplc="0402000F">
      <w:start w:val="1"/>
      <w:numFmt w:val="decimal"/>
      <w:lvlText w:val="%1."/>
      <w:lvlJc w:val="left"/>
      <w:pPr>
        <w:ind w:left="61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5FA513CA"/>
    <w:multiLevelType w:val="hybridMultilevel"/>
    <w:tmpl w:val="34BC7B1C"/>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6" w15:restartNumberingAfterBreak="0">
    <w:nsid w:val="601003B3"/>
    <w:multiLevelType w:val="hybridMultilevel"/>
    <w:tmpl w:val="667AD222"/>
    <w:lvl w:ilvl="0" w:tplc="0402000F">
      <w:start w:val="1"/>
      <w:numFmt w:val="decimal"/>
      <w:lvlText w:val="%1."/>
      <w:lvlJc w:val="left"/>
      <w:pPr>
        <w:ind w:left="61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17C2A8D"/>
    <w:multiLevelType w:val="multilevel"/>
    <w:tmpl w:val="5E60F0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8" w15:restartNumberingAfterBreak="0">
    <w:nsid w:val="626635B0"/>
    <w:multiLevelType w:val="hybridMultilevel"/>
    <w:tmpl w:val="E2A46BEC"/>
    <w:lvl w:ilvl="0" w:tplc="B15E0BBC">
      <w:start w:val="1"/>
      <w:numFmt w:val="bullet"/>
      <w:lvlText w:val="-"/>
      <w:lvlJc w:val="left"/>
      <w:pPr>
        <w:ind w:left="1429" w:hanging="360"/>
      </w:pPr>
      <w:rPr>
        <w:rFonts w:ascii="Times New Roman" w:hAnsi="Times New Roman" w:hint="default"/>
      </w:rPr>
    </w:lvl>
    <w:lvl w:ilvl="1" w:tplc="04020003" w:tentative="1">
      <w:start w:val="1"/>
      <w:numFmt w:val="bullet"/>
      <w:lvlText w:val="o"/>
      <w:lvlJc w:val="left"/>
      <w:pPr>
        <w:ind w:left="2149" w:hanging="360"/>
      </w:pPr>
      <w:rPr>
        <w:rFonts w:ascii="Courier New" w:hAnsi="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9" w15:restartNumberingAfterBreak="0">
    <w:nsid w:val="645028B0"/>
    <w:multiLevelType w:val="hybridMultilevel"/>
    <w:tmpl w:val="7BB8BFCA"/>
    <w:lvl w:ilvl="0" w:tplc="0402000F">
      <w:start w:val="1"/>
      <w:numFmt w:val="decimal"/>
      <w:lvlText w:val="%1."/>
      <w:lvlJc w:val="left"/>
      <w:pPr>
        <w:ind w:left="61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8F00107"/>
    <w:multiLevelType w:val="hybridMultilevel"/>
    <w:tmpl w:val="68447B16"/>
    <w:lvl w:ilvl="0" w:tplc="0402000F">
      <w:start w:val="1"/>
      <w:numFmt w:val="decimal"/>
      <w:lvlText w:val="%1."/>
      <w:lvlJc w:val="left"/>
      <w:pPr>
        <w:ind w:left="61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6A8D6F1E"/>
    <w:multiLevelType w:val="hybridMultilevel"/>
    <w:tmpl w:val="C0669E54"/>
    <w:lvl w:ilvl="0" w:tplc="50B6DBDA">
      <w:start w:val="1"/>
      <w:numFmt w:val="upperRoman"/>
      <w:lvlText w:val="%1."/>
      <w:lvlJc w:val="left"/>
      <w:pPr>
        <w:ind w:left="1430" w:hanging="72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42" w15:restartNumberingAfterBreak="0">
    <w:nsid w:val="71F50D50"/>
    <w:multiLevelType w:val="hybridMultilevel"/>
    <w:tmpl w:val="2DAA3546"/>
    <w:lvl w:ilvl="0" w:tplc="0402000F">
      <w:start w:val="1"/>
      <w:numFmt w:val="decimal"/>
      <w:lvlText w:val="%1."/>
      <w:lvlJc w:val="left"/>
      <w:pPr>
        <w:ind w:left="61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43277EA"/>
    <w:multiLevelType w:val="hybridMultilevel"/>
    <w:tmpl w:val="36084536"/>
    <w:lvl w:ilvl="0" w:tplc="8F1CCB64">
      <w:numFmt w:val="bullet"/>
      <w:lvlText w:val="-"/>
      <w:lvlJc w:val="left"/>
      <w:pPr>
        <w:ind w:left="1069" w:hanging="360"/>
      </w:pPr>
      <w:rPr>
        <w:rFonts w:ascii="Times New Roman" w:eastAsia="Times New Roman" w:hAnsi="Times New Roman" w:hint="default"/>
      </w:rPr>
    </w:lvl>
    <w:lvl w:ilvl="1" w:tplc="04020003" w:tentative="1">
      <w:start w:val="1"/>
      <w:numFmt w:val="bullet"/>
      <w:lvlText w:val="o"/>
      <w:lvlJc w:val="left"/>
      <w:pPr>
        <w:ind w:left="1789" w:hanging="360"/>
      </w:pPr>
      <w:rPr>
        <w:rFonts w:ascii="Courier New" w:hAnsi="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4" w15:restartNumberingAfterBreak="0">
    <w:nsid w:val="7A2A6761"/>
    <w:multiLevelType w:val="hybridMultilevel"/>
    <w:tmpl w:val="A40ABC3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7BE66D97"/>
    <w:multiLevelType w:val="singleLevel"/>
    <w:tmpl w:val="CBAAB048"/>
    <w:name w:val="Tiret 0"/>
    <w:lvl w:ilvl="0">
      <w:start w:val="1"/>
      <w:numFmt w:val="bullet"/>
      <w:pStyle w:val="Tiret0"/>
      <w:lvlText w:val="–"/>
      <w:lvlJc w:val="left"/>
      <w:pPr>
        <w:tabs>
          <w:tab w:val="num" w:pos="850"/>
        </w:tabs>
        <w:ind w:left="850" w:hanging="850"/>
      </w:pPr>
    </w:lvl>
  </w:abstractNum>
  <w:abstractNum w:abstractNumId="46" w15:restartNumberingAfterBreak="0">
    <w:nsid w:val="7CAD3DEB"/>
    <w:multiLevelType w:val="hybridMultilevel"/>
    <w:tmpl w:val="5638FDE6"/>
    <w:lvl w:ilvl="0" w:tplc="04090001">
      <w:start w:val="1"/>
      <w:numFmt w:val="bullet"/>
      <w:lvlText w:val=""/>
      <w:lvlJc w:val="left"/>
      <w:pPr>
        <w:ind w:left="1233" w:hanging="360"/>
      </w:pPr>
      <w:rPr>
        <w:rFonts w:ascii="Symbol" w:hAnsi="Symbol" w:hint="default"/>
      </w:rPr>
    </w:lvl>
    <w:lvl w:ilvl="1" w:tplc="F6F499BA">
      <w:numFmt w:val="bullet"/>
      <w:lvlText w:val="-"/>
      <w:lvlJc w:val="left"/>
      <w:pPr>
        <w:ind w:left="2298" w:hanging="705"/>
      </w:pPr>
      <w:rPr>
        <w:rFonts w:ascii="Times New Roman" w:eastAsia="Times New Roman" w:hAnsi="Times New Roman" w:hint="default"/>
      </w:rPr>
    </w:lvl>
    <w:lvl w:ilvl="2" w:tplc="04090005">
      <w:start w:val="1"/>
      <w:numFmt w:val="bullet"/>
      <w:lvlText w:val=""/>
      <w:lvlJc w:val="left"/>
      <w:pPr>
        <w:ind w:left="2673" w:hanging="360"/>
      </w:pPr>
      <w:rPr>
        <w:rFonts w:ascii="Wingdings" w:hAnsi="Wingdings" w:hint="default"/>
      </w:rPr>
    </w:lvl>
    <w:lvl w:ilvl="3" w:tplc="04090001">
      <w:start w:val="1"/>
      <w:numFmt w:val="bullet"/>
      <w:lvlText w:val=""/>
      <w:lvlJc w:val="left"/>
      <w:pPr>
        <w:ind w:left="3393" w:hanging="360"/>
      </w:pPr>
      <w:rPr>
        <w:rFonts w:ascii="Symbol" w:hAnsi="Symbol" w:hint="default"/>
      </w:rPr>
    </w:lvl>
    <w:lvl w:ilvl="4" w:tplc="04090003">
      <w:start w:val="1"/>
      <w:numFmt w:val="bullet"/>
      <w:lvlText w:val="o"/>
      <w:lvlJc w:val="left"/>
      <w:pPr>
        <w:ind w:left="4113" w:hanging="360"/>
      </w:pPr>
      <w:rPr>
        <w:rFonts w:ascii="Courier New" w:hAnsi="Courier New" w:hint="default"/>
      </w:rPr>
    </w:lvl>
    <w:lvl w:ilvl="5" w:tplc="04090005">
      <w:start w:val="1"/>
      <w:numFmt w:val="bullet"/>
      <w:lvlText w:val=""/>
      <w:lvlJc w:val="left"/>
      <w:pPr>
        <w:ind w:left="4833" w:hanging="360"/>
      </w:pPr>
      <w:rPr>
        <w:rFonts w:ascii="Wingdings" w:hAnsi="Wingdings" w:hint="default"/>
      </w:rPr>
    </w:lvl>
    <w:lvl w:ilvl="6" w:tplc="04090001">
      <w:start w:val="1"/>
      <w:numFmt w:val="bullet"/>
      <w:lvlText w:val=""/>
      <w:lvlJc w:val="left"/>
      <w:pPr>
        <w:ind w:left="5553" w:hanging="360"/>
      </w:pPr>
      <w:rPr>
        <w:rFonts w:ascii="Symbol" w:hAnsi="Symbol" w:hint="default"/>
      </w:rPr>
    </w:lvl>
    <w:lvl w:ilvl="7" w:tplc="04090003">
      <w:start w:val="1"/>
      <w:numFmt w:val="bullet"/>
      <w:lvlText w:val="o"/>
      <w:lvlJc w:val="left"/>
      <w:pPr>
        <w:ind w:left="6273" w:hanging="360"/>
      </w:pPr>
      <w:rPr>
        <w:rFonts w:ascii="Courier New" w:hAnsi="Courier New" w:hint="default"/>
      </w:rPr>
    </w:lvl>
    <w:lvl w:ilvl="8" w:tplc="04090005">
      <w:start w:val="1"/>
      <w:numFmt w:val="bullet"/>
      <w:lvlText w:val=""/>
      <w:lvlJc w:val="left"/>
      <w:pPr>
        <w:ind w:left="6993" w:hanging="360"/>
      </w:pPr>
      <w:rPr>
        <w:rFonts w:ascii="Wingdings" w:hAnsi="Wingdings" w:hint="default"/>
      </w:rPr>
    </w:lvl>
  </w:abstractNum>
  <w:num w:numId="1" w16cid:durableId="52238969">
    <w:abstractNumId w:val="27"/>
  </w:num>
  <w:num w:numId="2" w16cid:durableId="1506701176">
    <w:abstractNumId w:val="37"/>
  </w:num>
  <w:num w:numId="3" w16cid:durableId="999576499">
    <w:abstractNumId w:val="21"/>
  </w:num>
  <w:num w:numId="4" w16cid:durableId="2127850514">
    <w:abstractNumId w:val="9"/>
  </w:num>
  <w:num w:numId="5" w16cid:durableId="2044942595">
    <w:abstractNumId w:val="14"/>
  </w:num>
  <w:num w:numId="6" w16cid:durableId="1053964395">
    <w:abstractNumId w:val="31"/>
  </w:num>
  <w:num w:numId="7" w16cid:durableId="707067969">
    <w:abstractNumId w:val="46"/>
  </w:num>
  <w:num w:numId="8" w16cid:durableId="989016671">
    <w:abstractNumId w:val="29"/>
  </w:num>
  <w:num w:numId="9" w16cid:durableId="588933034">
    <w:abstractNumId w:val="30"/>
  </w:num>
  <w:num w:numId="10" w16cid:durableId="1289553000">
    <w:abstractNumId w:val="2"/>
  </w:num>
  <w:num w:numId="11" w16cid:durableId="940919081">
    <w:abstractNumId w:val="25"/>
  </w:num>
  <w:num w:numId="12" w16cid:durableId="884634793">
    <w:abstractNumId w:val="3"/>
  </w:num>
  <w:num w:numId="13" w16cid:durableId="944077132">
    <w:abstractNumId w:val="26"/>
  </w:num>
  <w:num w:numId="14" w16cid:durableId="261841763">
    <w:abstractNumId w:val="45"/>
  </w:num>
  <w:num w:numId="15" w16cid:durableId="1064717807">
    <w:abstractNumId w:val="38"/>
  </w:num>
  <w:num w:numId="16" w16cid:durableId="286399312">
    <w:abstractNumId w:val="43"/>
  </w:num>
  <w:num w:numId="17" w16cid:durableId="1683971047">
    <w:abstractNumId w:val="12"/>
  </w:num>
  <w:num w:numId="18" w16cid:durableId="1793207952">
    <w:abstractNumId w:val="11"/>
  </w:num>
  <w:num w:numId="19" w16cid:durableId="1825271998">
    <w:abstractNumId w:val="7"/>
  </w:num>
  <w:num w:numId="20" w16cid:durableId="859666938">
    <w:abstractNumId w:val="22"/>
  </w:num>
  <w:num w:numId="21" w16cid:durableId="1678074328">
    <w:abstractNumId w:val="45"/>
  </w:num>
  <w:num w:numId="22" w16cid:durableId="403534085">
    <w:abstractNumId w:val="38"/>
  </w:num>
  <w:num w:numId="23" w16cid:durableId="1133904268">
    <w:abstractNumId w:val="44"/>
  </w:num>
  <w:num w:numId="24" w16cid:durableId="1000624004">
    <w:abstractNumId w:val="36"/>
  </w:num>
  <w:num w:numId="25" w16cid:durableId="632518711">
    <w:abstractNumId w:val="17"/>
  </w:num>
  <w:num w:numId="26" w16cid:durableId="368533513">
    <w:abstractNumId w:val="24"/>
  </w:num>
  <w:num w:numId="27" w16cid:durableId="893274844">
    <w:abstractNumId w:val="40"/>
  </w:num>
  <w:num w:numId="28" w16cid:durableId="1593659707">
    <w:abstractNumId w:val="34"/>
  </w:num>
  <w:num w:numId="29" w16cid:durableId="117722342">
    <w:abstractNumId w:val="13"/>
  </w:num>
  <w:num w:numId="30" w16cid:durableId="1855417198">
    <w:abstractNumId w:val="39"/>
  </w:num>
  <w:num w:numId="31" w16cid:durableId="1416971586">
    <w:abstractNumId w:val="18"/>
  </w:num>
  <w:num w:numId="32" w16cid:durableId="1654873600">
    <w:abstractNumId w:val="20"/>
  </w:num>
  <w:num w:numId="33" w16cid:durableId="1960986355">
    <w:abstractNumId w:val="42"/>
  </w:num>
  <w:num w:numId="34" w16cid:durableId="1738098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2632734">
    <w:abstractNumId w:val="8"/>
  </w:num>
  <w:num w:numId="36" w16cid:durableId="935164451">
    <w:abstractNumId w:val="15"/>
  </w:num>
  <w:num w:numId="37" w16cid:durableId="1964920809">
    <w:abstractNumId w:val="4"/>
  </w:num>
  <w:num w:numId="38" w16cid:durableId="1006126943">
    <w:abstractNumId w:val="33"/>
  </w:num>
  <w:num w:numId="39" w16cid:durableId="1815640945">
    <w:abstractNumId w:val="5"/>
  </w:num>
  <w:num w:numId="40" w16cid:durableId="252322791">
    <w:abstractNumId w:val="28"/>
  </w:num>
  <w:num w:numId="41" w16cid:durableId="1097214530">
    <w:abstractNumId w:val="41"/>
  </w:num>
  <w:num w:numId="42" w16cid:durableId="1399867297">
    <w:abstractNumId w:val="16"/>
  </w:num>
  <w:num w:numId="43" w16cid:durableId="1303851028">
    <w:abstractNumId w:val="23"/>
  </w:num>
  <w:num w:numId="44" w16cid:durableId="514727810">
    <w:abstractNumId w:val="6"/>
  </w:num>
  <w:num w:numId="45" w16cid:durableId="599417261">
    <w:abstractNumId w:val="35"/>
  </w:num>
  <w:num w:numId="46" w16cid:durableId="1334920567">
    <w:abstractNumId w:val="10"/>
  </w:num>
  <w:num w:numId="47" w16cid:durableId="977497552">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9"/>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C25"/>
    <w:rsid w:val="000003D9"/>
    <w:rsid w:val="00000BFA"/>
    <w:rsid w:val="0000124D"/>
    <w:rsid w:val="000028E5"/>
    <w:rsid w:val="00002929"/>
    <w:rsid w:val="00002C24"/>
    <w:rsid w:val="00002DAF"/>
    <w:rsid w:val="000032C4"/>
    <w:rsid w:val="00003617"/>
    <w:rsid w:val="00004DF3"/>
    <w:rsid w:val="00005783"/>
    <w:rsid w:val="00005D2D"/>
    <w:rsid w:val="000070F3"/>
    <w:rsid w:val="00007CBF"/>
    <w:rsid w:val="00010FE8"/>
    <w:rsid w:val="00016B2D"/>
    <w:rsid w:val="00020B04"/>
    <w:rsid w:val="00020F3F"/>
    <w:rsid w:val="00020F46"/>
    <w:rsid w:val="00021508"/>
    <w:rsid w:val="00021BC8"/>
    <w:rsid w:val="000232E9"/>
    <w:rsid w:val="00023A3A"/>
    <w:rsid w:val="00024527"/>
    <w:rsid w:val="0002483F"/>
    <w:rsid w:val="00024A0B"/>
    <w:rsid w:val="00024EF5"/>
    <w:rsid w:val="000252A4"/>
    <w:rsid w:val="00025A30"/>
    <w:rsid w:val="000266EF"/>
    <w:rsid w:val="00026906"/>
    <w:rsid w:val="00026BB6"/>
    <w:rsid w:val="00026D90"/>
    <w:rsid w:val="0002720F"/>
    <w:rsid w:val="00027ED8"/>
    <w:rsid w:val="000306C1"/>
    <w:rsid w:val="000307D1"/>
    <w:rsid w:val="00032D31"/>
    <w:rsid w:val="00032D5A"/>
    <w:rsid w:val="00032E26"/>
    <w:rsid w:val="00035133"/>
    <w:rsid w:val="00035B10"/>
    <w:rsid w:val="00036175"/>
    <w:rsid w:val="00036C07"/>
    <w:rsid w:val="00037B95"/>
    <w:rsid w:val="00040DBC"/>
    <w:rsid w:val="00041A34"/>
    <w:rsid w:val="000426B0"/>
    <w:rsid w:val="000428D0"/>
    <w:rsid w:val="00042BE4"/>
    <w:rsid w:val="00042D4B"/>
    <w:rsid w:val="00044917"/>
    <w:rsid w:val="00046705"/>
    <w:rsid w:val="000470F4"/>
    <w:rsid w:val="00047D52"/>
    <w:rsid w:val="00050378"/>
    <w:rsid w:val="00050400"/>
    <w:rsid w:val="0005078D"/>
    <w:rsid w:val="000511E8"/>
    <w:rsid w:val="000514BE"/>
    <w:rsid w:val="00052D4A"/>
    <w:rsid w:val="00055293"/>
    <w:rsid w:val="000601AF"/>
    <w:rsid w:val="000603CE"/>
    <w:rsid w:val="00061ED7"/>
    <w:rsid w:val="000625A0"/>
    <w:rsid w:val="000628E4"/>
    <w:rsid w:val="0006345A"/>
    <w:rsid w:val="00063DAC"/>
    <w:rsid w:val="00066B29"/>
    <w:rsid w:val="00071847"/>
    <w:rsid w:val="0007328A"/>
    <w:rsid w:val="00074057"/>
    <w:rsid w:val="00075604"/>
    <w:rsid w:val="000758BF"/>
    <w:rsid w:val="000759B1"/>
    <w:rsid w:val="000760D5"/>
    <w:rsid w:val="000764DE"/>
    <w:rsid w:val="000769BD"/>
    <w:rsid w:val="00077932"/>
    <w:rsid w:val="000802CF"/>
    <w:rsid w:val="00080E4C"/>
    <w:rsid w:val="000812CB"/>
    <w:rsid w:val="00081578"/>
    <w:rsid w:val="00081720"/>
    <w:rsid w:val="00082520"/>
    <w:rsid w:val="00082FE7"/>
    <w:rsid w:val="00084076"/>
    <w:rsid w:val="000864ED"/>
    <w:rsid w:val="000865A1"/>
    <w:rsid w:val="00087097"/>
    <w:rsid w:val="000878EB"/>
    <w:rsid w:val="00090AC2"/>
    <w:rsid w:val="00090C93"/>
    <w:rsid w:val="00090EB2"/>
    <w:rsid w:val="00091840"/>
    <w:rsid w:val="00091AD0"/>
    <w:rsid w:val="00092700"/>
    <w:rsid w:val="00092B5D"/>
    <w:rsid w:val="000935B4"/>
    <w:rsid w:val="000947E8"/>
    <w:rsid w:val="0009492D"/>
    <w:rsid w:val="00094C95"/>
    <w:rsid w:val="00095C1C"/>
    <w:rsid w:val="00096609"/>
    <w:rsid w:val="00097433"/>
    <w:rsid w:val="0009768D"/>
    <w:rsid w:val="000A0A93"/>
    <w:rsid w:val="000A0EB2"/>
    <w:rsid w:val="000A101A"/>
    <w:rsid w:val="000A211A"/>
    <w:rsid w:val="000A33EC"/>
    <w:rsid w:val="000A3B5C"/>
    <w:rsid w:val="000A4BA8"/>
    <w:rsid w:val="000A72AE"/>
    <w:rsid w:val="000A73F2"/>
    <w:rsid w:val="000A79AA"/>
    <w:rsid w:val="000A7F33"/>
    <w:rsid w:val="000B0170"/>
    <w:rsid w:val="000B2886"/>
    <w:rsid w:val="000B2ACF"/>
    <w:rsid w:val="000B2F8B"/>
    <w:rsid w:val="000B47AE"/>
    <w:rsid w:val="000B4DC7"/>
    <w:rsid w:val="000B51D2"/>
    <w:rsid w:val="000B632D"/>
    <w:rsid w:val="000B7215"/>
    <w:rsid w:val="000B7FD9"/>
    <w:rsid w:val="000C051F"/>
    <w:rsid w:val="000C1F1B"/>
    <w:rsid w:val="000C21A0"/>
    <w:rsid w:val="000C2AA4"/>
    <w:rsid w:val="000C2D5C"/>
    <w:rsid w:val="000C3738"/>
    <w:rsid w:val="000C5EFE"/>
    <w:rsid w:val="000C72F1"/>
    <w:rsid w:val="000D00E7"/>
    <w:rsid w:val="000D3887"/>
    <w:rsid w:val="000D4ACF"/>
    <w:rsid w:val="000D51CC"/>
    <w:rsid w:val="000D53F8"/>
    <w:rsid w:val="000D5749"/>
    <w:rsid w:val="000D700E"/>
    <w:rsid w:val="000D7B90"/>
    <w:rsid w:val="000E09DB"/>
    <w:rsid w:val="000E1C9D"/>
    <w:rsid w:val="000E272C"/>
    <w:rsid w:val="000E4AEB"/>
    <w:rsid w:val="000E4BFF"/>
    <w:rsid w:val="000E68F9"/>
    <w:rsid w:val="000E7607"/>
    <w:rsid w:val="000E7F37"/>
    <w:rsid w:val="000F1592"/>
    <w:rsid w:val="000F334F"/>
    <w:rsid w:val="000F353D"/>
    <w:rsid w:val="000F3C92"/>
    <w:rsid w:val="000F42D7"/>
    <w:rsid w:val="000F4B5E"/>
    <w:rsid w:val="000F6477"/>
    <w:rsid w:val="000F7A3A"/>
    <w:rsid w:val="001013E5"/>
    <w:rsid w:val="00101CC9"/>
    <w:rsid w:val="00101CE7"/>
    <w:rsid w:val="001022F0"/>
    <w:rsid w:val="00103A72"/>
    <w:rsid w:val="00104ACA"/>
    <w:rsid w:val="00105409"/>
    <w:rsid w:val="00105D84"/>
    <w:rsid w:val="00106684"/>
    <w:rsid w:val="001071D0"/>
    <w:rsid w:val="00107BBE"/>
    <w:rsid w:val="00107CC0"/>
    <w:rsid w:val="0011061B"/>
    <w:rsid w:val="001126B2"/>
    <w:rsid w:val="00113362"/>
    <w:rsid w:val="00113DD4"/>
    <w:rsid w:val="00113EFC"/>
    <w:rsid w:val="00114723"/>
    <w:rsid w:val="00114ECE"/>
    <w:rsid w:val="00114ED8"/>
    <w:rsid w:val="001153B6"/>
    <w:rsid w:val="001162E3"/>
    <w:rsid w:val="0011660E"/>
    <w:rsid w:val="001168CE"/>
    <w:rsid w:val="001176D5"/>
    <w:rsid w:val="0011782A"/>
    <w:rsid w:val="00117EFA"/>
    <w:rsid w:val="001210B9"/>
    <w:rsid w:val="001211E0"/>
    <w:rsid w:val="00122A54"/>
    <w:rsid w:val="001230F1"/>
    <w:rsid w:val="00123496"/>
    <w:rsid w:val="00123CEA"/>
    <w:rsid w:val="00130A2B"/>
    <w:rsid w:val="00131734"/>
    <w:rsid w:val="001319E5"/>
    <w:rsid w:val="001319E8"/>
    <w:rsid w:val="00131C3D"/>
    <w:rsid w:val="00131E5A"/>
    <w:rsid w:val="00131F0B"/>
    <w:rsid w:val="00132030"/>
    <w:rsid w:val="00132124"/>
    <w:rsid w:val="001326B5"/>
    <w:rsid w:val="00132FC3"/>
    <w:rsid w:val="00133DAF"/>
    <w:rsid w:val="00134194"/>
    <w:rsid w:val="00135259"/>
    <w:rsid w:val="0014025A"/>
    <w:rsid w:val="00140957"/>
    <w:rsid w:val="001413C3"/>
    <w:rsid w:val="00141F2B"/>
    <w:rsid w:val="001421F9"/>
    <w:rsid w:val="00142C9D"/>
    <w:rsid w:val="00142F7C"/>
    <w:rsid w:val="00143085"/>
    <w:rsid w:val="00144689"/>
    <w:rsid w:val="001447AC"/>
    <w:rsid w:val="00144E56"/>
    <w:rsid w:val="00144EA8"/>
    <w:rsid w:val="0014549D"/>
    <w:rsid w:val="001466CC"/>
    <w:rsid w:val="00147F61"/>
    <w:rsid w:val="00150395"/>
    <w:rsid w:val="00150FF6"/>
    <w:rsid w:val="0015100C"/>
    <w:rsid w:val="00151122"/>
    <w:rsid w:val="001519D5"/>
    <w:rsid w:val="00151F8B"/>
    <w:rsid w:val="00152446"/>
    <w:rsid w:val="00152873"/>
    <w:rsid w:val="001532D0"/>
    <w:rsid w:val="0015414B"/>
    <w:rsid w:val="0015445B"/>
    <w:rsid w:val="00155DAA"/>
    <w:rsid w:val="00156538"/>
    <w:rsid w:val="0015654D"/>
    <w:rsid w:val="00157A15"/>
    <w:rsid w:val="00161717"/>
    <w:rsid w:val="00161888"/>
    <w:rsid w:val="0016236E"/>
    <w:rsid w:val="0016247D"/>
    <w:rsid w:val="00162EE0"/>
    <w:rsid w:val="001632CA"/>
    <w:rsid w:val="0016538D"/>
    <w:rsid w:val="00166693"/>
    <w:rsid w:val="0016743B"/>
    <w:rsid w:val="00167A13"/>
    <w:rsid w:val="00170196"/>
    <w:rsid w:val="00170573"/>
    <w:rsid w:val="00170F75"/>
    <w:rsid w:val="00171F20"/>
    <w:rsid w:val="00171F3A"/>
    <w:rsid w:val="00172E09"/>
    <w:rsid w:val="00172EB4"/>
    <w:rsid w:val="00176436"/>
    <w:rsid w:val="00176B04"/>
    <w:rsid w:val="00176FDE"/>
    <w:rsid w:val="00177BE2"/>
    <w:rsid w:val="00181799"/>
    <w:rsid w:val="001820B0"/>
    <w:rsid w:val="00184823"/>
    <w:rsid w:val="00185592"/>
    <w:rsid w:val="001857CC"/>
    <w:rsid w:val="00185EA8"/>
    <w:rsid w:val="0018634D"/>
    <w:rsid w:val="00186539"/>
    <w:rsid w:val="00187489"/>
    <w:rsid w:val="001904F1"/>
    <w:rsid w:val="00191D87"/>
    <w:rsid w:val="00191E58"/>
    <w:rsid w:val="001928AB"/>
    <w:rsid w:val="00193342"/>
    <w:rsid w:val="001935A8"/>
    <w:rsid w:val="00193ACD"/>
    <w:rsid w:val="00195480"/>
    <w:rsid w:val="00196158"/>
    <w:rsid w:val="00196BEE"/>
    <w:rsid w:val="00196D4C"/>
    <w:rsid w:val="001975BF"/>
    <w:rsid w:val="001A04A8"/>
    <w:rsid w:val="001A197E"/>
    <w:rsid w:val="001A1C15"/>
    <w:rsid w:val="001A4388"/>
    <w:rsid w:val="001A4BCD"/>
    <w:rsid w:val="001A4EF5"/>
    <w:rsid w:val="001A6BA8"/>
    <w:rsid w:val="001A7132"/>
    <w:rsid w:val="001A78C4"/>
    <w:rsid w:val="001A795A"/>
    <w:rsid w:val="001A7A9A"/>
    <w:rsid w:val="001B08DC"/>
    <w:rsid w:val="001B09F9"/>
    <w:rsid w:val="001B0D54"/>
    <w:rsid w:val="001B125E"/>
    <w:rsid w:val="001B152A"/>
    <w:rsid w:val="001B1BD1"/>
    <w:rsid w:val="001B41E5"/>
    <w:rsid w:val="001B46A2"/>
    <w:rsid w:val="001B584A"/>
    <w:rsid w:val="001B5E9D"/>
    <w:rsid w:val="001B6335"/>
    <w:rsid w:val="001B7090"/>
    <w:rsid w:val="001C0863"/>
    <w:rsid w:val="001C1F4F"/>
    <w:rsid w:val="001C2073"/>
    <w:rsid w:val="001C22F6"/>
    <w:rsid w:val="001C3929"/>
    <w:rsid w:val="001C3EBB"/>
    <w:rsid w:val="001C4387"/>
    <w:rsid w:val="001C494D"/>
    <w:rsid w:val="001C4B9B"/>
    <w:rsid w:val="001C5019"/>
    <w:rsid w:val="001C5367"/>
    <w:rsid w:val="001C547A"/>
    <w:rsid w:val="001C75EE"/>
    <w:rsid w:val="001C7C01"/>
    <w:rsid w:val="001D1541"/>
    <w:rsid w:val="001D28EC"/>
    <w:rsid w:val="001D3204"/>
    <w:rsid w:val="001D3794"/>
    <w:rsid w:val="001D686A"/>
    <w:rsid w:val="001D704B"/>
    <w:rsid w:val="001D71A8"/>
    <w:rsid w:val="001E1354"/>
    <w:rsid w:val="001E320F"/>
    <w:rsid w:val="001E4CAE"/>
    <w:rsid w:val="001E65BB"/>
    <w:rsid w:val="001F078A"/>
    <w:rsid w:val="001F0AB7"/>
    <w:rsid w:val="001F2710"/>
    <w:rsid w:val="001F2CC3"/>
    <w:rsid w:val="001F3601"/>
    <w:rsid w:val="001F3677"/>
    <w:rsid w:val="001F3A87"/>
    <w:rsid w:val="001F5100"/>
    <w:rsid w:val="001F5C00"/>
    <w:rsid w:val="001F5DE0"/>
    <w:rsid w:val="001F647E"/>
    <w:rsid w:val="001F67D0"/>
    <w:rsid w:val="001F6889"/>
    <w:rsid w:val="00200659"/>
    <w:rsid w:val="002006F6"/>
    <w:rsid w:val="00200774"/>
    <w:rsid w:val="00200A7E"/>
    <w:rsid w:val="00201254"/>
    <w:rsid w:val="0020170C"/>
    <w:rsid w:val="00201D45"/>
    <w:rsid w:val="00202147"/>
    <w:rsid w:val="00203058"/>
    <w:rsid w:val="0020380C"/>
    <w:rsid w:val="00203E8C"/>
    <w:rsid w:val="00204425"/>
    <w:rsid w:val="00204C74"/>
    <w:rsid w:val="002058D1"/>
    <w:rsid w:val="00205DCA"/>
    <w:rsid w:val="00205ECB"/>
    <w:rsid w:val="002061FC"/>
    <w:rsid w:val="0021013C"/>
    <w:rsid w:val="00211334"/>
    <w:rsid w:val="002135D8"/>
    <w:rsid w:val="002139A7"/>
    <w:rsid w:val="00213BDE"/>
    <w:rsid w:val="00213E8E"/>
    <w:rsid w:val="002151EA"/>
    <w:rsid w:val="00216B78"/>
    <w:rsid w:val="0021777E"/>
    <w:rsid w:val="00220667"/>
    <w:rsid w:val="00220F9D"/>
    <w:rsid w:val="00221860"/>
    <w:rsid w:val="00222C56"/>
    <w:rsid w:val="00223477"/>
    <w:rsid w:val="00223701"/>
    <w:rsid w:val="00224EF0"/>
    <w:rsid w:val="002259F2"/>
    <w:rsid w:val="0022600C"/>
    <w:rsid w:val="00227B79"/>
    <w:rsid w:val="00230115"/>
    <w:rsid w:val="00230728"/>
    <w:rsid w:val="00230ECB"/>
    <w:rsid w:val="002314E0"/>
    <w:rsid w:val="00231765"/>
    <w:rsid w:val="00231D64"/>
    <w:rsid w:val="002326A1"/>
    <w:rsid w:val="00234549"/>
    <w:rsid w:val="00234986"/>
    <w:rsid w:val="00234ED3"/>
    <w:rsid w:val="0023547D"/>
    <w:rsid w:val="00235E01"/>
    <w:rsid w:val="002360D2"/>
    <w:rsid w:val="00236DAA"/>
    <w:rsid w:val="00237E8F"/>
    <w:rsid w:val="00240AD8"/>
    <w:rsid w:val="0024131D"/>
    <w:rsid w:val="0024183D"/>
    <w:rsid w:val="0024207D"/>
    <w:rsid w:val="00242D16"/>
    <w:rsid w:val="0024384F"/>
    <w:rsid w:val="00243B93"/>
    <w:rsid w:val="00244D2A"/>
    <w:rsid w:val="00245B62"/>
    <w:rsid w:val="00245F6F"/>
    <w:rsid w:val="0024707A"/>
    <w:rsid w:val="0024781F"/>
    <w:rsid w:val="00250671"/>
    <w:rsid w:val="00250CE8"/>
    <w:rsid w:val="0025149F"/>
    <w:rsid w:val="00252D8C"/>
    <w:rsid w:val="00255F0D"/>
    <w:rsid w:val="00256074"/>
    <w:rsid w:val="002561F8"/>
    <w:rsid w:val="002567FB"/>
    <w:rsid w:val="00257173"/>
    <w:rsid w:val="00260413"/>
    <w:rsid w:val="0026075C"/>
    <w:rsid w:val="002611F9"/>
    <w:rsid w:val="002612FD"/>
    <w:rsid w:val="0026162A"/>
    <w:rsid w:val="00262C3C"/>
    <w:rsid w:val="00266704"/>
    <w:rsid w:val="00266976"/>
    <w:rsid w:val="00267170"/>
    <w:rsid w:val="00267467"/>
    <w:rsid w:val="0027019D"/>
    <w:rsid w:val="00271E36"/>
    <w:rsid w:val="00271FB1"/>
    <w:rsid w:val="0027233E"/>
    <w:rsid w:val="002740EC"/>
    <w:rsid w:val="002748EA"/>
    <w:rsid w:val="00274C2F"/>
    <w:rsid w:val="00276850"/>
    <w:rsid w:val="00276F9B"/>
    <w:rsid w:val="002809C2"/>
    <w:rsid w:val="00280F92"/>
    <w:rsid w:val="00282770"/>
    <w:rsid w:val="00282E4E"/>
    <w:rsid w:val="00283584"/>
    <w:rsid w:val="00286E05"/>
    <w:rsid w:val="00287117"/>
    <w:rsid w:val="002876B9"/>
    <w:rsid w:val="002878B0"/>
    <w:rsid w:val="00287A58"/>
    <w:rsid w:val="00287B0B"/>
    <w:rsid w:val="00290209"/>
    <w:rsid w:val="00291D3A"/>
    <w:rsid w:val="00292AA3"/>
    <w:rsid w:val="00293382"/>
    <w:rsid w:val="002939D2"/>
    <w:rsid w:val="002957C5"/>
    <w:rsid w:val="00295F9D"/>
    <w:rsid w:val="00296DDD"/>
    <w:rsid w:val="002A01A2"/>
    <w:rsid w:val="002A2874"/>
    <w:rsid w:val="002A4126"/>
    <w:rsid w:val="002A5806"/>
    <w:rsid w:val="002A6025"/>
    <w:rsid w:val="002A75D1"/>
    <w:rsid w:val="002B1018"/>
    <w:rsid w:val="002B1CA8"/>
    <w:rsid w:val="002B5956"/>
    <w:rsid w:val="002B6519"/>
    <w:rsid w:val="002B6C10"/>
    <w:rsid w:val="002B6CFB"/>
    <w:rsid w:val="002B776C"/>
    <w:rsid w:val="002C0738"/>
    <w:rsid w:val="002C1196"/>
    <w:rsid w:val="002C1DB6"/>
    <w:rsid w:val="002C31BD"/>
    <w:rsid w:val="002C3AD8"/>
    <w:rsid w:val="002C43BA"/>
    <w:rsid w:val="002C4FAF"/>
    <w:rsid w:val="002C50E0"/>
    <w:rsid w:val="002C6D15"/>
    <w:rsid w:val="002C75FD"/>
    <w:rsid w:val="002C7660"/>
    <w:rsid w:val="002C7794"/>
    <w:rsid w:val="002C7BDD"/>
    <w:rsid w:val="002C7BFC"/>
    <w:rsid w:val="002C7F7D"/>
    <w:rsid w:val="002D1829"/>
    <w:rsid w:val="002D2964"/>
    <w:rsid w:val="002D2E18"/>
    <w:rsid w:val="002D30D4"/>
    <w:rsid w:val="002D453D"/>
    <w:rsid w:val="002D4F72"/>
    <w:rsid w:val="002D558A"/>
    <w:rsid w:val="002D56A3"/>
    <w:rsid w:val="002D6895"/>
    <w:rsid w:val="002E1CF3"/>
    <w:rsid w:val="002E2482"/>
    <w:rsid w:val="002E2838"/>
    <w:rsid w:val="002E2D79"/>
    <w:rsid w:val="002E2E42"/>
    <w:rsid w:val="002E33E4"/>
    <w:rsid w:val="002E3D03"/>
    <w:rsid w:val="002E4412"/>
    <w:rsid w:val="002E6702"/>
    <w:rsid w:val="002E696E"/>
    <w:rsid w:val="002E6B87"/>
    <w:rsid w:val="002E7441"/>
    <w:rsid w:val="002E784A"/>
    <w:rsid w:val="002E7956"/>
    <w:rsid w:val="002F051D"/>
    <w:rsid w:val="002F06C7"/>
    <w:rsid w:val="002F0A12"/>
    <w:rsid w:val="002F4057"/>
    <w:rsid w:val="002F4634"/>
    <w:rsid w:val="002F4E8A"/>
    <w:rsid w:val="002F5D5F"/>
    <w:rsid w:val="002F6292"/>
    <w:rsid w:val="002F66F7"/>
    <w:rsid w:val="002F79B2"/>
    <w:rsid w:val="002F7A83"/>
    <w:rsid w:val="003015D6"/>
    <w:rsid w:val="003040B4"/>
    <w:rsid w:val="003048D6"/>
    <w:rsid w:val="0030527C"/>
    <w:rsid w:val="00305AEE"/>
    <w:rsid w:val="00307914"/>
    <w:rsid w:val="00310D0B"/>
    <w:rsid w:val="003125E9"/>
    <w:rsid w:val="00315A07"/>
    <w:rsid w:val="00316967"/>
    <w:rsid w:val="00320AEA"/>
    <w:rsid w:val="003232F4"/>
    <w:rsid w:val="003250A4"/>
    <w:rsid w:val="003258C1"/>
    <w:rsid w:val="003260F7"/>
    <w:rsid w:val="00326CA7"/>
    <w:rsid w:val="00326DE9"/>
    <w:rsid w:val="0032731C"/>
    <w:rsid w:val="00327B2C"/>
    <w:rsid w:val="00331E72"/>
    <w:rsid w:val="0033203F"/>
    <w:rsid w:val="00332924"/>
    <w:rsid w:val="00332C89"/>
    <w:rsid w:val="00333D89"/>
    <w:rsid w:val="00334328"/>
    <w:rsid w:val="003355EF"/>
    <w:rsid w:val="00335843"/>
    <w:rsid w:val="00336200"/>
    <w:rsid w:val="003363F3"/>
    <w:rsid w:val="00337399"/>
    <w:rsid w:val="0033752E"/>
    <w:rsid w:val="00337A59"/>
    <w:rsid w:val="00337B8B"/>
    <w:rsid w:val="00337FE6"/>
    <w:rsid w:val="0034002C"/>
    <w:rsid w:val="00340098"/>
    <w:rsid w:val="003411BB"/>
    <w:rsid w:val="00341656"/>
    <w:rsid w:val="0034178D"/>
    <w:rsid w:val="00341950"/>
    <w:rsid w:val="0034199F"/>
    <w:rsid w:val="003421FD"/>
    <w:rsid w:val="00342B00"/>
    <w:rsid w:val="00345026"/>
    <w:rsid w:val="0034529D"/>
    <w:rsid w:val="003457C3"/>
    <w:rsid w:val="00346AAE"/>
    <w:rsid w:val="003479A4"/>
    <w:rsid w:val="0035021C"/>
    <w:rsid w:val="00351BBE"/>
    <w:rsid w:val="00351D60"/>
    <w:rsid w:val="00351F3D"/>
    <w:rsid w:val="0035303C"/>
    <w:rsid w:val="0035335B"/>
    <w:rsid w:val="00353767"/>
    <w:rsid w:val="00353978"/>
    <w:rsid w:val="00353B0D"/>
    <w:rsid w:val="0035408A"/>
    <w:rsid w:val="00354F90"/>
    <w:rsid w:val="003552D2"/>
    <w:rsid w:val="0035681D"/>
    <w:rsid w:val="0036144C"/>
    <w:rsid w:val="003616CF"/>
    <w:rsid w:val="0036290C"/>
    <w:rsid w:val="00362BCB"/>
    <w:rsid w:val="003635A8"/>
    <w:rsid w:val="00364C2D"/>
    <w:rsid w:val="0036578C"/>
    <w:rsid w:val="00366029"/>
    <w:rsid w:val="0036741C"/>
    <w:rsid w:val="00367B54"/>
    <w:rsid w:val="00367DB2"/>
    <w:rsid w:val="003702C8"/>
    <w:rsid w:val="00370AED"/>
    <w:rsid w:val="00370B09"/>
    <w:rsid w:val="00371DED"/>
    <w:rsid w:val="00372B4B"/>
    <w:rsid w:val="00372F2D"/>
    <w:rsid w:val="00372FFD"/>
    <w:rsid w:val="00373D38"/>
    <w:rsid w:val="00374016"/>
    <w:rsid w:val="00375D82"/>
    <w:rsid w:val="00376544"/>
    <w:rsid w:val="0037669C"/>
    <w:rsid w:val="0037686C"/>
    <w:rsid w:val="003769B2"/>
    <w:rsid w:val="00376FCC"/>
    <w:rsid w:val="00377D94"/>
    <w:rsid w:val="00380A6F"/>
    <w:rsid w:val="003819EA"/>
    <w:rsid w:val="0038209F"/>
    <w:rsid w:val="003831EE"/>
    <w:rsid w:val="00383F67"/>
    <w:rsid w:val="003849C0"/>
    <w:rsid w:val="00385402"/>
    <w:rsid w:val="003876E9"/>
    <w:rsid w:val="003900DB"/>
    <w:rsid w:val="00390C4F"/>
    <w:rsid w:val="00391847"/>
    <w:rsid w:val="00391BD8"/>
    <w:rsid w:val="00393009"/>
    <w:rsid w:val="00393910"/>
    <w:rsid w:val="00393B2D"/>
    <w:rsid w:val="0039475B"/>
    <w:rsid w:val="0039585B"/>
    <w:rsid w:val="00395948"/>
    <w:rsid w:val="00395A0B"/>
    <w:rsid w:val="003A009E"/>
    <w:rsid w:val="003A1B60"/>
    <w:rsid w:val="003A1FB5"/>
    <w:rsid w:val="003A212E"/>
    <w:rsid w:val="003A27F7"/>
    <w:rsid w:val="003A3D92"/>
    <w:rsid w:val="003A479E"/>
    <w:rsid w:val="003A4B75"/>
    <w:rsid w:val="003A5F7D"/>
    <w:rsid w:val="003A68AB"/>
    <w:rsid w:val="003A77C6"/>
    <w:rsid w:val="003A7DE5"/>
    <w:rsid w:val="003B0D93"/>
    <w:rsid w:val="003B0E04"/>
    <w:rsid w:val="003B1744"/>
    <w:rsid w:val="003B4EF5"/>
    <w:rsid w:val="003B6777"/>
    <w:rsid w:val="003B71DD"/>
    <w:rsid w:val="003B772A"/>
    <w:rsid w:val="003C0334"/>
    <w:rsid w:val="003C240D"/>
    <w:rsid w:val="003C2D94"/>
    <w:rsid w:val="003C3435"/>
    <w:rsid w:val="003C3797"/>
    <w:rsid w:val="003C38A3"/>
    <w:rsid w:val="003C54E3"/>
    <w:rsid w:val="003C55C0"/>
    <w:rsid w:val="003C6465"/>
    <w:rsid w:val="003C795A"/>
    <w:rsid w:val="003D0AFE"/>
    <w:rsid w:val="003D2594"/>
    <w:rsid w:val="003D31A2"/>
    <w:rsid w:val="003D4389"/>
    <w:rsid w:val="003D48C2"/>
    <w:rsid w:val="003D4BCF"/>
    <w:rsid w:val="003D4C04"/>
    <w:rsid w:val="003D4C6C"/>
    <w:rsid w:val="003D683B"/>
    <w:rsid w:val="003E04D1"/>
    <w:rsid w:val="003E10A7"/>
    <w:rsid w:val="003E10CC"/>
    <w:rsid w:val="003E2FA4"/>
    <w:rsid w:val="003E4E4F"/>
    <w:rsid w:val="003E794F"/>
    <w:rsid w:val="003F09B5"/>
    <w:rsid w:val="003F0C26"/>
    <w:rsid w:val="003F102D"/>
    <w:rsid w:val="003F1A2C"/>
    <w:rsid w:val="003F1F30"/>
    <w:rsid w:val="003F2040"/>
    <w:rsid w:val="003F25BE"/>
    <w:rsid w:val="003F31BF"/>
    <w:rsid w:val="003F388E"/>
    <w:rsid w:val="003F4382"/>
    <w:rsid w:val="003F547E"/>
    <w:rsid w:val="003F589F"/>
    <w:rsid w:val="003F7680"/>
    <w:rsid w:val="003F78C6"/>
    <w:rsid w:val="004004F9"/>
    <w:rsid w:val="0040072D"/>
    <w:rsid w:val="00402440"/>
    <w:rsid w:val="00402FB7"/>
    <w:rsid w:val="004047AA"/>
    <w:rsid w:val="00405558"/>
    <w:rsid w:val="004057D6"/>
    <w:rsid w:val="004070D4"/>
    <w:rsid w:val="004114EB"/>
    <w:rsid w:val="00413F9E"/>
    <w:rsid w:val="00414D6D"/>
    <w:rsid w:val="004212E6"/>
    <w:rsid w:val="004214FC"/>
    <w:rsid w:val="00421840"/>
    <w:rsid w:val="00422BEE"/>
    <w:rsid w:val="004238F1"/>
    <w:rsid w:val="0042677B"/>
    <w:rsid w:val="00427FBC"/>
    <w:rsid w:val="004306E7"/>
    <w:rsid w:val="00431A02"/>
    <w:rsid w:val="004325AF"/>
    <w:rsid w:val="00432DF8"/>
    <w:rsid w:val="00433AD5"/>
    <w:rsid w:val="00435159"/>
    <w:rsid w:val="00436C24"/>
    <w:rsid w:val="00436D5B"/>
    <w:rsid w:val="00441830"/>
    <w:rsid w:val="00442E70"/>
    <w:rsid w:val="00443C25"/>
    <w:rsid w:val="00443C9F"/>
    <w:rsid w:val="004444BC"/>
    <w:rsid w:val="00444875"/>
    <w:rsid w:val="00444F19"/>
    <w:rsid w:val="00450879"/>
    <w:rsid w:val="004527DE"/>
    <w:rsid w:val="004544AC"/>
    <w:rsid w:val="004566C5"/>
    <w:rsid w:val="00456BB9"/>
    <w:rsid w:val="00457B8D"/>
    <w:rsid w:val="004605B3"/>
    <w:rsid w:val="0046279C"/>
    <w:rsid w:val="00462ACB"/>
    <w:rsid w:val="00462DCC"/>
    <w:rsid w:val="00463C16"/>
    <w:rsid w:val="004646B5"/>
    <w:rsid w:val="00464E80"/>
    <w:rsid w:val="00465674"/>
    <w:rsid w:val="004671BC"/>
    <w:rsid w:val="00467DFB"/>
    <w:rsid w:val="004706BC"/>
    <w:rsid w:val="0047071D"/>
    <w:rsid w:val="004707FC"/>
    <w:rsid w:val="00471138"/>
    <w:rsid w:val="00472E84"/>
    <w:rsid w:val="00474264"/>
    <w:rsid w:val="004745F5"/>
    <w:rsid w:val="00474680"/>
    <w:rsid w:val="00474F4B"/>
    <w:rsid w:val="004776A6"/>
    <w:rsid w:val="004804DE"/>
    <w:rsid w:val="00480CB2"/>
    <w:rsid w:val="00481780"/>
    <w:rsid w:val="004819A8"/>
    <w:rsid w:val="00483E66"/>
    <w:rsid w:val="00484A1A"/>
    <w:rsid w:val="004854E1"/>
    <w:rsid w:val="004858C7"/>
    <w:rsid w:val="004862DB"/>
    <w:rsid w:val="00486D38"/>
    <w:rsid w:val="00487BA9"/>
    <w:rsid w:val="0049014A"/>
    <w:rsid w:val="00490F14"/>
    <w:rsid w:val="00491FD9"/>
    <w:rsid w:val="004922A9"/>
    <w:rsid w:val="00492E8F"/>
    <w:rsid w:val="004932A3"/>
    <w:rsid w:val="004936C6"/>
    <w:rsid w:val="00494CF2"/>
    <w:rsid w:val="00496FD3"/>
    <w:rsid w:val="004A0BC4"/>
    <w:rsid w:val="004A123C"/>
    <w:rsid w:val="004A2320"/>
    <w:rsid w:val="004A3A6D"/>
    <w:rsid w:val="004A44DA"/>
    <w:rsid w:val="004A53DF"/>
    <w:rsid w:val="004A56B3"/>
    <w:rsid w:val="004A68FF"/>
    <w:rsid w:val="004A6EA5"/>
    <w:rsid w:val="004A7700"/>
    <w:rsid w:val="004B053B"/>
    <w:rsid w:val="004B2418"/>
    <w:rsid w:val="004B2DB8"/>
    <w:rsid w:val="004B4C42"/>
    <w:rsid w:val="004B503E"/>
    <w:rsid w:val="004B57E5"/>
    <w:rsid w:val="004B5C9D"/>
    <w:rsid w:val="004B5CA1"/>
    <w:rsid w:val="004B713E"/>
    <w:rsid w:val="004C0D33"/>
    <w:rsid w:val="004C1097"/>
    <w:rsid w:val="004C1332"/>
    <w:rsid w:val="004C2F15"/>
    <w:rsid w:val="004C3C94"/>
    <w:rsid w:val="004C4D0E"/>
    <w:rsid w:val="004C4DA9"/>
    <w:rsid w:val="004C529B"/>
    <w:rsid w:val="004C7C5E"/>
    <w:rsid w:val="004D0085"/>
    <w:rsid w:val="004D10E5"/>
    <w:rsid w:val="004D1168"/>
    <w:rsid w:val="004D1D97"/>
    <w:rsid w:val="004D4BD7"/>
    <w:rsid w:val="004D56D8"/>
    <w:rsid w:val="004D5CEC"/>
    <w:rsid w:val="004D74B5"/>
    <w:rsid w:val="004D7747"/>
    <w:rsid w:val="004D7BAB"/>
    <w:rsid w:val="004E1FAF"/>
    <w:rsid w:val="004E5376"/>
    <w:rsid w:val="004E553E"/>
    <w:rsid w:val="004E6FF7"/>
    <w:rsid w:val="004E7230"/>
    <w:rsid w:val="004F0E0C"/>
    <w:rsid w:val="004F3B41"/>
    <w:rsid w:val="004F3CF4"/>
    <w:rsid w:val="004F4FC8"/>
    <w:rsid w:val="004F5675"/>
    <w:rsid w:val="004F5FA6"/>
    <w:rsid w:val="004F6664"/>
    <w:rsid w:val="004F6C49"/>
    <w:rsid w:val="0050241F"/>
    <w:rsid w:val="00502EDE"/>
    <w:rsid w:val="00503CE8"/>
    <w:rsid w:val="00503ED9"/>
    <w:rsid w:val="00504724"/>
    <w:rsid w:val="00505400"/>
    <w:rsid w:val="0050612B"/>
    <w:rsid w:val="00506E25"/>
    <w:rsid w:val="005109DD"/>
    <w:rsid w:val="005116C6"/>
    <w:rsid w:val="00511A9C"/>
    <w:rsid w:val="005129DD"/>
    <w:rsid w:val="0051393F"/>
    <w:rsid w:val="005140CE"/>
    <w:rsid w:val="00514930"/>
    <w:rsid w:val="00514A2D"/>
    <w:rsid w:val="00514CD9"/>
    <w:rsid w:val="00516642"/>
    <w:rsid w:val="00516B12"/>
    <w:rsid w:val="00517701"/>
    <w:rsid w:val="00517A51"/>
    <w:rsid w:val="00517E22"/>
    <w:rsid w:val="00520B85"/>
    <w:rsid w:val="00523358"/>
    <w:rsid w:val="005237BC"/>
    <w:rsid w:val="00523926"/>
    <w:rsid w:val="00524D4B"/>
    <w:rsid w:val="00524D93"/>
    <w:rsid w:val="005263CF"/>
    <w:rsid w:val="00526B7F"/>
    <w:rsid w:val="00527B47"/>
    <w:rsid w:val="00527E25"/>
    <w:rsid w:val="005301B0"/>
    <w:rsid w:val="005315E8"/>
    <w:rsid w:val="00531A55"/>
    <w:rsid w:val="005340F8"/>
    <w:rsid w:val="00534DCB"/>
    <w:rsid w:val="005352DA"/>
    <w:rsid w:val="005355C9"/>
    <w:rsid w:val="00535E3D"/>
    <w:rsid w:val="00536BEB"/>
    <w:rsid w:val="00536BFF"/>
    <w:rsid w:val="00540170"/>
    <w:rsid w:val="00540237"/>
    <w:rsid w:val="0054099E"/>
    <w:rsid w:val="0054133C"/>
    <w:rsid w:val="00541DE3"/>
    <w:rsid w:val="00543469"/>
    <w:rsid w:val="00543C59"/>
    <w:rsid w:val="005440A9"/>
    <w:rsid w:val="00547CBD"/>
    <w:rsid w:val="00551278"/>
    <w:rsid w:val="00551DC9"/>
    <w:rsid w:val="0055312D"/>
    <w:rsid w:val="00553620"/>
    <w:rsid w:val="005536AA"/>
    <w:rsid w:val="005544C8"/>
    <w:rsid w:val="00554564"/>
    <w:rsid w:val="005548F9"/>
    <w:rsid w:val="0055551A"/>
    <w:rsid w:val="0055798F"/>
    <w:rsid w:val="00557C61"/>
    <w:rsid w:val="00560736"/>
    <w:rsid w:val="005619D6"/>
    <w:rsid w:val="005624A0"/>
    <w:rsid w:val="005658B6"/>
    <w:rsid w:val="00566332"/>
    <w:rsid w:val="005705EA"/>
    <w:rsid w:val="00570E8C"/>
    <w:rsid w:val="00571432"/>
    <w:rsid w:val="00571CAE"/>
    <w:rsid w:val="005743AA"/>
    <w:rsid w:val="005754C2"/>
    <w:rsid w:val="00575580"/>
    <w:rsid w:val="005757EC"/>
    <w:rsid w:val="005757F4"/>
    <w:rsid w:val="00576074"/>
    <w:rsid w:val="0057625D"/>
    <w:rsid w:val="005777BE"/>
    <w:rsid w:val="00580603"/>
    <w:rsid w:val="00580C4A"/>
    <w:rsid w:val="00581635"/>
    <w:rsid w:val="00581B44"/>
    <w:rsid w:val="00582A5E"/>
    <w:rsid w:val="0058303A"/>
    <w:rsid w:val="00583A22"/>
    <w:rsid w:val="005865F1"/>
    <w:rsid w:val="005866DD"/>
    <w:rsid w:val="00592BA6"/>
    <w:rsid w:val="005937F8"/>
    <w:rsid w:val="005952E1"/>
    <w:rsid w:val="00597316"/>
    <w:rsid w:val="00597843"/>
    <w:rsid w:val="00597BB4"/>
    <w:rsid w:val="005A01C7"/>
    <w:rsid w:val="005A0A6D"/>
    <w:rsid w:val="005A314E"/>
    <w:rsid w:val="005A3E54"/>
    <w:rsid w:val="005A413E"/>
    <w:rsid w:val="005A4855"/>
    <w:rsid w:val="005A4D83"/>
    <w:rsid w:val="005A52E0"/>
    <w:rsid w:val="005A6180"/>
    <w:rsid w:val="005A62E4"/>
    <w:rsid w:val="005A6B87"/>
    <w:rsid w:val="005A7786"/>
    <w:rsid w:val="005A7969"/>
    <w:rsid w:val="005B0D7B"/>
    <w:rsid w:val="005B0EFD"/>
    <w:rsid w:val="005B20F7"/>
    <w:rsid w:val="005B29D1"/>
    <w:rsid w:val="005B3718"/>
    <w:rsid w:val="005B38A4"/>
    <w:rsid w:val="005B3E6A"/>
    <w:rsid w:val="005B5B8F"/>
    <w:rsid w:val="005C11EA"/>
    <w:rsid w:val="005C168C"/>
    <w:rsid w:val="005C17B2"/>
    <w:rsid w:val="005C1ADB"/>
    <w:rsid w:val="005C2713"/>
    <w:rsid w:val="005C2996"/>
    <w:rsid w:val="005C2D4E"/>
    <w:rsid w:val="005C3D84"/>
    <w:rsid w:val="005C422B"/>
    <w:rsid w:val="005C4488"/>
    <w:rsid w:val="005C4688"/>
    <w:rsid w:val="005C4E13"/>
    <w:rsid w:val="005C5259"/>
    <w:rsid w:val="005C5830"/>
    <w:rsid w:val="005C600A"/>
    <w:rsid w:val="005C714E"/>
    <w:rsid w:val="005C7F2F"/>
    <w:rsid w:val="005D080D"/>
    <w:rsid w:val="005D1957"/>
    <w:rsid w:val="005D3107"/>
    <w:rsid w:val="005D50E4"/>
    <w:rsid w:val="005D61AC"/>
    <w:rsid w:val="005D665B"/>
    <w:rsid w:val="005D79E3"/>
    <w:rsid w:val="005E1D2D"/>
    <w:rsid w:val="005E1E38"/>
    <w:rsid w:val="005E222C"/>
    <w:rsid w:val="005E26ED"/>
    <w:rsid w:val="005E2FEA"/>
    <w:rsid w:val="005E4374"/>
    <w:rsid w:val="005E5814"/>
    <w:rsid w:val="005E5AFE"/>
    <w:rsid w:val="005E66AF"/>
    <w:rsid w:val="005E68F8"/>
    <w:rsid w:val="005E79D4"/>
    <w:rsid w:val="005E7D5F"/>
    <w:rsid w:val="005E7EE4"/>
    <w:rsid w:val="005E7F66"/>
    <w:rsid w:val="005F3729"/>
    <w:rsid w:val="005F660F"/>
    <w:rsid w:val="005F7053"/>
    <w:rsid w:val="005F7236"/>
    <w:rsid w:val="00600DC7"/>
    <w:rsid w:val="00602EDF"/>
    <w:rsid w:val="00603446"/>
    <w:rsid w:val="00604184"/>
    <w:rsid w:val="006044C6"/>
    <w:rsid w:val="00604612"/>
    <w:rsid w:val="00605C61"/>
    <w:rsid w:val="00607352"/>
    <w:rsid w:val="00610EAB"/>
    <w:rsid w:val="0061139D"/>
    <w:rsid w:val="0061165F"/>
    <w:rsid w:val="00611824"/>
    <w:rsid w:val="00611EBD"/>
    <w:rsid w:val="006125C9"/>
    <w:rsid w:val="00612981"/>
    <w:rsid w:val="0061541E"/>
    <w:rsid w:val="00615B1B"/>
    <w:rsid w:val="00616AE6"/>
    <w:rsid w:val="006203BA"/>
    <w:rsid w:val="0062070C"/>
    <w:rsid w:val="00620913"/>
    <w:rsid w:val="0062100B"/>
    <w:rsid w:val="0062100E"/>
    <w:rsid w:val="00621331"/>
    <w:rsid w:val="00622580"/>
    <w:rsid w:val="00622D52"/>
    <w:rsid w:val="00625A24"/>
    <w:rsid w:val="00625EC2"/>
    <w:rsid w:val="006275F5"/>
    <w:rsid w:val="00627824"/>
    <w:rsid w:val="00627C5A"/>
    <w:rsid w:val="00627E5C"/>
    <w:rsid w:val="006324F2"/>
    <w:rsid w:val="0063270F"/>
    <w:rsid w:val="00633E3D"/>
    <w:rsid w:val="006346B4"/>
    <w:rsid w:val="00634AE8"/>
    <w:rsid w:val="00636445"/>
    <w:rsid w:val="006376DD"/>
    <w:rsid w:val="006403C2"/>
    <w:rsid w:val="00641A1B"/>
    <w:rsid w:val="006436A2"/>
    <w:rsid w:val="006447AE"/>
    <w:rsid w:val="006452CA"/>
    <w:rsid w:val="00646738"/>
    <w:rsid w:val="00646D1C"/>
    <w:rsid w:val="00647A83"/>
    <w:rsid w:val="00647D3B"/>
    <w:rsid w:val="00650484"/>
    <w:rsid w:val="006511DC"/>
    <w:rsid w:val="0065127F"/>
    <w:rsid w:val="00653AE9"/>
    <w:rsid w:val="0065443C"/>
    <w:rsid w:val="00654B90"/>
    <w:rsid w:val="006555DB"/>
    <w:rsid w:val="00660212"/>
    <w:rsid w:val="006613F7"/>
    <w:rsid w:val="006614A2"/>
    <w:rsid w:val="0066309C"/>
    <w:rsid w:val="0066500C"/>
    <w:rsid w:val="00665104"/>
    <w:rsid w:val="00665765"/>
    <w:rsid w:val="00666C4A"/>
    <w:rsid w:val="00666DB8"/>
    <w:rsid w:val="00667427"/>
    <w:rsid w:val="006714FA"/>
    <w:rsid w:val="00671A54"/>
    <w:rsid w:val="006743DF"/>
    <w:rsid w:val="00677095"/>
    <w:rsid w:val="00677370"/>
    <w:rsid w:val="00677D5D"/>
    <w:rsid w:val="00677E64"/>
    <w:rsid w:val="006806F2"/>
    <w:rsid w:val="00680CCC"/>
    <w:rsid w:val="00680D5F"/>
    <w:rsid w:val="00681064"/>
    <w:rsid w:val="006823F7"/>
    <w:rsid w:val="006839A9"/>
    <w:rsid w:val="00685D43"/>
    <w:rsid w:val="00686D6F"/>
    <w:rsid w:val="00687EB1"/>
    <w:rsid w:val="0069104D"/>
    <w:rsid w:val="006918A8"/>
    <w:rsid w:val="006919F4"/>
    <w:rsid w:val="006925DC"/>
    <w:rsid w:val="00692A35"/>
    <w:rsid w:val="006932E5"/>
    <w:rsid w:val="006934F8"/>
    <w:rsid w:val="00694213"/>
    <w:rsid w:val="006945AB"/>
    <w:rsid w:val="00694637"/>
    <w:rsid w:val="00694C4B"/>
    <w:rsid w:val="00694D88"/>
    <w:rsid w:val="006955B2"/>
    <w:rsid w:val="00695886"/>
    <w:rsid w:val="006970A4"/>
    <w:rsid w:val="00697589"/>
    <w:rsid w:val="006A0075"/>
    <w:rsid w:val="006A00F9"/>
    <w:rsid w:val="006A1108"/>
    <w:rsid w:val="006A1F76"/>
    <w:rsid w:val="006A22A0"/>
    <w:rsid w:val="006A31A8"/>
    <w:rsid w:val="006A4061"/>
    <w:rsid w:val="006A5263"/>
    <w:rsid w:val="006A69DD"/>
    <w:rsid w:val="006A6DC0"/>
    <w:rsid w:val="006A753E"/>
    <w:rsid w:val="006A76EE"/>
    <w:rsid w:val="006A77D7"/>
    <w:rsid w:val="006B2509"/>
    <w:rsid w:val="006B419D"/>
    <w:rsid w:val="006B5598"/>
    <w:rsid w:val="006B6454"/>
    <w:rsid w:val="006B6525"/>
    <w:rsid w:val="006B685E"/>
    <w:rsid w:val="006C0E22"/>
    <w:rsid w:val="006C184C"/>
    <w:rsid w:val="006C1C27"/>
    <w:rsid w:val="006C20A5"/>
    <w:rsid w:val="006C3B33"/>
    <w:rsid w:val="006C3F2A"/>
    <w:rsid w:val="006C6032"/>
    <w:rsid w:val="006D0510"/>
    <w:rsid w:val="006D1316"/>
    <w:rsid w:val="006D1A83"/>
    <w:rsid w:val="006D2661"/>
    <w:rsid w:val="006D332A"/>
    <w:rsid w:val="006D4C0F"/>
    <w:rsid w:val="006D5738"/>
    <w:rsid w:val="006D5C25"/>
    <w:rsid w:val="006D622E"/>
    <w:rsid w:val="006D7145"/>
    <w:rsid w:val="006E09D7"/>
    <w:rsid w:val="006E0FC0"/>
    <w:rsid w:val="006E1014"/>
    <w:rsid w:val="006E10D9"/>
    <w:rsid w:val="006E1950"/>
    <w:rsid w:val="006E1B1A"/>
    <w:rsid w:val="006E352D"/>
    <w:rsid w:val="006E3BE0"/>
    <w:rsid w:val="006E4ADB"/>
    <w:rsid w:val="006E5E16"/>
    <w:rsid w:val="006E60C1"/>
    <w:rsid w:val="006E6FE0"/>
    <w:rsid w:val="006F1D63"/>
    <w:rsid w:val="006F324D"/>
    <w:rsid w:val="006F3AB5"/>
    <w:rsid w:val="006F692C"/>
    <w:rsid w:val="006F7D4A"/>
    <w:rsid w:val="0070089C"/>
    <w:rsid w:val="00702831"/>
    <w:rsid w:val="007029FF"/>
    <w:rsid w:val="00702C1B"/>
    <w:rsid w:val="00704678"/>
    <w:rsid w:val="00705CD9"/>
    <w:rsid w:val="0070607B"/>
    <w:rsid w:val="00706281"/>
    <w:rsid w:val="007074C6"/>
    <w:rsid w:val="00711B2A"/>
    <w:rsid w:val="0071317F"/>
    <w:rsid w:val="00713369"/>
    <w:rsid w:val="007139C8"/>
    <w:rsid w:val="00713AB4"/>
    <w:rsid w:val="007142BC"/>
    <w:rsid w:val="007157A2"/>
    <w:rsid w:val="007163F7"/>
    <w:rsid w:val="007167BE"/>
    <w:rsid w:val="00720CC9"/>
    <w:rsid w:val="00721D09"/>
    <w:rsid w:val="00721F9B"/>
    <w:rsid w:val="00722445"/>
    <w:rsid w:val="007226CC"/>
    <w:rsid w:val="007230FD"/>
    <w:rsid w:val="0072356E"/>
    <w:rsid w:val="0072370D"/>
    <w:rsid w:val="007247C3"/>
    <w:rsid w:val="0073015A"/>
    <w:rsid w:val="0073023D"/>
    <w:rsid w:val="007308FC"/>
    <w:rsid w:val="0073162B"/>
    <w:rsid w:val="007332DE"/>
    <w:rsid w:val="00733C63"/>
    <w:rsid w:val="007345AF"/>
    <w:rsid w:val="00734AF2"/>
    <w:rsid w:val="00735BC1"/>
    <w:rsid w:val="00736EE1"/>
    <w:rsid w:val="007371CF"/>
    <w:rsid w:val="00737FAF"/>
    <w:rsid w:val="00741261"/>
    <w:rsid w:val="0074180E"/>
    <w:rsid w:val="00742C4A"/>
    <w:rsid w:val="007432F7"/>
    <w:rsid w:val="0074349D"/>
    <w:rsid w:val="007442F1"/>
    <w:rsid w:val="00744E63"/>
    <w:rsid w:val="007452CF"/>
    <w:rsid w:val="00745513"/>
    <w:rsid w:val="00745E2B"/>
    <w:rsid w:val="00746A7B"/>
    <w:rsid w:val="00747FA4"/>
    <w:rsid w:val="00751DAE"/>
    <w:rsid w:val="0075247B"/>
    <w:rsid w:val="00756151"/>
    <w:rsid w:val="007564F0"/>
    <w:rsid w:val="0076070C"/>
    <w:rsid w:val="007608DD"/>
    <w:rsid w:val="00760C4F"/>
    <w:rsid w:val="00761868"/>
    <w:rsid w:val="00761E0D"/>
    <w:rsid w:val="00761E37"/>
    <w:rsid w:val="00762FA3"/>
    <w:rsid w:val="0076381E"/>
    <w:rsid w:val="0076436E"/>
    <w:rsid w:val="00764B7A"/>
    <w:rsid w:val="00764C3B"/>
    <w:rsid w:val="00764CD6"/>
    <w:rsid w:val="007650A9"/>
    <w:rsid w:val="00766D66"/>
    <w:rsid w:val="007677AD"/>
    <w:rsid w:val="00770144"/>
    <w:rsid w:val="007712D6"/>
    <w:rsid w:val="0077164C"/>
    <w:rsid w:val="0077233C"/>
    <w:rsid w:val="007727FA"/>
    <w:rsid w:val="00772ABB"/>
    <w:rsid w:val="0077386C"/>
    <w:rsid w:val="00773B15"/>
    <w:rsid w:val="00774BFB"/>
    <w:rsid w:val="00777392"/>
    <w:rsid w:val="00780662"/>
    <w:rsid w:val="00780EB0"/>
    <w:rsid w:val="00782094"/>
    <w:rsid w:val="0078220B"/>
    <w:rsid w:val="00782330"/>
    <w:rsid w:val="007847BE"/>
    <w:rsid w:val="007855AE"/>
    <w:rsid w:val="00786068"/>
    <w:rsid w:val="007867A0"/>
    <w:rsid w:val="00786DA7"/>
    <w:rsid w:val="0079171D"/>
    <w:rsid w:val="00791A16"/>
    <w:rsid w:val="007929A6"/>
    <w:rsid w:val="00792B13"/>
    <w:rsid w:val="00793112"/>
    <w:rsid w:val="0079311B"/>
    <w:rsid w:val="007956C6"/>
    <w:rsid w:val="007960B5"/>
    <w:rsid w:val="00796DB5"/>
    <w:rsid w:val="0079709C"/>
    <w:rsid w:val="007A2E87"/>
    <w:rsid w:val="007A3A2A"/>
    <w:rsid w:val="007A3D7F"/>
    <w:rsid w:val="007A4F80"/>
    <w:rsid w:val="007A5292"/>
    <w:rsid w:val="007A5535"/>
    <w:rsid w:val="007A6010"/>
    <w:rsid w:val="007A7829"/>
    <w:rsid w:val="007A7C7B"/>
    <w:rsid w:val="007B0ECC"/>
    <w:rsid w:val="007B0F52"/>
    <w:rsid w:val="007B1A05"/>
    <w:rsid w:val="007B2184"/>
    <w:rsid w:val="007B24C5"/>
    <w:rsid w:val="007B2553"/>
    <w:rsid w:val="007B348E"/>
    <w:rsid w:val="007B40FB"/>
    <w:rsid w:val="007B4596"/>
    <w:rsid w:val="007B68FC"/>
    <w:rsid w:val="007B6983"/>
    <w:rsid w:val="007B7843"/>
    <w:rsid w:val="007C02FE"/>
    <w:rsid w:val="007C0A46"/>
    <w:rsid w:val="007C25E2"/>
    <w:rsid w:val="007C51FA"/>
    <w:rsid w:val="007C524E"/>
    <w:rsid w:val="007C6B4C"/>
    <w:rsid w:val="007D0698"/>
    <w:rsid w:val="007D16F1"/>
    <w:rsid w:val="007D212C"/>
    <w:rsid w:val="007D7324"/>
    <w:rsid w:val="007D7C83"/>
    <w:rsid w:val="007D7ED9"/>
    <w:rsid w:val="007E06B1"/>
    <w:rsid w:val="007E0784"/>
    <w:rsid w:val="007E0920"/>
    <w:rsid w:val="007E1440"/>
    <w:rsid w:val="007E16E9"/>
    <w:rsid w:val="007E1869"/>
    <w:rsid w:val="007E18D0"/>
    <w:rsid w:val="007E3137"/>
    <w:rsid w:val="007E3BC4"/>
    <w:rsid w:val="007E418B"/>
    <w:rsid w:val="007E4584"/>
    <w:rsid w:val="007E49FD"/>
    <w:rsid w:val="007E4A51"/>
    <w:rsid w:val="007E5A20"/>
    <w:rsid w:val="007E6559"/>
    <w:rsid w:val="007E6CE0"/>
    <w:rsid w:val="007F02FC"/>
    <w:rsid w:val="007F0975"/>
    <w:rsid w:val="007F09B0"/>
    <w:rsid w:val="007F1999"/>
    <w:rsid w:val="007F248F"/>
    <w:rsid w:val="007F2923"/>
    <w:rsid w:val="007F311F"/>
    <w:rsid w:val="007F3410"/>
    <w:rsid w:val="007F5248"/>
    <w:rsid w:val="007F6237"/>
    <w:rsid w:val="007F6A4C"/>
    <w:rsid w:val="007F7871"/>
    <w:rsid w:val="008024BC"/>
    <w:rsid w:val="008032C7"/>
    <w:rsid w:val="008035E0"/>
    <w:rsid w:val="00804F1F"/>
    <w:rsid w:val="008054F7"/>
    <w:rsid w:val="0080586E"/>
    <w:rsid w:val="00807F98"/>
    <w:rsid w:val="00810071"/>
    <w:rsid w:val="00810AEC"/>
    <w:rsid w:val="00810D4B"/>
    <w:rsid w:val="008110AC"/>
    <w:rsid w:val="00811265"/>
    <w:rsid w:val="00811396"/>
    <w:rsid w:val="00811A5B"/>
    <w:rsid w:val="008120CE"/>
    <w:rsid w:val="008139D3"/>
    <w:rsid w:val="00814424"/>
    <w:rsid w:val="008154E4"/>
    <w:rsid w:val="0081621D"/>
    <w:rsid w:val="00816ADB"/>
    <w:rsid w:val="00817432"/>
    <w:rsid w:val="00817A67"/>
    <w:rsid w:val="0082121C"/>
    <w:rsid w:val="00821EF1"/>
    <w:rsid w:val="008231A2"/>
    <w:rsid w:val="00823A26"/>
    <w:rsid w:val="00823CFF"/>
    <w:rsid w:val="00824440"/>
    <w:rsid w:val="00825504"/>
    <w:rsid w:val="00825FDC"/>
    <w:rsid w:val="00826918"/>
    <w:rsid w:val="00827A2E"/>
    <w:rsid w:val="008319AA"/>
    <w:rsid w:val="00831CAC"/>
    <w:rsid w:val="00832128"/>
    <w:rsid w:val="008329F7"/>
    <w:rsid w:val="00833628"/>
    <w:rsid w:val="00833833"/>
    <w:rsid w:val="00833B95"/>
    <w:rsid w:val="00834083"/>
    <w:rsid w:val="008344EF"/>
    <w:rsid w:val="00834560"/>
    <w:rsid w:val="00834B0D"/>
    <w:rsid w:val="00835B05"/>
    <w:rsid w:val="00835F9C"/>
    <w:rsid w:val="0083715C"/>
    <w:rsid w:val="008371CE"/>
    <w:rsid w:val="008374E3"/>
    <w:rsid w:val="00840D6A"/>
    <w:rsid w:val="00841010"/>
    <w:rsid w:val="008410AD"/>
    <w:rsid w:val="0084160C"/>
    <w:rsid w:val="00841FBD"/>
    <w:rsid w:val="00843DCD"/>
    <w:rsid w:val="00843FAD"/>
    <w:rsid w:val="008449DD"/>
    <w:rsid w:val="0084559D"/>
    <w:rsid w:val="00845DED"/>
    <w:rsid w:val="0084604F"/>
    <w:rsid w:val="00846356"/>
    <w:rsid w:val="00846AA2"/>
    <w:rsid w:val="008479A2"/>
    <w:rsid w:val="00847FD0"/>
    <w:rsid w:val="008506F5"/>
    <w:rsid w:val="008509B3"/>
    <w:rsid w:val="008518D1"/>
    <w:rsid w:val="00851978"/>
    <w:rsid w:val="00853388"/>
    <w:rsid w:val="00853E92"/>
    <w:rsid w:val="00855CF3"/>
    <w:rsid w:val="00856305"/>
    <w:rsid w:val="00857481"/>
    <w:rsid w:val="00862C1C"/>
    <w:rsid w:val="00863298"/>
    <w:rsid w:val="00863D42"/>
    <w:rsid w:val="00865815"/>
    <w:rsid w:val="00865CD5"/>
    <w:rsid w:val="00866C2C"/>
    <w:rsid w:val="00871DF2"/>
    <w:rsid w:val="00872D9C"/>
    <w:rsid w:val="008734EB"/>
    <w:rsid w:val="00873C7D"/>
    <w:rsid w:val="008740AE"/>
    <w:rsid w:val="00875BD2"/>
    <w:rsid w:val="00876CC6"/>
    <w:rsid w:val="008773A3"/>
    <w:rsid w:val="008800A8"/>
    <w:rsid w:val="00882BCE"/>
    <w:rsid w:val="00882E92"/>
    <w:rsid w:val="00883329"/>
    <w:rsid w:val="00884048"/>
    <w:rsid w:val="00884125"/>
    <w:rsid w:val="00884A33"/>
    <w:rsid w:val="0088526A"/>
    <w:rsid w:val="008858F2"/>
    <w:rsid w:val="00886A26"/>
    <w:rsid w:val="008901D2"/>
    <w:rsid w:val="00890704"/>
    <w:rsid w:val="008907DA"/>
    <w:rsid w:val="00891D30"/>
    <w:rsid w:val="00892167"/>
    <w:rsid w:val="00893A53"/>
    <w:rsid w:val="00894636"/>
    <w:rsid w:val="008950B4"/>
    <w:rsid w:val="00896FEF"/>
    <w:rsid w:val="008A0828"/>
    <w:rsid w:val="008A0A4B"/>
    <w:rsid w:val="008A13A8"/>
    <w:rsid w:val="008A1433"/>
    <w:rsid w:val="008A167C"/>
    <w:rsid w:val="008A2589"/>
    <w:rsid w:val="008A2B33"/>
    <w:rsid w:val="008A60DE"/>
    <w:rsid w:val="008A6918"/>
    <w:rsid w:val="008A7157"/>
    <w:rsid w:val="008B12CA"/>
    <w:rsid w:val="008B1376"/>
    <w:rsid w:val="008B17A4"/>
    <w:rsid w:val="008B1C19"/>
    <w:rsid w:val="008B306B"/>
    <w:rsid w:val="008B333C"/>
    <w:rsid w:val="008B41B4"/>
    <w:rsid w:val="008B638A"/>
    <w:rsid w:val="008B71EE"/>
    <w:rsid w:val="008C13AC"/>
    <w:rsid w:val="008C192C"/>
    <w:rsid w:val="008C1A55"/>
    <w:rsid w:val="008C2AF6"/>
    <w:rsid w:val="008C3176"/>
    <w:rsid w:val="008C60AE"/>
    <w:rsid w:val="008C7200"/>
    <w:rsid w:val="008C7B0F"/>
    <w:rsid w:val="008C7E33"/>
    <w:rsid w:val="008D1045"/>
    <w:rsid w:val="008D26EF"/>
    <w:rsid w:val="008D321B"/>
    <w:rsid w:val="008D3598"/>
    <w:rsid w:val="008D4616"/>
    <w:rsid w:val="008D5152"/>
    <w:rsid w:val="008D7929"/>
    <w:rsid w:val="008D7E2D"/>
    <w:rsid w:val="008E065F"/>
    <w:rsid w:val="008E1F7D"/>
    <w:rsid w:val="008E2022"/>
    <w:rsid w:val="008E2E25"/>
    <w:rsid w:val="008E2E7F"/>
    <w:rsid w:val="008E31E3"/>
    <w:rsid w:val="008E365C"/>
    <w:rsid w:val="008E4EE6"/>
    <w:rsid w:val="008E592A"/>
    <w:rsid w:val="008E5F1F"/>
    <w:rsid w:val="008F0C33"/>
    <w:rsid w:val="008F1F5D"/>
    <w:rsid w:val="008F2988"/>
    <w:rsid w:val="008F2ABC"/>
    <w:rsid w:val="008F3466"/>
    <w:rsid w:val="008F389C"/>
    <w:rsid w:val="008F3A54"/>
    <w:rsid w:val="008F43B2"/>
    <w:rsid w:val="008F63D3"/>
    <w:rsid w:val="009004F5"/>
    <w:rsid w:val="00902480"/>
    <w:rsid w:val="00902BB4"/>
    <w:rsid w:val="009040BE"/>
    <w:rsid w:val="00904146"/>
    <w:rsid w:val="0090490F"/>
    <w:rsid w:val="00904C60"/>
    <w:rsid w:val="00906B8C"/>
    <w:rsid w:val="0090736F"/>
    <w:rsid w:val="009077C8"/>
    <w:rsid w:val="0090796F"/>
    <w:rsid w:val="00910F6E"/>
    <w:rsid w:val="0091185D"/>
    <w:rsid w:val="00913E8A"/>
    <w:rsid w:val="0091480D"/>
    <w:rsid w:val="00914CCB"/>
    <w:rsid w:val="009153E2"/>
    <w:rsid w:val="00916810"/>
    <w:rsid w:val="0091769C"/>
    <w:rsid w:val="00920096"/>
    <w:rsid w:val="009211AE"/>
    <w:rsid w:val="00921D42"/>
    <w:rsid w:val="009231A3"/>
    <w:rsid w:val="009237B2"/>
    <w:rsid w:val="00924AE6"/>
    <w:rsid w:val="00924FBD"/>
    <w:rsid w:val="0092615B"/>
    <w:rsid w:val="00926510"/>
    <w:rsid w:val="009266F2"/>
    <w:rsid w:val="00926D4F"/>
    <w:rsid w:val="00930595"/>
    <w:rsid w:val="0093075F"/>
    <w:rsid w:val="00930ED8"/>
    <w:rsid w:val="0093308B"/>
    <w:rsid w:val="009337E8"/>
    <w:rsid w:val="009349F3"/>
    <w:rsid w:val="00935C7A"/>
    <w:rsid w:val="00936BCC"/>
    <w:rsid w:val="00940426"/>
    <w:rsid w:val="0094113E"/>
    <w:rsid w:val="009435F6"/>
    <w:rsid w:val="009445B3"/>
    <w:rsid w:val="00946097"/>
    <w:rsid w:val="00950833"/>
    <w:rsid w:val="00950CFA"/>
    <w:rsid w:val="0095134F"/>
    <w:rsid w:val="009516CD"/>
    <w:rsid w:val="009531A5"/>
    <w:rsid w:val="00953CC3"/>
    <w:rsid w:val="00956225"/>
    <w:rsid w:val="0095655D"/>
    <w:rsid w:val="009568EA"/>
    <w:rsid w:val="009601BC"/>
    <w:rsid w:val="00960CD9"/>
    <w:rsid w:val="00961DC2"/>
    <w:rsid w:val="009627C7"/>
    <w:rsid w:val="00963613"/>
    <w:rsid w:val="00963C80"/>
    <w:rsid w:val="00964007"/>
    <w:rsid w:val="009645A7"/>
    <w:rsid w:val="00964E60"/>
    <w:rsid w:val="00965727"/>
    <w:rsid w:val="00967604"/>
    <w:rsid w:val="00967F48"/>
    <w:rsid w:val="0097004F"/>
    <w:rsid w:val="00970453"/>
    <w:rsid w:val="00970933"/>
    <w:rsid w:val="00970E15"/>
    <w:rsid w:val="00971DEE"/>
    <w:rsid w:val="0097226C"/>
    <w:rsid w:val="009756E7"/>
    <w:rsid w:val="009760A0"/>
    <w:rsid w:val="00980563"/>
    <w:rsid w:val="00980675"/>
    <w:rsid w:val="00981407"/>
    <w:rsid w:val="0098174D"/>
    <w:rsid w:val="009823A8"/>
    <w:rsid w:val="00982831"/>
    <w:rsid w:val="00982F0D"/>
    <w:rsid w:val="00983896"/>
    <w:rsid w:val="00983B6E"/>
    <w:rsid w:val="00983D1F"/>
    <w:rsid w:val="00984B6B"/>
    <w:rsid w:val="00985052"/>
    <w:rsid w:val="009852A9"/>
    <w:rsid w:val="00985876"/>
    <w:rsid w:val="009863F0"/>
    <w:rsid w:val="0098678F"/>
    <w:rsid w:val="0098687B"/>
    <w:rsid w:val="00986BE9"/>
    <w:rsid w:val="00987002"/>
    <w:rsid w:val="00987073"/>
    <w:rsid w:val="009870F2"/>
    <w:rsid w:val="009879E7"/>
    <w:rsid w:val="00990992"/>
    <w:rsid w:val="00991BF4"/>
    <w:rsid w:val="00992EA9"/>
    <w:rsid w:val="00994742"/>
    <w:rsid w:val="00994DCD"/>
    <w:rsid w:val="00995D9D"/>
    <w:rsid w:val="00997E89"/>
    <w:rsid w:val="009A2339"/>
    <w:rsid w:val="009A2688"/>
    <w:rsid w:val="009A26A7"/>
    <w:rsid w:val="009A2717"/>
    <w:rsid w:val="009A303A"/>
    <w:rsid w:val="009A3236"/>
    <w:rsid w:val="009A381D"/>
    <w:rsid w:val="009A4220"/>
    <w:rsid w:val="009A4655"/>
    <w:rsid w:val="009B0B7E"/>
    <w:rsid w:val="009B145D"/>
    <w:rsid w:val="009B159F"/>
    <w:rsid w:val="009B1941"/>
    <w:rsid w:val="009B1D66"/>
    <w:rsid w:val="009B2081"/>
    <w:rsid w:val="009B25E8"/>
    <w:rsid w:val="009B32A7"/>
    <w:rsid w:val="009B3531"/>
    <w:rsid w:val="009B38D3"/>
    <w:rsid w:val="009B3A7E"/>
    <w:rsid w:val="009B567B"/>
    <w:rsid w:val="009C0C81"/>
    <w:rsid w:val="009C1119"/>
    <w:rsid w:val="009C1A27"/>
    <w:rsid w:val="009C1D7B"/>
    <w:rsid w:val="009C20FC"/>
    <w:rsid w:val="009C3C07"/>
    <w:rsid w:val="009C4563"/>
    <w:rsid w:val="009C4C1A"/>
    <w:rsid w:val="009C5804"/>
    <w:rsid w:val="009C61D1"/>
    <w:rsid w:val="009C7F62"/>
    <w:rsid w:val="009C7FC7"/>
    <w:rsid w:val="009D0723"/>
    <w:rsid w:val="009D227B"/>
    <w:rsid w:val="009D49D8"/>
    <w:rsid w:val="009D52DC"/>
    <w:rsid w:val="009D5D04"/>
    <w:rsid w:val="009D5F09"/>
    <w:rsid w:val="009D60C6"/>
    <w:rsid w:val="009D66E5"/>
    <w:rsid w:val="009D799F"/>
    <w:rsid w:val="009D7CE7"/>
    <w:rsid w:val="009E0562"/>
    <w:rsid w:val="009E15FF"/>
    <w:rsid w:val="009E28E7"/>
    <w:rsid w:val="009E373F"/>
    <w:rsid w:val="009E4142"/>
    <w:rsid w:val="009E5017"/>
    <w:rsid w:val="009E5845"/>
    <w:rsid w:val="009E64AA"/>
    <w:rsid w:val="009E7361"/>
    <w:rsid w:val="009E7C37"/>
    <w:rsid w:val="009F1B9F"/>
    <w:rsid w:val="009F1EAF"/>
    <w:rsid w:val="009F2031"/>
    <w:rsid w:val="009F240A"/>
    <w:rsid w:val="009F2868"/>
    <w:rsid w:val="009F3B82"/>
    <w:rsid w:val="009F3CF7"/>
    <w:rsid w:val="009F4679"/>
    <w:rsid w:val="009F4727"/>
    <w:rsid w:val="009F4736"/>
    <w:rsid w:val="009F6014"/>
    <w:rsid w:val="009F7893"/>
    <w:rsid w:val="009F7B2C"/>
    <w:rsid w:val="00A00C31"/>
    <w:rsid w:val="00A011A4"/>
    <w:rsid w:val="00A027F1"/>
    <w:rsid w:val="00A03669"/>
    <w:rsid w:val="00A041EA"/>
    <w:rsid w:val="00A045CB"/>
    <w:rsid w:val="00A06BEF"/>
    <w:rsid w:val="00A07717"/>
    <w:rsid w:val="00A1166B"/>
    <w:rsid w:val="00A11A2F"/>
    <w:rsid w:val="00A11AFE"/>
    <w:rsid w:val="00A12153"/>
    <w:rsid w:val="00A12E14"/>
    <w:rsid w:val="00A1412C"/>
    <w:rsid w:val="00A1483B"/>
    <w:rsid w:val="00A153D0"/>
    <w:rsid w:val="00A15412"/>
    <w:rsid w:val="00A15FFF"/>
    <w:rsid w:val="00A21802"/>
    <w:rsid w:val="00A237A2"/>
    <w:rsid w:val="00A23C1B"/>
    <w:rsid w:val="00A23D6D"/>
    <w:rsid w:val="00A248FE"/>
    <w:rsid w:val="00A24A5A"/>
    <w:rsid w:val="00A26C91"/>
    <w:rsid w:val="00A30E7A"/>
    <w:rsid w:val="00A326FE"/>
    <w:rsid w:val="00A3405E"/>
    <w:rsid w:val="00A34C04"/>
    <w:rsid w:val="00A353D0"/>
    <w:rsid w:val="00A35638"/>
    <w:rsid w:val="00A36004"/>
    <w:rsid w:val="00A3618C"/>
    <w:rsid w:val="00A408F6"/>
    <w:rsid w:val="00A42B44"/>
    <w:rsid w:val="00A4360C"/>
    <w:rsid w:val="00A446D0"/>
    <w:rsid w:val="00A448DD"/>
    <w:rsid w:val="00A44CBF"/>
    <w:rsid w:val="00A44F37"/>
    <w:rsid w:val="00A45607"/>
    <w:rsid w:val="00A45BD3"/>
    <w:rsid w:val="00A463D7"/>
    <w:rsid w:val="00A46936"/>
    <w:rsid w:val="00A46A84"/>
    <w:rsid w:val="00A47B7E"/>
    <w:rsid w:val="00A50EFC"/>
    <w:rsid w:val="00A5138C"/>
    <w:rsid w:val="00A5154A"/>
    <w:rsid w:val="00A51750"/>
    <w:rsid w:val="00A51F83"/>
    <w:rsid w:val="00A51FA7"/>
    <w:rsid w:val="00A52022"/>
    <w:rsid w:val="00A521BE"/>
    <w:rsid w:val="00A53D0D"/>
    <w:rsid w:val="00A55470"/>
    <w:rsid w:val="00A55929"/>
    <w:rsid w:val="00A571BD"/>
    <w:rsid w:val="00A60185"/>
    <w:rsid w:val="00A60196"/>
    <w:rsid w:val="00A61AF4"/>
    <w:rsid w:val="00A61D90"/>
    <w:rsid w:val="00A61E06"/>
    <w:rsid w:val="00A62468"/>
    <w:rsid w:val="00A6314C"/>
    <w:rsid w:val="00A637E1"/>
    <w:rsid w:val="00A63B55"/>
    <w:rsid w:val="00A641A7"/>
    <w:rsid w:val="00A657D7"/>
    <w:rsid w:val="00A659E3"/>
    <w:rsid w:val="00A65EC2"/>
    <w:rsid w:val="00A6661F"/>
    <w:rsid w:val="00A6697E"/>
    <w:rsid w:val="00A67B7A"/>
    <w:rsid w:val="00A67E4E"/>
    <w:rsid w:val="00A7042F"/>
    <w:rsid w:val="00A70EF8"/>
    <w:rsid w:val="00A715A0"/>
    <w:rsid w:val="00A717B1"/>
    <w:rsid w:val="00A717FF"/>
    <w:rsid w:val="00A71DA0"/>
    <w:rsid w:val="00A7337A"/>
    <w:rsid w:val="00A738E2"/>
    <w:rsid w:val="00A74415"/>
    <w:rsid w:val="00A74ACA"/>
    <w:rsid w:val="00A75315"/>
    <w:rsid w:val="00A760AA"/>
    <w:rsid w:val="00A7671E"/>
    <w:rsid w:val="00A768EE"/>
    <w:rsid w:val="00A76E37"/>
    <w:rsid w:val="00A77100"/>
    <w:rsid w:val="00A771E5"/>
    <w:rsid w:val="00A77BF5"/>
    <w:rsid w:val="00A83C32"/>
    <w:rsid w:val="00A83FF6"/>
    <w:rsid w:val="00A84744"/>
    <w:rsid w:val="00A85B37"/>
    <w:rsid w:val="00A85CDB"/>
    <w:rsid w:val="00A86411"/>
    <w:rsid w:val="00A9024D"/>
    <w:rsid w:val="00A90B04"/>
    <w:rsid w:val="00A90DC0"/>
    <w:rsid w:val="00A91D8F"/>
    <w:rsid w:val="00A91F72"/>
    <w:rsid w:val="00A926BD"/>
    <w:rsid w:val="00A92EE6"/>
    <w:rsid w:val="00A93286"/>
    <w:rsid w:val="00A94103"/>
    <w:rsid w:val="00A94313"/>
    <w:rsid w:val="00A94E05"/>
    <w:rsid w:val="00A96583"/>
    <w:rsid w:val="00A96C7D"/>
    <w:rsid w:val="00A96E9A"/>
    <w:rsid w:val="00A97AEC"/>
    <w:rsid w:val="00A97B3C"/>
    <w:rsid w:val="00AA014B"/>
    <w:rsid w:val="00AA03E3"/>
    <w:rsid w:val="00AA04E1"/>
    <w:rsid w:val="00AA11E6"/>
    <w:rsid w:val="00AA1E7B"/>
    <w:rsid w:val="00AA2014"/>
    <w:rsid w:val="00AA3483"/>
    <w:rsid w:val="00AA46C5"/>
    <w:rsid w:val="00AA5C51"/>
    <w:rsid w:val="00AA7FE4"/>
    <w:rsid w:val="00AB083A"/>
    <w:rsid w:val="00AB0F3D"/>
    <w:rsid w:val="00AB1BE5"/>
    <w:rsid w:val="00AB1D6F"/>
    <w:rsid w:val="00AB28E9"/>
    <w:rsid w:val="00AB3644"/>
    <w:rsid w:val="00AB3EED"/>
    <w:rsid w:val="00AC010E"/>
    <w:rsid w:val="00AC0C11"/>
    <w:rsid w:val="00AC17F4"/>
    <w:rsid w:val="00AC1F68"/>
    <w:rsid w:val="00AC2314"/>
    <w:rsid w:val="00AC4130"/>
    <w:rsid w:val="00AC4348"/>
    <w:rsid w:val="00AC465B"/>
    <w:rsid w:val="00AC48F4"/>
    <w:rsid w:val="00AC498A"/>
    <w:rsid w:val="00AC5054"/>
    <w:rsid w:val="00AC5950"/>
    <w:rsid w:val="00AC7228"/>
    <w:rsid w:val="00AC7A9D"/>
    <w:rsid w:val="00AC7B2E"/>
    <w:rsid w:val="00AD13F7"/>
    <w:rsid w:val="00AD1C4A"/>
    <w:rsid w:val="00AD1FEA"/>
    <w:rsid w:val="00AD257D"/>
    <w:rsid w:val="00AD2A29"/>
    <w:rsid w:val="00AD2BB9"/>
    <w:rsid w:val="00AD3A32"/>
    <w:rsid w:val="00AD40F0"/>
    <w:rsid w:val="00AD496F"/>
    <w:rsid w:val="00AD49D5"/>
    <w:rsid w:val="00AD4E1F"/>
    <w:rsid w:val="00AD6554"/>
    <w:rsid w:val="00AD7E24"/>
    <w:rsid w:val="00AE0475"/>
    <w:rsid w:val="00AE2A07"/>
    <w:rsid w:val="00AE2DB5"/>
    <w:rsid w:val="00AE2F83"/>
    <w:rsid w:val="00AE655D"/>
    <w:rsid w:val="00AE78CE"/>
    <w:rsid w:val="00AE7B27"/>
    <w:rsid w:val="00AF0530"/>
    <w:rsid w:val="00AF0B0F"/>
    <w:rsid w:val="00AF2242"/>
    <w:rsid w:val="00AF22C9"/>
    <w:rsid w:val="00AF2EF8"/>
    <w:rsid w:val="00AF2F54"/>
    <w:rsid w:val="00AF4BEB"/>
    <w:rsid w:val="00AF5190"/>
    <w:rsid w:val="00AF5211"/>
    <w:rsid w:val="00AF52E2"/>
    <w:rsid w:val="00AF579E"/>
    <w:rsid w:val="00AF6594"/>
    <w:rsid w:val="00AF6BAE"/>
    <w:rsid w:val="00AF7245"/>
    <w:rsid w:val="00AF7BCB"/>
    <w:rsid w:val="00B03110"/>
    <w:rsid w:val="00B036DC"/>
    <w:rsid w:val="00B03DEF"/>
    <w:rsid w:val="00B04136"/>
    <w:rsid w:val="00B04B74"/>
    <w:rsid w:val="00B051C2"/>
    <w:rsid w:val="00B0576C"/>
    <w:rsid w:val="00B05AF3"/>
    <w:rsid w:val="00B068FA"/>
    <w:rsid w:val="00B11009"/>
    <w:rsid w:val="00B11402"/>
    <w:rsid w:val="00B11760"/>
    <w:rsid w:val="00B12955"/>
    <w:rsid w:val="00B13666"/>
    <w:rsid w:val="00B13D2C"/>
    <w:rsid w:val="00B14BC1"/>
    <w:rsid w:val="00B16978"/>
    <w:rsid w:val="00B17200"/>
    <w:rsid w:val="00B17828"/>
    <w:rsid w:val="00B20893"/>
    <w:rsid w:val="00B213F4"/>
    <w:rsid w:val="00B219B1"/>
    <w:rsid w:val="00B21EBA"/>
    <w:rsid w:val="00B229F5"/>
    <w:rsid w:val="00B24411"/>
    <w:rsid w:val="00B2536B"/>
    <w:rsid w:val="00B302D8"/>
    <w:rsid w:val="00B30716"/>
    <w:rsid w:val="00B3189C"/>
    <w:rsid w:val="00B32366"/>
    <w:rsid w:val="00B33DA3"/>
    <w:rsid w:val="00B40BEA"/>
    <w:rsid w:val="00B40EF7"/>
    <w:rsid w:val="00B410E9"/>
    <w:rsid w:val="00B418DE"/>
    <w:rsid w:val="00B421BD"/>
    <w:rsid w:val="00B4327F"/>
    <w:rsid w:val="00B449A5"/>
    <w:rsid w:val="00B44A85"/>
    <w:rsid w:val="00B44CC3"/>
    <w:rsid w:val="00B4543A"/>
    <w:rsid w:val="00B456DC"/>
    <w:rsid w:val="00B46004"/>
    <w:rsid w:val="00B47E05"/>
    <w:rsid w:val="00B47EBF"/>
    <w:rsid w:val="00B47F16"/>
    <w:rsid w:val="00B501CE"/>
    <w:rsid w:val="00B50215"/>
    <w:rsid w:val="00B503CD"/>
    <w:rsid w:val="00B50496"/>
    <w:rsid w:val="00B515DC"/>
    <w:rsid w:val="00B518F5"/>
    <w:rsid w:val="00B5233D"/>
    <w:rsid w:val="00B54EC4"/>
    <w:rsid w:val="00B55002"/>
    <w:rsid w:val="00B56025"/>
    <w:rsid w:val="00B564D8"/>
    <w:rsid w:val="00B56D10"/>
    <w:rsid w:val="00B57BBD"/>
    <w:rsid w:val="00B57E11"/>
    <w:rsid w:val="00B6120D"/>
    <w:rsid w:val="00B638BD"/>
    <w:rsid w:val="00B64367"/>
    <w:rsid w:val="00B65024"/>
    <w:rsid w:val="00B67579"/>
    <w:rsid w:val="00B67662"/>
    <w:rsid w:val="00B67ADC"/>
    <w:rsid w:val="00B703CA"/>
    <w:rsid w:val="00B7148F"/>
    <w:rsid w:val="00B71686"/>
    <w:rsid w:val="00B71707"/>
    <w:rsid w:val="00B72232"/>
    <w:rsid w:val="00B7247D"/>
    <w:rsid w:val="00B73840"/>
    <w:rsid w:val="00B74003"/>
    <w:rsid w:val="00B74822"/>
    <w:rsid w:val="00B74C2B"/>
    <w:rsid w:val="00B76053"/>
    <w:rsid w:val="00B76251"/>
    <w:rsid w:val="00B76D36"/>
    <w:rsid w:val="00B76D50"/>
    <w:rsid w:val="00B77FCF"/>
    <w:rsid w:val="00B806DF"/>
    <w:rsid w:val="00B8070C"/>
    <w:rsid w:val="00B8345D"/>
    <w:rsid w:val="00B84103"/>
    <w:rsid w:val="00B8509C"/>
    <w:rsid w:val="00B85428"/>
    <w:rsid w:val="00B85724"/>
    <w:rsid w:val="00B85A2C"/>
    <w:rsid w:val="00B8669F"/>
    <w:rsid w:val="00B912EE"/>
    <w:rsid w:val="00B91F0D"/>
    <w:rsid w:val="00B9313E"/>
    <w:rsid w:val="00B932B6"/>
    <w:rsid w:val="00B965A0"/>
    <w:rsid w:val="00B96652"/>
    <w:rsid w:val="00BA07E2"/>
    <w:rsid w:val="00BA0C25"/>
    <w:rsid w:val="00BA30FE"/>
    <w:rsid w:val="00BA5026"/>
    <w:rsid w:val="00BA6C4C"/>
    <w:rsid w:val="00BA7AA6"/>
    <w:rsid w:val="00BA7CAA"/>
    <w:rsid w:val="00BA7EF5"/>
    <w:rsid w:val="00BA7F6B"/>
    <w:rsid w:val="00BB13B0"/>
    <w:rsid w:val="00BB1A5D"/>
    <w:rsid w:val="00BB1A93"/>
    <w:rsid w:val="00BB3427"/>
    <w:rsid w:val="00BB3954"/>
    <w:rsid w:val="00BB465F"/>
    <w:rsid w:val="00BB5B8C"/>
    <w:rsid w:val="00BB6879"/>
    <w:rsid w:val="00BB6B7A"/>
    <w:rsid w:val="00BB782C"/>
    <w:rsid w:val="00BC0508"/>
    <w:rsid w:val="00BC14D9"/>
    <w:rsid w:val="00BC1E2F"/>
    <w:rsid w:val="00BC3C0B"/>
    <w:rsid w:val="00BC4919"/>
    <w:rsid w:val="00BC4A0D"/>
    <w:rsid w:val="00BC5A8D"/>
    <w:rsid w:val="00BC6139"/>
    <w:rsid w:val="00BD1526"/>
    <w:rsid w:val="00BD177B"/>
    <w:rsid w:val="00BD1BB0"/>
    <w:rsid w:val="00BD442A"/>
    <w:rsid w:val="00BD464C"/>
    <w:rsid w:val="00BD5179"/>
    <w:rsid w:val="00BD5710"/>
    <w:rsid w:val="00BD6DB8"/>
    <w:rsid w:val="00BD7C0E"/>
    <w:rsid w:val="00BE1049"/>
    <w:rsid w:val="00BE213D"/>
    <w:rsid w:val="00BE5244"/>
    <w:rsid w:val="00BE62B3"/>
    <w:rsid w:val="00BE64A8"/>
    <w:rsid w:val="00BE6A12"/>
    <w:rsid w:val="00BE72FA"/>
    <w:rsid w:val="00BE7A1E"/>
    <w:rsid w:val="00BE7D16"/>
    <w:rsid w:val="00BE7DBF"/>
    <w:rsid w:val="00BF0019"/>
    <w:rsid w:val="00BF02CC"/>
    <w:rsid w:val="00BF0332"/>
    <w:rsid w:val="00BF113C"/>
    <w:rsid w:val="00BF149B"/>
    <w:rsid w:val="00BF1E1C"/>
    <w:rsid w:val="00BF1E46"/>
    <w:rsid w:val="00BF23AA"/>
    <w:rsid w:val="00BF3AB5"/>
    <w:rsid w:val="00BF5284"/>
    <w:rsid w:val="00BF5A09"/>
    <w:rsid w:val="00BF7ED5"/>
    <w:rsid w:val="00C01073"/>
    <w:rsid w:val="00C011A6"/>
    <w:rsid w:val="00C012A8"/>
    <w:rsid w:val="00C01431"/>
    <w:rsid w:val="00C01D71"/>
    <w:rsid w:val="00C0436F"/>
    <w:rsid w:val="00C049B9"/>
    <w:rsid w:val="00C04A8E"/>
    <w:rsid w:val="00C04E60"/>
    <w:rsid w:val="00C04ED1"/>
    <w:rsid w:val="00C0672B"/>
    <w:rsid w:val="00C067EB"/>
    <w:rsid w:val="00C10ADB"/>
    <w:rsid w:val="00C112AD"/>
    <w:rsid w:val="00C12B92"/>
    <w:rsid w:val="00C12BA0"/>
    <w:rsid w:val="00C130C0"/>
    <w:rsid w:val="00C1451E"/>
    <w:rsid w:val="00C14794"/>
    <w:rsid w:val="00C14810"/>
    <w:rsid w:val="00C14ADA"/>
    <w:rsid w:val="00C156E6"/>
    <w:rsid w:val="00C15E1C"/>
    <w:rsid w:val="00C16AA8"/>
    <w:rsid w:val="00C16E36"/>
    <w:rsid w:val="00C17B6F"/>
    <w:rsid w:val="00C2048B"/>
    <w:rsid w:val="00C213DF"/>
    <w:rsid w:val="00C22D2A"/>
    <w:rsid w:val="00C22D7A"/>
    <w:rsid w:val="00C2377F"/>
    <w:rsid w:val="00C2461E"/>
    <w:rsid w:val="00C24DA3"/>
    <w:rsid w:val="00C264D5"/>
    <w:rsid w:val="00C26BD1"/>
    <w:rsid w:val="00C26E3F"/>
    <w:rsid w:val="00C26E44"/>
    <w:rsid w:val="00C31462"/>
    <w:rsid w:val="00C31C23"/>
    <w:rsid w:val="00C32BFD"/>
    <w:rsid w:val="00C332E9"/>
    <w:rsid w:val="00C34396"/>
    <w:rsid w:val="00C3614B"/>
    <w:rsid w:val="00C367CE"/>
    <w:rsid w:val="00C3699F"/>
    <w:rsid w:val="00C402A6"/>
    <w:rsid w:val="00C40883"/>
    <w:rsid w:val="00C416B1"/>
    <w:rsid w:val="00C4188F"/>
    <w:rsid w:val="00C41DF7"/>
    <w:rsid w:val="00C420D8"/>
    <w:rsid w:val="00C42578"/>
    <w:rsid w:val="00C42FBF"/>
    <w:rsid w:val="00C43E97"/>
    <w:rsid w:val="00C44843"/>
    <w:rsid w:val="00C452A2"/>
    <w:rsid w:val="00C454A9"/>
    <w:rsid w:val="00C45FC8"/>
    <w:rsid w:val="00C460E4"/>
    <w:rsid w:val="00C468F4"/>
    <w:rsid w:val="00C473ED"/>
    <w:rsid w:val="00C508BC"/>
    <w:rsid w:val="00C511EC"/>
    <w:rsid w:val="00C51283"/>
    <w:rsid w:val="00C51FC2"/>
    <w:rsid w:val="00C52A0A"/>
    <w:rsid w:val="00C53B26"/>
    <w:rsid w:val="00C5431D"/>
    <w:rsid w:val="00C557BB"/>
    <w:rsid w:val="00C558AF"/>
    <w:rsid w:val="00C60484"/>
    <w:rsid w:val="00C60DDA"/>
    <w:rsid w:val="00C6152D"/>
    <w:rsid w:val="00C61533"/>
    <w:rsid w:val="00C61AAA"/>
    <w:rsid w:val="00C61AFF"/>
    <w:rsid w:val="00C61B28"/>
    <w:rsid w:val="00C635E7"/>
    <w:rsid w:val="00C64BBC"/>
    <w:rsid w:val="00C65283"/>
    <w:rsid w:val="00C6636F"/>
    <w:rsid w:val="00C66998"/>
    <w:rsid w:val="00C6732F"/>
    <w:rsid w:val="00C67813"/>
    <w:rsid w:val="00C70AB7"/>
    <w:rsid w:val="00C70B49"/>
    <w:rsid w:val="00C7330F"/>
    <w:rsid w:val="00C74374"/>
    <w:rsid w:val="00C75EC5"/>
    <w:rsid w:val="00C762FC"/>
    <w:rsid w:val="00C766C0"/>
    <w:rsid w:val="00C76A53"/>
    <w:rsid w:val="00C80C3F"/>
    <w:rsid w:val="00C8132C"/>
    <w:rsid w:val="00C8147A"/>
    <w:rsid w:val="00C822F6"/>
    <w:rsid w:val="00C82851"/>
    <w:rsid w:val="00C82989"/>
    <w:rsid w:val="00C82DD8"/>
    <w:rsid w:val="00C86A2E"/>
    <w:rsid w:val="00C87815"/>
    <w:rsid w:val="00C914D8"/>
    <w:rsid w:val="00C93AB9"/>
    <w:rsid w:val="00C956F3"/>
    <w:rsid w:val="00C95DA2"/>
    <w:rsid w:val="00C9747E"/>
    <w:rsid w:val="00C97ACD"/>
    <w:rsid w:val="00CA06E0"/>
    <w:rsid w:val="00CA2B5C"/>
    <w:rsid w:val="00CA3A37"/>
    <w:rsid w:val="00CA3F57"/>
    <w:rsid w:val="00CA68F0"/>
    <w:rsid w:val="00CA6AF8"/>
    <w:rsid w:val="00CA6CE9"/>
    <w:rsid w:val="00CA6F8A"/>
    <w:rsid w:val="00CA7AEC"/>
    <w:rsid w:val="00CA7C12"/>
    <w:rsid w:val="00CA7C95"/>
    <w:rsid w:val="00CA7F80"/>
    <w:rsid w:val="00CB1556"/>
    <w:rsid w:val="00CB16ED"/>
    <w:rsid w:val="00CB28AF"/>
    <w:rsid w:val="00CB2E0F"/>
    <w:rsid w:val="00CB38C8"/>
    <w:rsid w:val="00CB52AD"/>
    <w:rsid w:val="00CB5D29"/>
    <w:rsid w:val="00CB66A4"/>
    <w:rsid w:val="00CB7482"/>
    <w:rsid w:val="00CC03AB"/>
    <w:rsid w:val="00CC1902"/>
    <w:rsid w:val="00CC2514"/>
    <w:rsid w:val="00CC37F9"/>
    <w:rsid w:val="00CC46A2"/>
    <w:rsid w:val="00CC5414"/>
    <w:rsid w:val="00CC68B8"/>
    <w:rsid w:val="00CC7857"/>
    <w:rsid w:val="00CD0403"/>
    <w:rsid w:val="00CD04DB"/>
    <w:rsid w:val="00CD34DB"/>
    <w:rsid w:val="00CD4C9C"/>
    <w:rsid w:val="00CD4D0D"/>
    <w:rsid w:val="00CD4F85"/>
    <w:rsid w:val="00CD6A7E"/>
    <w:rsid w:val="00CD6E7C"/>
    <w:rsid w:val="00CD74CC"/>
    <w:rsid w:val="00CE05EE"/>
    <w:rsid w:val="00CE1A12"/>
    <w:rsid w:val="00CE215A"/>
    <w:rsid w:val="00CE2203"/>
    <w:rsid w:val="00CE2C04"/>
    <w:rsid w:val="00CE3508"/>
    <w:rsid w:val="00CE41A2"/>
    <w:rsid w:val="00CE4B59"/>
    <w:rsid w:val="00CE726E"/>
    <w:rsid w:val="00CE7973"/>
    <w:rsid w:val="00CF0BFD"/>
    <w:rsid w:val="00CF3DAF"/>
    <w:rsid w:val="00CF3F23"/>
    <w:rsid w:val="00CF471E"/>
    <w:rsid w:val="00CF660C"/>
    <w:rsid w:val="00CF6D8A"/>
    <w:rsid w:val="00CF7491"/>
    <w:rsid w:val="00CF76B9"/>
    <w:rsid w:val="00CF7AB6"/>
    <w:rsid w:val="00D0186E"/>
    <w:rsid w:val="00D01937"/>
    <w:rsid w:val="00D0367B"/>
    <w:rsid w:val="00D0494F"/>
    <w:rsid w:val="00D071E4"/>
    <w:rsid w:val="00D07655"/>
    <w:rsid w:val="00D1006F"/>
    <w:rsid w:val="00D121D7"/>
    <w:rsid w:val="00D14392"/>
    <w:rsid w:val="00D15210"/>
    <w:rsid w:val="00D165DA"/>
    <w:rsid w:val="00D2014F"/>
    <w:rsid w:val="00D2150A"/>
    <w:rsid w:val="00D21FA2"/>
    <w:rsid w:val="00D221F0"/>
    <w:rsid w:val="00D2226B"/>
    <w:rsid w:val="00D227CB"/>
    <w:rsid w:val="00D22F4F"/>
    <w:rsid w:val="00D2504E"/>
    <w:rsid w:val="00D2654A"/>
    <w:rsid w:val="00D26957"/>
    <w:rsid w:val="00D31696"/>
    <w:rsid w:val="00D31EC8"/>
    <w:rsid w:val="00D33926"/>
    <w:rsid w:val="00D344AC"/>
    <w:rsid w:val="00D35099"/>
    <w:rsid w:val="00D358DF"/>
    <w:rsid w:val="00D35943"/>
    <w:rsid w:val="00D3616A"/>
    <w:rsid w:val="00D3695E"/>
    <w:rsid w:val="00D36D05"/>
    <w:rsid w:val="00D3773E"/>
    <w:rsid w:val="00D378EC"/>
    <w:rsid w:val="00D4004C"/>
    <w:rsid w:val="00D40074"/>
    <w:rsid w:val="00D41FE2"/>
    <w:rsid w:val="00D43299"/>
    <w:rsid w:val="00D43DBB"/>
    <w:rsid w:val="00D44BB8"/>
    <w:rsid w:val="00D44FDB"/>
    <w:rsid w:val="00D457A9"/>
    <w:rsid w:val="00D46832"/>
    <w:rsid w:val="00D472A7"/>
    <w:rsid w:val="00D478D6"/>
    <w:rsid w:val="00D50095"/>
    <w:rsid w:val="00D50620"/>
    <w:rsid w:val="00D50EEF"/>
    <w:rsid w:val="00D51301"/>
    <w:rsid w:val="00D57AED"/>
    <w:rsid w:val="00D60E4D"/>
    <w:rsid w:val="00D60F2D"/>
    <w:rsid w:val="00D61020"/>
    <w:rsid w:val="00D61A92"/>
    <w:rsid w:val="00D62E62"/>
    <w:rsid w:val="00D62F61"/>
    <w:rsid w:val="00D6304A"/>
    <w:rsid w:val="00D65C50"/>
    <w:rsid w:val="00D65DCE"/>
    <w:rsid w:val="00D66130"/>
    <w:rsid w:val="00D66C35"/>
    <w:rsid w:val="00D6754D"/>
    <w:rsid w:val="00D70B55"/>
    <w:rsid w:val="00D7179A"/>
    <w:rsid w:val="00D73500"/>
    <w:rsid w:val="00D73A16"/>
    <w:rsid w:val="00D73FF5"/>
    <w:rsid w:val="00D750E0"/>
    <w:rsid w:val="00D75743"/>
    <w:rsid w:val="00D75A1E"/>
    <w:rsid w:val="00D7661B"/>
    <w:rsid w:val="00D76678"/>
    <w:rsid w:val="00D76C15"/>
    <w:rsid w:val="00D77512"/>
    <w:rsid w:val="00D77BAF"/>
    <w:rsid w:val="00D80F49"/>
    <w:rsid w:val="00D81518"/>
    <w:rsid w:val="00D81FC1"/>
    <w:rsid w:val="00D82DB4"/>
    <w:rsid w:val="00D83D90"/>
    <w:rsid w:val="00D8590D"/>
    <w:rsid w:val="00D85AD9"/>
    <w:rsid w:val="00D85B36"/>
    <w:rsid w:val="00D85FF9"/>
    <w:rsid w:val="00D87272"/>
    <w:rsid w:val="00D90B0E"/>
    <w:rsid w:val="00D90D88"/>
    <w:rsid w:val="00D9326E"/>
    <w:rsid w:val="00D93421"/>
    <w:rsid w:val="00D93661"/>
    <w:rsid w:val="00D947BB"/>
    <w:rsid w:val="00D94B61"/>
    <w:rsid w:val="00D94C76"/>
    <w:rsid w:val="00D96550"/>
    <w:rsid w:val="00D97DB9"/>
    <w:rsid w:val="00DA061B"/>
    <w:rsid w:val="00DA065A"/>
    <w:rsid w:val="00DA0B97"/>
    <w:rsid w:val="00DA2529"/>
    <w:rsid w:val="00DA2D35"/>
    <w:rsid w:val="00DA2D64"/>
    <w:rsid w:val="00DA422F"/>
    <w:rsid w:val="00DA7813"/>
    <w:rsid w:val="00DB0AC1"/>
    <w:rsid w:val="00DB0D2C"/>
    <w:rsid w:val="00DB1191"/>
    <w:rsid w:val="00DB17C4"/>
    <w:rsid w:val="00DB18A1"/>
    <w:rsid w:val="00DB2F19"/>
    <w:rsid w:val="00DB3676"/>
    <w:rsid w:val="00DB3C13"/>
    <w:rsid w:val="00DB3DF6"/>
    <w:rsid w:val="00DB50AE"/>
    <w:rsid w:val="00DB741E"/>
    <w:rsid w:val="00DB76E1"/>
    <w:rsid w:val="00DB7D79"/>
    <w:rsid w:val="00DC0D79"/>
    <w:rsid w:val="00DC3B60"/>
    <w:rsid w:val="00DC4AB6"/>
    <w:rsid w:val="00DC5BAE"/>
    <w:rsid w:val="00DC7C41"/>
    <w:rsid w:val="00DD030A"/>
    <w:rsid w:val="00DD0A25"/>
    <w:rsid w:val="00DD1E59"/>
    <w:rsid w:val="00DD239F"/>
    <w:rsid w:val="00DD327F"/>
    <w:rsid w:val="00DD3CFF"/>
    <w:rsid w:val="00DD4DE3"/>
    <w:rsid w:val="00DD4E50"/>
    <w:rsid w:val="00DD506B"/>
    <w:rsid w:val="00DD55F0"/>
    <w:rsid w:val="00DD6ADF"/>
    <w:rsid w:val="00DE221B"/>
    <w:rsid w:val="00DE478C"/>
    <w:rsid w:val="00DE47D8"/>
    <w:rsid w:val="00DE4A7D"/>
    <w:rsid w:val="00DE4AD0"/>
    <w:rsid w:val="00DE4D90"/>
    <w:rsid w:val="00DE54AB"/>
    <w:rsid w:val="00DE55EE"/>
    <w:rsid w:val="00DE59CD"/>
    <w:rsid w:val="00DE5EEB"/>
    <w:rsid w:val="00DE61E9"/>
    <w:rsid w:val="00DE6A44"/>
    <w:rsid w:val="00DE71D0"/>
    <w:rsid w:val="00DE79CF"/>
    <w:rsid w:val="00DF032F"/>
    <w:rsid w:val="00DF0718"/>
    <w:rsid w:val="00DF1017"/>
    <w:rsid w:val="00DF2253"/>
    <w:rsid w:val="00DF2303"/>
    <w:rsid w:val="00DF3321"/>
    <w:rsid w:val="00DF3455"/>
    <w:rsid w:val="00DF35B1"/>
    <w:rsid w:val="00DF44D4"/>
    <w:rsid w:val="00DF585B"/>
    <w:rsid w:val="00DF6049"/>
    <w:rsid w:val="00DF60DB"/>
    <w:rsid w:val="00DF623A"/>
    <w:rsid w:val="00DF78FB"/>
    <w:rsid w:val="00DF7B06"/>
    <w:rsid w:val="00DF7B9E"/>
    <w:rsid w:val="00E054A6"/>
    <w:rsid w:val="00E05CBB"/>
    <w:rsid w:val="00E07CA2"/>
    <w:rsid w:val="00E07E25"/>
    <w:rsid w:val="00E103F7"/>
    <w:rsid w:val="00E11051"/>
    <w:rsid w:val="00E11724"/>
    <w:rsid w:val="00E139E8"/>
    <w:rsid w:val="00E146D1"/>
    <w:rsid w:val="00E14ED4"/>
    <w:rsid w:val="00E15267"/>
    <w:rsid w:val="00E15F87"/>
    <w:rsid w:val="00E16010"/>
    <w:rsid w:val="00E20B93"/>
    <w:rsid w:val="00E21CEC"/>
    <w:rsid w:val="00E2281F"/>
    <w:rsid w:val="00E228DE"/>
    <w:rsid w:val="00E22934"/>
    <w:rsid w:val="00E22BB0"/>
    <w:rsid w:val="00E24858"/>
    <w:rsid w:val="00E253AB"/>
    <w:rsid w:val="00E257B2"/>
    <w:rsid w:val="00E25996"/>
    <w:rsid w:val="00E26536"/>
    <w:rsid w:val="00E310DC"/>
    <w:rsid w:val="00E31988"/>
    <w:rsid w:val="00E31DB4"/>
    <w:rsid w:val="00E34ED8"/>
    <w:rsid w:val="00E3524D"/>
    <w:rsid w:val="00E353F9"/>
    <w:rsid w:val="00E354A4"/>
    <w:rsid w:val="00E365AB"/>
    <w:rsid w:val="00E375C2"/>
    <w:rsid w:val="00E40436"/>
    <w:rsid w:val="00E42682"/>
    <w:rsid w:val="00E435D1"/>
    <w:rsid w:val="00E44C7C"/>
    <w:rsid w:val="00E44E63"/>
    <w:rsid w:val="00E5150D"/>
    <w:rsid w:val="00E52B21"/>
    <w:rsid w:val="00E53DA2"/>
    <w:rsid w:val="00E54063"/>
    <w:rsid w:val="00E54998"/>
    <w:rsid w:val="00E57D92"/>
    <w:rsid w:val="00E57FBB"/>
    <w:rsid w:val="00E6082D"/>
    <w:rsid w:val="00E60C95"/>
    <w:rsid w:val="00E61470"/>
    <w:rsid w:val="00E61DB7"/>
    <w:rsid w:val="00E62AFD"/>
    <w:rsid w:val="00E632D6"/>
    <w:rsid w:val="00E63624"/>
    <w:rsid w:val="00E63759"/>
    <w:rsid w:val="00E6420A"/>
    <w:rsid w:val="00E65641"/>
    <w:rsid w:val="00E6684B"/>
    <w:rsid w:val="00E70006"/>
    <w:rsid w:val="00E71BC3"/>
    <w:rsid w:val="00E73060"/>
    <w:rsid w:val="00E74C6A"/>
    <w:rsid w:val="00E74DA1"/>
    <w:rsid w:val="00E7501D"/>
    <w:rsid w:val="00E755BC"/>
    <w:rsid w:val="00E756A3"/>
    <w:rsid w:val="00E75AD3"/>
    <w:rsid w:val="00E771AA"/>
    <w:rsid w:val="00E771C9"/>
    <w:rsid w:val="00E779F7"/>
    <w:rsid w:val="00E806BA"/>
    <w:rsid w:val="00E8102A"/>
    <w:rsid w:val="00E815F0"/>
    <w:rsid w:val="00E8162C"/>
    <w:rsid w:val="00E81F0E"/>
    <w:rsid w:val="00E825E4"/>
    <w:rsid w:val="00E82CF3"/>
    <w:rsid w:val="00E83213"/>
    <w:rsid w:val="00E835A3"/>
    <w:rsid w:val="00E83BF9"/>
    <w:rsid w:val="00E8461D"/>
    <w:rsid w:val="00E8570A"/>
    <w:rsid w:val="00E85D80"/>
    <w:rsid w:val="00E86335"/>
    <w:rsid w:val="00E863EE"/>
    <w:rsid w:val="00E86C01"/>
    <w:rsid w:val="00E86DD2"/>
    <w:rsid w:val="00E906B8"/>
    <w:rsid w:val="00E908E0"/>
    <w:rsid w:val="00E913CE"/>
    <w:rsid w:val="00E914A4"/>
    <w:rsid w:val="00E93C91"/>
    <w:rsid w:val="00E94577"/>
    <w:rsid w:val="00E94DC4"/>
    <w:rsid w:val="00E9579D"/>
    <w:rsid w:val="00E96D5B"/>
    <w:rsid w:val="00E97805"/>
    <w:rsid w:val="00EA13C0"/>
    <w:rsid w:val="00EA154D"/>
    <w:rsid w:val="00EA2C63"/>
    <w:rsid w:val="00EA2F1D"/>
    <w:rsid w:val="00EA3007"/>
    <w:rsid w:val="00EA3A9F"/>
    <w:rsid w:val="00EA3DD4"/>
    <w:rsid w:val="00EA472F"/>
    <w:rsid w:val="00EA4F40"/>
    <w:rsid w:val="00EA60AE"/>
    <w:rsid w:val="00EA6F4F"/>
    <w:rsid w:val="00EB0A36"/>
    <w:rsid w:val="00EB0A83"/>
    <w:rsid w:val="00EB0CEE"/>
    <w:rsid w:val="00EB1197"/>
    <w:rsid w:val="00EB1CF4"/>
    <w:rsid w:val="00EB3085"/>
    <w:rsid w:val="00EB3F55"/>
    <w:rsid w:val="00EB4023"/>
    <w:rsid w:val="00EB458E"/>
    <w:rsid w:val="00EB49B0"/>
    <w:rsid w:val="00EB4C55"/>
    <w:rsid w:val="00EB76E9"/>
    <w:rsid w:val="00EB7883"/>
    <w:rsid w:val="00EB7DDC"/>
    <w:rsid w:val="00EC12E6"/>
    <w:rsid w:val="00EC2763"/>
    <w:rsid w:val="00EC2A04"/>
    <w:rsid w:val="00EC2F07"/>
    <w:rsid w:val="00EC43AE"/>
    <w:rsid w:val="00EC4BC5"/>
    <w:rsid w:val="00EC5143"/>
    <w:rsid w:val="00EC6341"/>
    <w:rsid w:val="00EC78E8"/>
    <w:rsid w:val="00ED1995"/>
    <w:rsid w:val="00ED1E45"/>
    <w:rsid w:val="00ED2DBB"/>
    <w:rsid w:val="00ED4207"/>
    <w:rsid w:val="00ED4379"/>
    <w:rsid w:val="00ED5D20"/>
    <w:rsid w:val="00ED71F1"/>
    <w:rsid w:val="00EE02EC"/>
    <w:rsid w:val="00EE0391"/>
    <w:rsid w:val="00EE0AEC"/>
    <w:rsid w:val="00EE0D13"/>
    <w:rsid w:val="00EE0FD4"/>
    <w:rsid w:val="00EE1446"/>
    <w:rsid w:val="00EE2B79"/>
    <w:rsid w:val="00EE2EC9"/>
    <w:rsid w:val="00EE5CA0"/>
    <w:rsid w:val="00EE6C11"/>
    <w:rsid w:val="00EE6F0C"/>
    <w:rsid w:val="00EE7B28"/>
    <w:rsid w:val="00EF0E6F"/>
    <w:rsid w:val="00EF1945"/>
    <w:rsid w:val="00EF2148"/>
    <w:rsid w:val="00EF2FBF"/>
    <w:rsid w:val="00EF2FF7"/>
    <w:rsid w:val="00EF42A7"/>
    <w:rsid w:val="00EF42EA"/>
    <w:rsid w:val="00EF5DFE"/>
    <w:rsid w:val="00EF67FC"/>
    <w:rsid w:val="00EF6B82"/>
    <w:rsid w:val="00EF746E"/>
    <w:rsid w:val="00F00464"/>
    <w:rsid w:val="00F00AB0"/>
    <w:rsid w:val="00F01234"/>
    <w:rsid w:val="00F01536"/>
    <w:rsid w:val="00F01D37"/>
    <w:rsid w:val="00F0444D"/>
    <w:rsid w:val="00F04F62"/>
    <w:rsid w:val="00F05178"/>
    <w:rsid w:val="00F051A1"/>
    <w:rsid w:val="00F06A4B"/>
    <w:rsid w:val="00F07A12"/>
    <w:rsid w:val="00F07A8C"/>
    <w:rsid w:val="00F07C21"/>
    <w:rsid w:val="00F1057E"/>
    <w:rsid w:val="00F10C59"/>
    <w:rsid w:val="00F1156C"/>
    <w:rsid w:val="00F130EE"/>
    <w:rsid w:val="00F135FD"/>
    <w:rsid w:val="00F1384F"/>
    <w:rsid w:val="00F13CBB"/>
    <w:rsid w:val="00F13E7A"/>
    <w:rsid w:val="00F1487C"/>
    <w:rsid w:val="00F15C06"/>
    <w:rsid w:val="00F15DA4"/>
    <w:rsid w:val="00F16F94"/>
    <w:rsid w:val="00F17779"/>
    <w:rsid w:val="00F22769"/>
    <w:rsid w:val="00F245F2"/>
    <w:rsid w:val="00F25E10"/>
    <w:rsid w:val="00F30871"/>
    <w:rsid w:val="00F30AC3"/>
    <w:rsid w:val="00F3327D"/>
    <w:rsid w:val="00F34213"/>
    <w:rsid w:val="00F3425D"/>
    <w:rsid w:val="00F34C53"/>
    <w:rsid w:val="00F35119"/>
    <w:rsid w:val="00F352B9"/>
    <w:rsid w:val="00F355B4"/>
    <w:rsid w:val="00F35D9C"/>
    <w:rsid w:val="00F40673"/>
    <w:rsid w:val="00F4263A"/>
    <w:rsid w:val="00F428EA"/>
    <w:rsid w:val="00F464EE"/>
    <w:rsid w:val="00F47A01"/>
    <w:rsid w:val="00F47E5F"/>
    <w:rsid w:val="00F502B8"/>
    <w:rsid w:val="00F5393E"/>
    <w:rsid w:val="00F53B87"/>
    <w:rsid w:val="00F54BA4"/>
    <w:rsid w:val="00F54C93"/>
    <w:rsid w:val="00F56B66"/>
    <w:rsid w:val="00F5708E"/>
    <w:rsid w:val="00F60972"/>
    <w:rsid w:val="00F61451"/>
    <w:rsid w:val="00F619F4"/>
    <w:rsid w:val="00F62145"/>
    <w:rsid w:val="00F62848"/>
    <w:rsid w:val="00F62889"/>
    <w:rsid w:val="00F633DD"/>
    <w:rsid w:val="00F642AE"/>
    <w:rsid w:val="00F645E1"/>
    <w:rsid w:val="00F64814"/>
    <w:rsid w:val="00F64A71"/>
    <w:rsid w:val="00F669CC"/>
    <w:rsid w:val="00F66E98"/>
    <w:rsid w:val="00F66F3B"/>
    <w:rsid w:val="00F67D25"/>
    <w:rsid w:val="00F705DD"/>
    <w:rsid w:val="00F72DAD"/>
    <w:rsid w:val="00F74CCC"/>
    <w:rsid w:val="00F75538"/>
    <w:rsid w:val="00F768A5"/>
    <w:rsid w:val="00F7728D"/>
    <w:rsid w:val="00F77518"/>
    <w:rsid w:val="00F7783E"/>
    <w:rsid w:val="00F808AB"/>
    <w:rsid w:val="00F80A6B"/>
    <w:rsid w:val="00F81375"/>
    <w:rsid w:val="00F813B4"/>
    <w:rsid w:val="00F815D7"/>
    <w:rsid w:val="00F8224B"/>
    <w:rsid w:val="00F828E6"/>
    <w:rsid w:val="00F836C8"/>
    <w:rsid w:val="00F838E3"/>
    <w:rsid w:val="00F8416D"/>
    <w:rsid w:val="00F84C23"/>
    <w:rsid w:val="00F8626E"/>
    <w:rsid w:val="00F8697D"/>
    <w:rsid w:val="00F86CE8"/>
    <w:rsid w:val="00F875D4"/>
    <w:rsid w:val="00F877AC"/>
    <w:rsid w:val="00F87DD4"/>
    <w:rsid w:val="00F90EA9"/>
    <w:rsid w:val="00F9145F"/>
    <w:rsid w:val="00F91BE9"/>
    <w:rsid w:val="00F929E9"/>
    <w:rsid w:val="00F92CBF"/>
    <w:rsid w:val="00F92ED9"/>
    <w:rsid w:val="00F933EF"/>
    <w:rsid w:val="00F93600"/>
    <w:rsid w:val="00F95042"/>
    <w:rsid w:val="00F97FE5"/>
    <w:rsid w:val="00FA10DF"/>
    <w:rsid w:val="00FA1D5B"/>
    <w:rsid w:val="00FA28C3"/>
    <w:rsid w:val="00FA36C0"/>
    <w:rsid w:val="00FA3D2E"/>
    <w:rsid w:val="00FA4081"/>
    <w:rsid w:val="00FA4409"/>
    <w:rsid w:val="00FA5A89"/>
    <w:rsid w:val="00FA639A"/>
    <w:rsid w:val="00FA6859"/>
    <w:rsid w:val="00FA6971"/>
    <w:rsid w:val="00FB1085"/>
    <w:rsid w:val="00FB113F"/>
    <w:rsid w:val="00FB1F15"/>
    <w:rsid w:val="00FB24C1"/>
    <w:rsid w:val="00FB3326"/>
    <w:rsid w:val="00FB4B47"/>
    <w:rsid w:val="00FB67F4"/>
    <w:rsid w:val="00FB7EC5"/>
    <w:rsid w:val="00FC055F"/>
    <w:rsid w:val="00FC0BB8"/>
    <w:rsid w:val="00FC2155"/>
    <w:rsid w:val="00FC24FD"/>
    <w:rsid w:val="00FC2D17"/>
    <w:rsid w:val="00FC30A6"/>
    <w:rsid w:val="00FC39CA"/>
    <w:rsid w:val="00FC3DDE"/>
    <w:rsid w:val="00FC3F9E"/>
    <w:rsid w:val="00FC4DFE"/>
    <w:rsid w:val="00FC534A"/>
    <w:rsid w:val="00FC5C11"/>
    <w:rsid w:val="00FC6E48"/>
    <w:rsid w:val="00FC71D5"/>
    <w:rsid w:val="00FC7EE2"/>
    <w:rsid w:val="00FD0264"/>
    <w:rsid w:val="00FD0738"/>
    <w:rsid w:val="00FD0964"/>
    <w:rsid w:val="00FD21FF"/>
    <w:rsid w:val="00FD257B"/>
    <w:rsid w:val="00FD2A1F"/>
    <w:rsid w:val="00FD39A5"/>
    <w:rsid w:val="00FD39EB"/>
    <w:rsid w:val="00FD3F61"/>
    <w:rsid w:val="00FD6166"/>
    <w:rsid w:val="00FD7190"/>
    <w:rsid w:val="00FD7814"/>
    <w:rsid w:val="00FE0DE8"/>
    <w:rsid w:val="00FE2D39"/>
    <w:rsid w:val="00FE33BB"/>
    <w:rsid w:val="00FE3E2D"/>
    <w:rsid w:val="00FE3EA7"/>
    <w:rsid w:val="00FE461B"/>
    <w:rsid w:val="00FE47F8"/>
    <w:rsid w:val="00FE4B12"/>
    <w:rsid w:val="00FE4C07"/>
    <w:rsid w:val="00FE5F98"/>
    <w:rsid w:val="00FE631B"/>
    <w:rsid w:val="00FE7C53"/>
    <w:rsid w:val="00FE7E41"/>
    <w:rsid w:val="00FF1FED"/>
    <w:rsid w:val="00FF2542"/>
    <w:rsid w:val="00FF26C6"/>
    <w:rsid w:val="00FF30F5"/>
    <w:rsid w:val="00FF648F"/>
    <w:rsid w:val="00FF65B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161E6BF0"/>
  <w15:chartTrackingRefBased/>
  <w15:docId w15:val="{8D3CCFA3-C34E-46F3-91D3-DBE0C02D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08"/>
    <w:rPr>
      <w:rFonts w:ascii="Times New Roman" w:eastAsia="Times New Roman" w:hAnsi="Times New Roman"/>
      <w:sz w:val="24"/>
      <w:szCs w:val="24"/>
    </w:rPr>
  </w:style>
  <w:style w:type="paragraph" w:styleId="Heading1">
    <w:name w:val="heading 1"/>
    <w:basedOn w:val="Normal"/>
    <w:next w:val="Normal"/>
    <w:link w:val="Heading1Char"/>
    <w:uiPriority w:val="99"/>
    <w:qFormat/>
    <w:rsid w:val="00443C25"/>
    <w:pPr>
      <w:keepNext/>
      <w:numPr>
        <w:numId w:val="1"/>
      </w:numPr>
      <w:tabs>
        <w:tab w:val="clear" w:pos="3142"/>
      </w:tabs>
      <w:ind w:left="0"/>
      <w:outlineLvl w:val="0"/>
    </w:pPr>
    <w:rPr>
      <w:b/>
      <w:szCs w:val="20"/>
    </w:rPr>
  </w:style>
  <w:style w:type="paragraph" w:styleId="Heading2">
    <w:name w:val="heading 2"/>
    <w:basedOn w:val="Normal"/>
    <w:next w:val="Normal"/>
    <w:link w:val="Heading2Char"/>
    <w:uiPriority w:val="99"/>
    <w:qFormat/>
    <w:rsid w:val="00443C25"/>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43C25"/>
    <w:pPr>
      <w:keepNext/>
      <w:numPr>
        <w:ilvl w:val="2"/>
        <w:numId w:val="1"/>
      </w:numPr>
      <w:tabs>
        <w:tab w:val="clear" w:pos="2422"/>
      </w:tabs>
      <w:spacing w:before="240" w:after="60"/>
      <w:ind w:left="720"/>
      <w:outlineLvl w:val="2"/>
    </w:pPr>
    <w:rPr>
      <w:rFonts w:ascii="Arial" w:hAnsi="Arial"/>
      <w:b/>
      <w:sz w:val="26"/>
      <w:szCs w:val="20"/>
    </w:rPr>
  </w:style>
  <w:style w:type="paragraph" w:styleId="Heading4">
    <w:name w:val="heading 4"/>
    <w:basedOn w:val="Normal"/>
    <w:next w:val="Normal"/>
    <w:link w:val="Heading4Char"/>
    <w:uiPriority w:val="99"/>
    <w:qFormat/>
    <w:rsid w:val="00443C25"/>
    <w:pPr>
      <w:keepNext/>
      <w:keepLines/>
      <w:numPr>
        <w:ilvl w:val="3"/>
        <w:numId w:val="1"/>
      </w:numPr>
      <w:spacing w:before="200"/>
      <w:outlineLvl w:val="3"/>
    </w:pPr>
    <w:rPr>
      <w:rFonts w:ascii="Cambria" w:hAnsi="Cambria"/>
      <w:b/>
      <w:bCs/>
      <w:i/>
      <w:iCs/>
      <w:color w:val="4F81BD"/>
      <w:sz w:val="20"/>
      <w:szCs w:val="20"/>
    </w:rPr>
  </w:style>
  <w:style w:type="paragraph" w:styleId="Heading5">
    <w:name w:val="heading 5"/>
    <w:basedOn w:val="Normal"/>
    <w:next w:val="Normal"/>
    <w:link w:val="Heading5Char"/>
    <w:uiPriority w:val="99"/>
    <w:qFormat/>
    <w:rsid w:val="00443C25"/>
    <w:pPr>
      <w:keepNext/>
      <w:keepLines/>
      <w:numPr>
        <w:ilvl w:val="4"/>
        <w:numId w:val="1"/>
      </w:numPr>
      <w:spacing w:before="200"/>
      <w:outlineLvl w:val="4"/>
    </w:pPr>
    <w:rPr>
      <w:rFonts w:ascii="Cambria" w:hAnsi="Cambria"/>
      <w:color w:val="243F60"/>
      <w:sz w:val="20"/>
      <w:szCs w:val="20"/>
    </w:rPr>
  </w:style>
  <w:style w:type="paragraph" w:styleId="Heading6">
    <w:name w:val="heading 6"/>
    <w:basedOn w:val="Normal"/>
    <w:next w:val="Normal"/>
    <w:link w:val="Heading6Char"/>
    <w:uiPriority w:val="99"/>
    <w:qFormat/>
    <w:rsid w:val="00443C25"/>
    <w:pPr>
      <w:keepNext/>
      <w:keepLines/>
      <w:numPr>
        <w:ilvl w:val="5"/>
        <w:numId w:val="1"/>
      </w:numPr>
      <w:spacing w:before="200"/>
      <w:outlineLvl w:val="5"/>
    </w:pPr>
    <w:rPr>
      <w:rFonts w:ascii="Cambria" w:hAnsi="Cambria"/>
      <w:i/>
      <w:iCs/>
      <w:color w:val="243F60"/>
      <w:sz w:val="20"/>
      <w:szCs w:val="20"/>
    </w:rPr>
  </w:style>
  <w:style w:type="paragraph" w:styleId="Heading7">
    <w:name w:val="heading 7"/>
    <w:basedOn w:val="Normal"/>
    <w:next w:val="Normal"/>
    <w:link w:val="Heading7Char"/>
    <w:uiPriority w:val="99"/>
    <w:qFormat/>
    <w:rsid w:val="00443C25"/>
    <w:pPr>
      <w:keepNext/>
      <w:keepLines/>
      <w:numPr>
        <w:ilvl w:val="6"/>
        <w:numId w:val="1"/>
      </w:numPr>
      <w:spacing w:before="200"/>
      <w:outlineLvl w:val="6"/>
    </w:pPr>
    <w:rPr>
      <w:rFonts w:ascii="Cambria" w:hAnsi="Cambria"/>
      <w:i/>
      <w:iCs/>
      <w:color w:val="404040"/>
      <w:sz w:val="20"/>
      <w:szCs w:val="20"/>
    </w:rPr>
  </w:style>
  <w:style w:type="paragraph" w:styleId="Heading8">
    <w:name w:val="heading 8"/>
    <w:basedOn w:val="Normal"/>
    <w:next w:val="Normal"/>
    <w:link w:val="Heading8Char"/>
    <w:uiPriority w:val="99"/>
    <w:qFormat/>
    <w:rsid w:val="00443C25"/>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43C25"/>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43C25"/>
    <w:rPr>
      <w:rFonts w:ascii="Times New Roman" w:hAnsi="Times New Roman" w:cs="Times New Roman"/>
      <w:b/>
      <w:sz w:val="20"/>
      <w:szCs w:val="20"/>
      <w:lang w:eastAsia="bg-BG"/>
    </w:rPr>
  </w:style>
  <w:style w:type="character" w:customStyle="1" w:styleId="Heading2Char">
    <w:name w:val="Heading 2 Char"/>
    <w:link w:val="Heading2"/>
    <w:uiPriority w:val="99"/>
    <w:locked/>
    <w:rsid w:val="00443C25"/>
    <w:rPr>
      <w:rFonts w:ascii="Cambria" w:hAnsi="Cambria" w:cs="Times New Roman"/>
      <w:b/>
      <w:bCs/>
      <w:color w:val="4F81BD"/>
      <w:sz w:val="26"/>
      <w:szCs w:val="26"/>
      <w:lang w:eastAsia="bg-BG"/>
    </w:rPr>
  </w:style>
  <w:style w:type="character" w:customStyle="1" w:styleId="Heading3Char">
    <w:name w:val="Heading 3 Char"/>
    <w:link w:val="Heading3"/>
    <w:uiPriority w:val="99"/>
    <w:locked/>
    <w:rsid w:val="00443C25"/>
    <w:rPr>
      <w:rFonts w:ascii="Arial" w:hAnsi="Arial" w:cs="Times New Roman"/>
      <w:b/>
      <w:sz w:val="20"/>
      <w:szCs w:val="20"/>
      <w:lang w:eastAsia="bg-BG"/>
    </w:rPr>
  </w:style>
  <w:style w:type="character" w:customStyle="1" w:styleId="Heading4Char">
    <w:name w:val="Heading 4 Char"/>
    <w:link w:val="Heading4"/>
    <w:uiPriority w:val="99"/>
    <w:locked/>
    <w:rsid w:val="00443C25"/>
    <w:rPr>
      <w:rFonts w:ascii="Cambria" w:hAnsi="Cambria" w:cs="Times New Roman"/>
      <w:b/>
      <w:bCs/>
      <w:i/>
      <w:iCs/>
      <w:color w:val="4F81BD"/>
      <w:sz w:val="20"/>
      <w:szCs w:val="20"/>
      <w:lang w:eastAsia="bg-BG"/>
    </w:rPr>
  </w:style>
  <w:style w:type="character" w:customStyle="1" w:styleId="Heading5Char">
    <w:name w:val="Heading 5 Char"/>
    <w:link w:val="Heading5"/>
    <w:uiPriority w:val="99"/>
    <w:locked/>
    <w:rsid w:val="00443C25"/>
    <w:rPr>
      <w:rFonts w:ascii="Cambria" w:hAnsi="Cambria" w:cs="Times New Roman"/>
      <w:color w:val="243F60"/>
      <w:sz w:val="20"/>
      <w:szCs w:val="20"/>
      <w:lang w:eastAsia="bg-BG"/>
    </w:rPr>
  </w:style>
  <w:style w:type="character" w:customStyle="1" w:styleId="Heading6Char">
    <w:name w:val="Heading 6 Char"/>
    <w:link w:val="Heading6"/>
    <w:uiPriority w:val="99"/>
    <w:locked/>
    <w:rsid w:val="00443C25"/>
    <w:rPr>
      <w:rFonts w:ascii="Cambria" w:hAnsi="Cambria" w:cs="Times New Roman"/>
      <w:i/>
      <w:iCs/>
      <w:color w:val="243F60"/>
      <w:sz w:val="20"/>
      <w:szCs w:val="20"/>
      <w:lang w:eastAsia="bg-BG"/>
    </w:rPr>
  </w:style>
  <w:style w:type="character" w:customStyle="1" w:styleId="Heading7Char">
    <w:name w:val="Heading 7 Char"/>
    <w:link w:val="Heading7"/>
    <w:uiPriority w:val="99"/>
    <w:locked/>
    <w:rsid w:val="00443C25"/>
    <w:rPr>
      <w:rFonts w:ascii="Cambria" w:hAnsi="Cambria" w:cs="Times New Roman"/>
      <w:i/>
      <w:iCs/>
      <w:color w:val="404040"/>
      <w:sz w:val="20"/>
      <w:szCs w:val="20"/>
      <w:lang w:eastAsia="bg-BG"/>
    </w:rPr>
  </w:style>
  <w:style w:type="character" w:customStyle="1" w:styleId="Heading8Char">
    <w:name w:val="Heading 8 Char"/>
    <w:link w:val="Heading8"/>
    <w:uiPriority w:val="99"/>
    <w:locked/>
    <w:rsid w:val="00443C25"/>
    <w:rPr>
      <w:rFonts w:ascii="Cambria" w:hAnsi="Cambria" w:cs="Times New Roman"/>
      <w:color w:val="404040"/>
      <w:sz w:val="20"/>
      <w:szCs w:val="20"/>
      <w:lang w:eastAsia="bg-BG"/>
    </w:rPr>
  </w:style>
  <w:style w:type="character" w:customStyle="1" w:styleId="Heading9Char">
    <w:name w:val="Heading 9 Char"/>
    <w:link w:val="Heading9"/>
    <w:uiPriority w:val="99"/>
    <w:locked/>
    <w:rsid w:val="00443C25"/>
    <w:rPr>
      <w:rFonts w:ascii="Cambria" w:hAnsi="Cambria" w:cs="Times New Roman"/>
      <w:i/>
      <w:iCs/>
      <w:color w:val="404040"/>
      <w:sz w:val="20"/>
      <w:szCs w:val="20"/>
      <w:lang w:eastAsia="bg-BG"/>
    </w:rPr>
  </w:style>
  <w:style w:type="paragraph" w:styleId="Header">
    <w:name w:val="header"/>
    <w:basedOn w:val="Normal"/>
    <w:link w:val="HeaderChar"/>
    <w:uiPriority w:val="99"/>
    <w:rsid w:val="00443C25"/>
    <w:pPr>
      <w:tabs>
        <w:tab w:val="center" w:pos="4153"/>
        <w:tab w:val="right" w:pos="8306"/>
      </w:tabs>
    </w:pPr>
    <w:rPr>
      <w:sz w:val="20"/>
      <w:szCs w:val="20"/>
      <w:lang w:val="en-GB"/>
    </w:rPr>
  </w:style>
  <w:style w:type="character" w:customStyle="1" w:styleId="HeaderChar">
    <w:name w:val="Header Char"/>
    <w:link w:val="Header"/>
    <w:uiPriority w:val="99"/>
    <w:locked/>
    <w:rsid w:val="00443C25"/>
    <w:rPr>
      <w:rFonts w:ascii="Times New Roman" w:hAnsi="Times New Roman" w:cs="Times New Roman"/>
      <w:sz w:val="20"/>
      <w:szCs w:val="20"/>
      <w:lang w:val="en-GB" w:eastAsia="bg-BG"/>
    </w:rPr>
  </w:style>
  <w:style w:type="paragraph" w:styleId="Footer">
    <w:name w:val="footer"/>
    <w:basedOn w:val="Normal"/>
    <w:link w:val="FooterChar"/>
    <w:uiPriority w:val="99"/>
    <w:rsid w:val="00443C25"/>
    <w:pPr>
      <w:tabs>
        <w:tab w:val="center" w:pos="4153"/>
        <w:tab w:val="right" w:pos="8306"/>
      </w:tabs>
    </w:pPr>
    <w:rPr>
      <w:szCs w:val="20"/>
      <w:lang w:val="en-GB"/>
    </w:rPr>
  </w:style>
  <w:style w:type="character" w:customStyle="1" w:styleId="FooterChar">
    <w:name w:val="Footer Char"/>
    <w:link w:val="Footer"/>
    <w:uiPriority w:val="99"/>
    <w:locked/>
    <w:rsid w:val="00443C25"/>
    <w:rPr>
      <w:rFonts w:ascii="Times New Roman" w:hAnsi="Times New Roman" w:cs="Times New Roman"/>
      <w:sz w:val="20"/>
      <w:szCs w:val="20"/>
      <w:lang w:val="en-GB" w:eastAsia="bg-BG"/>
    </w:rPr>
  </w:style>
  <w:style w:type="paragraph" w:customStyle="1" w:styleId="Char1CharCharChar1CharCharCharCharCharChar">
    <w:name w:val="Char1 Char Char Char1 Char Char Char Char Char Char"/>
    <w:basedOn w:val="Normal"/>
    <w:uiPriority w:val="99"/>
    <w:rsid w:val="00443C25"/>
    <w:pPr>
      <w:tabs>
        <w:tab w:val="left" w:pos="709"/>
      </w:tabs>
    </w:pPr>
    <w:rPr>
      <w:rFonts w:ascii="Tahoma" w:hAnsi="Tahoma"/>
      <w:lang w:val="pl-PL" w:eastAsia="pl-PL"/>
    </w:rPr>
  </w:style>
  <w:style w:type="paragraph" w:customStyle="1" w:styleId="Char1CharCharChar1CharCharCharCharCharChar9">
    <w:name w:val="Char1 Char Char Char1 Char Char Char Char Char Char9"/>
    <w:basedOn w:val="Normal"/>
    <w:uiPriority w:val="99"/>
    <w:rsid w:val="000003D9"/>
    <w:pPr>
      <w:tabs>
        <w:tab w:val="left" w:pos="709"/>
      </w:tabs>
    </w:pPr>
    <w:rPr>
      <w:rFonts w:ascii="Tahoma" w:hAnsi="Tahoma"/>
      <w:lang w:val="pl-PL" w:eastAsia="pl-PL"/>
    </w:rPr>
  </w:style>
  <w:style w:type="paragraph" w:styleId="Title">
    <w:name w:val="Title"/>
    <w:basedOn w:val="Normal"/>
    <w:link w:val="TitleChar"/>
    <w:uiPriority w:val="99"/>
    <w:qFormat/>
    <w:rsid w:val="002E2482"/>
    <w:pPr>
      <w:jc w:val="center"/>
    </w:pPr>
    <w:rPr>
      <w:b/>
      <w:szCs w:val="20"/>
    </w:rPr>
  </w:style>
  <w:style w:type="character" w:customStyle="1" w:styleId="TitleChar">
    <w:name w:val="Title Char"/>
    <w:link w:val="Title"/>
    <w:uiPriority w:val="99"/>
    <w:locked/>
    <w:rsid w:val="002E2482"/>
    <w:rPr>
      <w:rFonts w:ascii="Times New Roman" w:hAnsi="Times New Roman" w:cs="Times New Roman"/>
      <w:b/>
      <w:sz w:val="20"/>
      <w:szCs w:val="20"/>
      <w:lang w:eastAsia="bg-BG"/>
    </w:rPr>
  </w:style>
  <w:style w:type="paragraph" w:customStyle="1" w:styleId="Char1CharCharChar1CharCharCharCharCharChar8">
    <w:name w:val="Char1 Char Char Char1 Char Char Char Char Char Char8"/>
    <w:basedOn w:val="Normal"/>
    <w:uiPriority w:val="99"/>
    <w:rsid w:val="00D46832"/>
    <w:pPr>
      <w:tabs>
        <w:tab w:val="left" w:pos="709"/>
      </w:tabs>
    </w:pPr>
    <w:rPr>
      <w:rFonts w:ascii="Tahoma" w:hAnsi="Tahoma"/>
      <w:lang w:val="pl-PL" w:eastAsia="pl-PL"/>
    </w:rPr>
  </w:style>
  <w:style w:type="paragraph" w:customStyle="1" w:styleId="Char1CharCharChar1CharCharCharCharCharChar7">
    <w:name w:val="Char1 Char Char Char1 Char Char Char Char Char Char7"/>
    <w:basedOn w:val="Normal"/>
    <w:uiPriority w:val="99"/>
    <w:rsid w:val="007B348E"/>
    <w:pPr>
      <w:tabs>
        <w:tab w:val="left" w:pos="709"/>
      </w:tabs>
    </w:pPr>
    <w:rPr>
      <w:rFonts w:ascii="Tahoma" w:hAnsi="Tahoma"/>
      <w:lang w:val="pl-PL" w:eastAsia="pl-PL"/>
    </w:rPr>
  </w:style>
  <w:style w:type="paragraph" w:customStyle="1" w:styleId="Default">
    <w:name w:val="Default"/>
    <w:uiPriority w:val="99"/>
    <w:rsid w:val="0061165F"/>
    <w:pPr>
      <w:autoSpaceDE w:val="0"/>
      <w:autoSpaceDN w:val="0"/>
      <w:adjustRightInd w:val="0"/>
    </w:pPr>
    <w:rPr>
      <w:rFonts w:cs="Calibri"/>
      <w:color w:val="000000"/>
      <w:sz w:val="24"/>
      <w:szCs w:val="24"/>
      <w:lang w:eastAsia="en-US"/>
    </w:rPr>
  </w:style>
  <w:style w:type="paragraph" w:styleId="BodyTextIndent">
    <w:name w:val="Body Text Indent"/>
    <w:basedOn w:val="Normal"/>
    <w:link w:val="BodyTextIndentChar"/>
    <w:uiPriority w:val="99"/>
    <w:rsid w:val="0061165F"/>
    <w:pPr>
      <w:ind w:firstLine="360"/>
    </w:pPr>
    <w:rPr>
      <w:szCs w:val="20"/>
    </w:rPr>
  </w:style>
  <w:style w:type="character" w:customStyle="1" w:styleId="BodyTextIndentChar">
    <w:name w:val="Body Text Indent Char"/>
    <w:link w:val="BodyTextIndent"/>
    <w:uiPriority w:val="99"/>
    <w:locked/>
    <w:rsid w:val="0061165F"/>
    <w:rPr>
      <w:rFonts w:ascii="Times New Roman" w:hAnsi="Times New Roman" w:cs="Times New Roman"/>
      <w:sz w:val="20"/>
      <w:szCs w:val="20"/>
      <w:lang w:eastAsia="bg-BG"/>
    </w:rPr>
  </w:style>
  <w:style w:type="paragraph" w:styleId="ListParagraph">
    <w:name w:val="List Paragraph"/>
    <w:basedOn w:val="Normal"/>
    <w:uiPriority w:val="99"/>
    <w:qFormat/>
    <w:rsid w:val="0061165F"/>
    <w:pPr>
      <w:ind w:left="720"/>
      <w:contextualSpacing/>
    </w:pPr>
    <w:rPr>
      <w:sz w:val="20"/>
      <w:szCs w:val="20"/>
    </w:rPr>
  </w:style>
  <w:style w:type="paragraph" w:styleId="FootnoteText">
    <w:name w:val="footnote text"/>
    <w:aliases w:val="Fußnotentext arial,Fußnotentext arial Char,Podrozdział,stile 1,Footnote1,Footnote2,Footnote3,Footnote4,Footnote5,Footnote6,Footnote7,Footnote8,Footnote9,Footnote10,Footnote11,Footnote21,Footnote31,Footnote41,Footnote51,Footnote61,FText"/>
    <w:basedOn w:val="Normal"/>
    <w:link w:val="FootnoteTextChar1"/>
    <w:uiPriority w:val="99"/>
    <w:qFormat/>
    <w:rsid w:val="009C0C81"/>
    <w:pPr>
      <w:jc w:val="both"/>
    </w:pPr>
    <w:rPr>
      <w:noProof/>
      <w:kern w:val="24"/>
      <w:sz w:val="20"/>
      <w:szCs w:val="20"/>
    </w:rPr>
  </w:style>
  <w:style w:type="character" w:customStyle="1" w:styleId="FootnoteTextChar">
    <w:name w:val="Footnote Text Char"/>
    <w:aliases w:val="Fußnotentext arial Char1,Fußnotentext arial Char Char,Podrozdział Char,stile 1 Char,Footnote1 Char,Footnote2 Char,Footnote3 Char,Footnote4 Char,Footnote5 Char,Footnote6 Char,Footnote7 Char,Footnote8 Char,Footnote9 Char,Footnote10 Char"/>
    <w:uiPriority w:val="99"/>
    <w:semiHidden/>
    <w:rsid w:val="00CE5342"/>
    <w:rPr>
      <w:rFonts w:ascii="Times New Roman" w:eastAsia="Times New Roman" w:hAnsi="Times New Roman"/>
      <w:sz w:val="20"/>
      <w:szCs w:val="20"/>
    </w:rPr>
  </w:style>
  <w:style w:type="character" w:customStyle="1" w:styleId="FootnoteTextChar2">
    <w:name w:val="Footnote Text Char2"/>
    <w:aliases w:val="Podrozdział Char2,stile 1 Char2,Footnote1 Char2,Footnote2 Char2,Footnote3 Char2,Footnote4 Char2,Footnote5 Char2,Footnote6 Char2,Footnote7 Char2,Footnote8 Char2,Footnote9 Char2,Footnote10 Char1,Footnote11 Char"/>
    <w:uiPriority w:val="99"/>
    <w:rsid w:val="009C0C81"/>
    <w:rPr>
      <w:rFonts w:ascii="Times New Roman" w:hAnsi="Times New Roman" w:cs="Times New Roman"/>
      <w:sz w:val="20"/>
      <w:szCs w:val="20"/>
      <w:lang w:eastAsia="bg-BG"/>
    </w:rPr>
  </w:style>
  <w:style w:type="character" w:customStyle="1" w:styleId="FootnoteTextChar1">
    <w:name w:val="Footnote Text Char1"/>
    <w:aliases w:val="Fußnotentext arial Char2,Fußnotentext arial Char Char1,Podrozdział Char1,stile 1 Char1,Footnote1 Char1,Footnote2 Char1,Footnote3 Char1,Footnote4 Char1,Footnote5 Char1,Footnote6 Char1,Footnote7 Char1,Footnote8 Char1,Footnote9 Char1"/>
    <w:link w:val="FootnoteText"/>
    <w:uiPriority w:val="99"/>
    <w:locked/>
    <w:rsid w:val="009C0C81"/>
    <w:rPr>
      <w:rFonts w:ascii="Times New Roman" w:hAnsi="Times New Roman"/>
      <w:noProof/>
      <w:kern w:val="24"/>
      <w:sz w:val="20"/>
    </w:rPr>
  </w:style>
  <w:style w:type="character" w:styleId="FootnoteReference">
    <w:name w:val="footnote reference"/>
    <w:aliases w:val="Footnote,Footnote symbol,Footnote Reference Superscript,SUPERS,BVI fnr,Appel note de bas de p,Nota,(NECG) Footnote Reference,Voetnootverwijzing,Lábjegyzet-hivatkozás,L?bjegyzet-hivatkoz?s,Char1 Char Char Char Char,ftref"/>
    <w:uiPriority w:val="99"/>
    <w:rsid w:val="009C0C81"/>
    <w:rPr>
      <w:rFonts w:cs="Times New Roman"/>
      <w:vertAlign w:val="superscript"/>
    </w:rPr>
  </w:style>
  <w:style w:type="character" w:customStyle="1" w:styleId="FootnoteCharacters">
    <w:name w:val="Footnote Characters"/>
    <w:uiPriority w:val="99"/>
    <w:rsid w:val="009C0C81"/>
    <w:rPr>
      <w:vertAlign w:val="superscript"/>
    </w:rPr>
  </w:style>
  <w:style w:type="paragraph" w:customStyle="1" w:styleId="Char1CharCharChar1CharCharCharCharCharChar6">
    <w:name w:val="Char1 Char Char Char1 Char Char Char Char Char Char6"/>
    <w:basedOn w:val="Normal"/>
    <w:uiPriority w:val="99"/>
    <w:rsid w:val="009C0C81"/>
    <w:pPr>
      <w:tabs>
        <w:tab w:val="left" w:pos="709"/>
      </w:tabs>
    </w:pPr>
    <w:rPr>
      <w:rFonts w:ascii="Tahoma" w:hAnsi="Tahoma"/>
      <w:lang w:val="pl-PL" w:eastAsia="pl-PL"/>
    </w:rPr>
  </w:style>
  <w:style w:type="table" w:styleId="TableGrid">
    <w:name w:val="Table Grid"/>
    <w:basedOn w:val="TableNormal"/>
    <w:uiPriority w:val="99"/>
    <w:rsid w:val="001C3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1CharCharCharCharCharChar5">
    <w:name w:val="Char1 Char Char Char1 Char Char Char Char Char Char5"/>
    <w:basedOn w:val="Normal"/>
    <w:uiPriority w:val="99"/>
    <w:rsid w:val="00055293"/>
    <w:pPr>
      <w:tabs>
        <w:tab w:val="left" w:pos="709"/>
      </w:tabs>
    </w:pPr>
    <w:rPr>
      <w:rFonts w:ascii="Tahoma" w:hAnsi="Tahoma"/>
      <w:lang w:val="pl-PL" w:eastAsia="pl-PL"/>
    </w:rPr>
  </w:style>
  <w:style w:type="paragraph" w:styleId="BodyText">
    <w:name w:val="Body Text"/>
    <w:basedOn w:val="Normal"/>
    <w:link w:val="BodyTextChar"/>
    <w:uiPriority w:val="99"/>
    <w:semiHidden/>
    <w:rsid w:val="00055293"/>
    <w:pPr>
      <w:spacing w:after="120"/>
    </w:pPr>
    <w:rPr>
      <w:sz w:val="20"/>
      <w:szCs w:val="20"/>
    </w:rPr>
  </w:style>
  <w:style w:type="character" w:customStyle="1" w:styleId="BodyTextChar">
    <w:name w:val="Body Text Char"/>
    <w:link w:val="BodyText"/>
    <w:uiPriority w:val="99"/>
    <w:semiHidden/>
    <w:locked/>
    <w:rsid w:val="00055293"/>
    <w:rPr>
      <w:rFonts w:ascii="Times New Roman" w:hAnsi="Times New Roman" w:cs="Times New Roman"/>
      <w:sz w:val="20"/>
      <w:szCs w:val="20"/>
      <w:lang w:eastAsia="bg-BG"/>
    </w:rPr>
  </w:style>
  <w:style w:type="paragraph" w:styleId="BodyTextIndent2">
    <w:name w:val="Body Text Indent 2"/>
    <w:basedOn w:val="Normal"/>
    <w:link w:val="BodyTextIndent2Char"/>
    <w:uiPriority w:val="99"/>
    <w:semiHidden/>
    <w:rsid w:val="00055293"/>
    <w:pPr>
      <w:spacing w:after="120" w:line="480" w:lineRule="auto"/>
      <w:ind w:left="283"/>
    </w:pPr>
  </w:style>
  <w:style w:type="character" w:customStyle="1" w:styleId="BodyTextIndent2Char">
    <w:name w:val="Body Text Indent 2 Char"/>
    <w:link w:val="BodyTextIndent2"/>
    <w:uiPriority w:val="99"/>
    <w:semiHidden/>
    <w:locked/>
    <w:rsid w:val="00055293"/>
    <w:rPr>
      <w:rFonts w:ascii="Times New Roman" w:hAnsi="Times New Roman" w:cs="Times New Roman"/>
      <w:sz w:val="20"/>
      <w:szCs w:val="20"/>
      <w:lang w:eastAsia="bg-BG"/>
    </w:rPr>
  </w:style>
  <w:style w:type="character" w:styleId="PageNumber">
    <w:name w:val="page number"/>
    <w:uiPriority w:val="99"/>
    <w:rsid w:val="00055293"/>
    <w:rPr>
      <w:rFonts w:ascii="Times New Roman" w:hAnsi="Times New Roman" w:cs="Times New Roman"/>
    </w:rPr>
  </w:style>
  <w:style w:type="paragraph" w:styleId="BlockText">
    <w:name w:val="Block Text"/>
    <w:basedOn w:val="Normal"/>
    <w:uiPriority w:val="99"/>
    <w:rsid w:val="00055293"/>
    <w:pPr>
      <w:suppressAutoHyphens/>
      <w:ind w:left="57" w:right="-714" w:firstLine="720"/>
      <w:jc w:val="both"/>
    </w:pPr>
    <w:rPr>
      <w:bCs/>
      <w:color w:val="000000"/>
      <w:sz w:val="28"/>
      <w:lang w:eastAsia="zh-CN"/>
    </w:rPr>
  </w:style>
  <w:style w:type="paragraph" w:styleId="NoSpacing">
    <w:name w:val="No Spacing"/>
    <w:uiPriority w:val="99"/>
    <w:qFormat/>
    <w:rsid w:val="009B25E8"/>
    <w:rPr>
      <w:rFonts w:ascii="Times New Roman" w:eastAsia="Times New Roman" w:hAnsi="Times New Roman"/>
    </w:rPr>
  </w:style>
  <w:style w:type="character" w:styleId="Hyperlink">
    <w:name w:val="Hyperlink"/>
    <w:uiPriority w:val="99"/>
    <w:rsid w:val="00C01431"/>
    <w:rPr>
      <w:rFonts w:cs="Times New Roman"/>
      <w:color w:val="0000FF"/>
      <w:u w:val="single"/>
    </w:rPr>
  </w:style>
  <w:style w:type="paragraph" w:customStyle="1" w:styleId="Referencealphabetical">
    <w:name w:val="Reference [alphabetical]"/>
    <w:basedOn w:val="Normal"/>
    <w:uiPriority w:val="99"/>
    <w:rsid w:val="007142BC"/>
    <w:pPr>
      <w:spacing w:beforeLines="50" w:afterLines="50"/>
      <w:ind w:left="540" w:hanging="540"/>
    </w:pPr>
    <w:rPr>
      <w:rFonts w:ascii="Arial" w:hAnsi="Arial"/>
      <w:lang w:val="es-ES" w:eastAsia="da-DK"/>
    </w:rPr>
  </w:style>
  <w:style w:type="paragraph" w:customStyle="1" w:styleId="Char1CharCharChar1CharCharCharCharCharChar4">
    <w:name w:val="Char1 Char Char Char1 Char Char Char Char Char Char4"/>
    <w:basedOn w:val="Normal"/>
    <w:uiPriority w:val="99"/>
    <w:rsid w:val="00C012A8"/>
    <w:pPr>
      <w:tabs>
        <w:tab w:val="left" w:pos="709"/>
      </w:tabs>
    </w:pPr>
    <w:rPr>
      <w:rFonts w:ascii="Tahoma" w:hAnsi="Tahoma"/>
      <w:lang w:val="pl-PL" w:eastAsia="pl-PL"/>
    </w:rPr>
  </w:style>
  <w:style w:type="paragraph" w:customStyle="1" w:styleId="Char1CharCharChar1CharCharCharCharCharChar3">
    <w:name w:val="Char1 Char Char Char1 Char Char Char Char Char Char3"/>
    <w:basedOn w:val="Normal"/>
    <w:uiPriority w:val="99"/>
    <w:rsid w:val="007C02FE"/>
    <w:pPr>
      <w:tabs>
        <w:tab w:val="left" w:pos="709"/>
      </w:tabs>
    </w:pPr>
    <w:rPr>
      <w:rFonts w:ascii="Tahoma" w:hAnsi="Tahoma"/>
      <w:lang w:val="pl-PL" w:eastAsia="pl-PL"/>
    </w:rPr>
  </w:style>
  <w:style w:type="paragraph" w:customStyle="1" w:styleId="Char1CharCharChar1CharCharCharCharCharChar2">
    <w:name w:val="Char1 Char Char Char1 Char Char Char Char Char Char2"/>
    <w:basedOn w:val="Normal"/>
    <w:uiPriority w:val="99"/>
    <w:rsid w:val="0042677B"/>
    <w:pPr>
      <w:tabs>
        <w:tab w:val="left" w:pos="709"/>
      </w:tabs>
    </w:pPr>
    <w:rPr>
      <w:rFonts w:ascii="Tahoma" w:hAnsi="Tahoma"/>
      <w:lang w:val="pl-PL" w:eastAsia="pl-PL"/>
    </w:rPr>
  </w:style>
  <w:style w:type="character" w:styleId="FollowedHyperlink">
    <w:name w:val="FollowedHyperlink"/>
    <w:uiPriority w:val="99"/>
    <w:semiHidden/>
    <w:rsid w:val="00B564D8"/>
    <w:rPr>
      <w:rFonts w:cs="Times New Roman"/>
      <w:color w:val="800080"/>
      <w:u w:val="single"/>
    </w:rPr>
  </w:style>
  <w:style w:type="character" w:styleId="Strong">
    <w:name w:val="Strong"/>
    <w:uiPriority w:val="99"/>
    <w:qFormat/>
    <w:rsid w:val="002C75FD"/>
    <w:rPr>
      <w:rFonts w:cs="Times New Roman"/>
      <w:b/>
      <w:bCs/>
    </w:rPr>
  </w:style>
  <w:style w:type="paragraph" w:customStyle="1" w:styleId="Char1CharCharChar1CharCharCharCharCharChar1">
    <w:name w:val="Char1 Char Char Char1 Char Char Char Char Char Char1"/>
    <w:basedOn w:val="Normal"/>
    <w:uiPriority w:val="99"/>
    <w:rsid w:val="001C4B9B"/>
    <w:pPr>
      <w:tabs>
        <w:tab w:val="left" w:pos="709"/>
      </w:tabs>
    </w:pPr>
    <w:rPr>
      <w:rFonts w:ascii="Tahoma" w:hAnsi="Tahoma"/>
      <w:lang w:val="pl-PL" w:eastAsia="pl-PL"/>
    </w:rPr>
  </w:style>
  <w:style w:type="character" w:customStyle="1" w:styleId="longtext">
    <w:name w:val="long_text"/>
    <w:uiPriority w:val="99"/>
    <w:rsid w:val="0025149F"/>
    <w:rPr>
      <w:rFonts w:cs="Times New Roman"/>
    </w:rPr>
  </w:style>
  <w:style w:type="paragraph" w:customStyle="1" w:styleId="Char">
    <w:name w:val="Char"/>
    <w:basedOn w:val="Normal"/>
    <w:uiPriority w:val="99"/>
    <w:rsid w:val="00D66130"/>
    <w:pPr>
      <w:tabs>
        <w:tab w:val="left" w:pos="709"/>
      </w:tabs>
    </w:pPr>
    <w:rPr>
      <w:rFonts w:ascii="Tahoma" w:hAnsi="Tahoma"/>
      <w:lang w:val="pl-PL" w:eastAsia="pl-PL"/>
    </w:rPr>
  </w:style>
  <w:style w:type="paragraph" w:customStyle="1" w:styleId="Char9">
    <w:name w:val="Char9"/>
    <w:basedOn w:val="Normal"/>
    <w:uiPriority w:val="99"/>
    <w:rsid w:val="00D66130"/>
    <w:pPr>
      <w:tabs>
        <w:tab w:val="left" w:pos="709"/>
      </w:tabs>
    </w:pPr>
    <w:rPr>
      <w:rFonts w:ascii="Tahoma" w:hAnsi="Tahoma"/>
      <w:lang w:val="pl-PL" w:eastAsia="pl-PL"/>
    </w:rPr>
  </w:style>
  <w:style w:type="paragraph" w:styleId="BalloonText">
    <w:name w:val="Balloon Text"/>
    <w:basedOn w:val="Normal"/>
    <w:link w:val="BalloonTextChar"/>
    <w:uiPriority w:val="99"/>
    <w:semiHidden/>
    <w:rsid w:val="009879E7"/>
    <w:rPr>
      <w:rFonts w:ascii="Tahoma" w:hAnsi="Tahoma" w:cs="Tahoma"/>
      <w:sz w:val="16"/>
      <w:szCs w:val="16"/>
    </w:rPr>
  </w:style>
  <w:style w:type="character" w:customStyle="1" w:styleId="BalloonTextChar">
    <w:name w:val="Balloon Text Char"/>
    <w:link w:val="BalloonText"/>
    <w:uiPriority w:val="99"/>
    <w:semiHidden/>
    <w:locked/>
    <w:rsid w:val="009879E7"/>
    <w:rPr>
      <w:rFonts w:ascii="Tahoma" w:hAnsi="Tahoma" w:cs="Tahoma"/>
      <w:sz w:val="16"/>
      <w:szCs w:val="16"/>
      <w:lang w:eastAsia="bg-BG"/>
    </w:rPr>
  </w:style>
  <w:style w:type="paragraph" w:customStyle="1" w:styleId="Char1CharCharChar1CharCharCharCharCharCharCharCharChar">
    <w:name w:val="Char1 Char Char Char1 Char Char Char Char Char Char Char Char Char"/>
    <w:basedOn w:val="Normal"/>
    <w:uiPriority w:val="99"/>
    <w:rsid w:val="002E2838"/>
    <w:pPr>
      <w:tabs>
        <w:tab w:val="left" w:pos="709"/>
      </w:tabs>
    </w:pPr>
    <w:rPr>
      <w:rFonts w:ascii="Tahoma" w:hAnsi="Tahoma"/>
      <w:lang w:val="pl-PL" w:eastAsia="pl-PL"/>
    </w:rPr>
  </w:style>
  <w:style w:type="paragraph" w:customStyle="1" w:styleId="Tiret0">
    <w:name w:val="Tiret 0"/>
    <w:basedOn w:val="Normal"/>
    <w:uiPriority w:val="99"/>
    <w:rsid w:val="00C6636F"/>
    <w:pPr>
      <w:numPr>
        <w:numId w:val="14"/>
      </w:numPr>
      <w:spacing w:before="120" w:after="120"/>
      <w:jc w:val="both"/>
    </w:pPr>
    <w:rPr>
      <w:szCs w:val="20"/>
      <w:lang w:eastAsia="en-GB"/>
    </w:rPr>
  </w:style>
  <w:style w:type="character" w:customStyle="1" w:styleId="hps">
    <w:name w:val="hps"/>
    <w:uiPriority w:val="99"/>
    <w:rsid w:val="005140CE"/>
    <w:rPr>
      <w:rFonts w:cs="Times New Roman"/>
    </w:rPr>
  </w:style>
  <w:style w:type="numbering" w:styleId="ArticleSection">
    <w:name w:val="Outline List 3"/>
    <w:basedOn w:val="NoList"/>
    <w:locked/>
    <w:rsid w:val="00CE5342"/>
    <w:pPr>
      <w:numPr>
        <w:numId w:val="1"/>
      </w:numPr>
    </w:pPr>
  </w:style>
  <w:style w:type="paragraph" w:styleId="EndnoteText">
    <w:name w:val="endnote text"/>
    <w:basedOn w:val="Normal"/>
    <w:link w:val="EndnoteTextChar"/>
    <w:uiPriority w:val="99"/>
    <w:semiHidden/>
    <w:unhideWhenUsed/>
    <w:rsid w:val="00D82DB4"/>
  </w:style>
  <w:style w:type="character" w:customStyle="1" w:styleId="EndnoteTextChar">
    <w:name w:val="Endnote Text Char"/>
    <w:basedOn w:val="DefaultParagraphFont"/>
    <w:link w:val="EndnoteText"/>
    <w:uiPriority w:val="99"/>
    <w:semiHidden/>
    <w:rsid w:val="00D82DB4"/>
    <w:rPr>
      <w:rFonts w:ascii="Times New Roman" w:eastAsia="Times New Roman" w:hAnsi="Times New Roman"/>
    </w:rPr>
  </w:style>
  <w:style w:type="character" w:styleId="EndnoteReference">
    <w:name w:val="endnote reference"/>
    <w:basedOn w:val="DefaultParagraphFont"/>
    <w:uiPriority w:val="99"/>
    <w:semiHidden/>
    <w:unhideWhenUsed/>
    <w:rsid w:val="00D82DB4"/>
    <w:rPr>
      <w:vertAlign w:val="superscript"/>
    </w:rPr>
  </w:style>
  <w:style w:type="character" w:styleId="CommentReference">
    <w:name w:val="annotation reference"/>
    <w:basedOn w:val="DefaultParagraphFont"/>
    <w:uiPriority w:val="99"/>
    <w:semiHidden/>
    <w:unhideWhenUsed/>
    <w:rsid w:val="0027019D"/>
    <w:rPr>
      <w:sz w:val="16"/>
      <w:szCs w:val="16"/>
    </w:rPr>
  </w:style>
  <w:style w:type="paragraph" w:styleId="CommentText">
    <w:name w:val="annotation text"/>
    <w:basedOn w:val="Normal"/>
    <w:link w:val="CommentTextChar"/>
    <w:uiPriority w:val="99"/>
    <w:semiHidden/>
    <w:unhideWhenUsed/>
    <w:rsid w:val="0027019D"/>
    <w:rPr>
      <w:sz w:val="20"/>
      <w:szCs w:val="20"/>
    </w:rPr>
  </w:style>
  <w:style w:type="character" w:customStyle="1" w:styleId="CommentTextChar">
    <w:name w:val="Comment Text Char"/>
    <w:basedOn w:val="DefaultParagraphFont"/>
    <w:link w:val="CommentText"/>
    <w:uiPriority w:val="99"/>
    <w:semiHidden/>
    <w:rsid w:val="0027019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7019D"/>
    <w:rPr>
      <w:b/>
      <w:bCs/>
    </w:rPr>
  </w:style>
  <w:style w:type="character" w:customStyle="1" w:styleId="CommentSubjectChar">
    <w:name w:val="Comment Subject Char"/>
    <w:basedOn w:val="CommentTextChar"/>
    <w:link w:val="CommentSubject"/>
    <w:uiPriority w:val="99"/>
    <w:semiHidden/>
    <w:rsid w:val="0027019D"/>
    <w:rPr>
      <w:rFonts w:ascii="Times New Roman" w:eastAsia="Times New Roman" w:hAnsi="Times New Roman"/>
      <w:b/>
      <w:bCs/>
    </w:rPr>
  </w:style>
  <w:style w:type="paragraph" w:styleId="Revision">
    <w:name w:val="Revision"/>
    <w:hidden/>
    <w:uiPriority w:val="99"/>
    <w:semiHidden/>
    <w:rsid w:val="00B57E11"/>
    <w:rPr>
      <w:rFonts w:ascii="Times New Roman" w:eastAsia="Times New Roman" w:hAnsi="Times New Roman"/>
      <w:sz w:val="24"/>
      <w:szCs w:val="24"/>
    </w:rPr>
  </w:style>
  <w:style w:type="paragraph" w:styleId="TOCHeading">
    <w:name w:val="TOC Heading"/>
    <w:basedOn w:val="Heading1"/>
    <w:next w:val="Normal"/>
    <w:uiPriority w:val="39"/>
    <w:unhideWhenUsed/>
    <w:qFormat/>
    <w:rsid w:val="00782094"/>
    <w:pPr>
      <w:keepLines/>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locked/>
    <w:rsid w:val="00782094"/>
    <w:pPr>
      <w:spacing w:after="100" w:line="259" w:lineRule="auto"/>
      <w:ind w:left="220"/>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locked/>
    <w:rsid w:val="00782094"/>
    <w:pPr>
      <w:spacing w:after="100" w:line="259" w:lineRule="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locked/>
    <w:rsid w:val="00782094"/>
    <w:pPr>
      <w:spacing w:after="100" w:line="259" w:lineRule="auto"/>
      <w:ind w:left="440"/>
    </w:pPr>
    <w:rPr>
      <w:rFonts w:asciiTheme="minorHAnsi" w:eastAsiaTheme="minorEastAsia" w:hAnsiTheme="minorHAnsi"/>
      <w:sz w:val="22"/>
      <w:szCs w:val="22"/>
      <w:lang w:val="en-US" w:eastAsia="en-US"/>
    </w:rPr>
  </w:style>
  <w:style w:type="paragraph" w:styleId="Subtitle">
    <w:name w:val="Subtitle"/>
    <w:basedOn w:val="Normal"/>
    <w:next w:val="Normal"/>
    <w:link w:val="SubtitleChar"/>
    <w:uiPriority w:val="11"/>
    <w:qFormat/>
    <w:locked/>
    <w:rsid w:val="003D2594"/>
    <w:pPr>
      <w:numPr>
        <w:ilvl w:val="1"/>
      </w:numPr>
      <w:spacing w:after="4" w:line="248" w:lineRule="auto"/>
      <w:ind w:firstLine="710"/>
      <w:jc w:val="both"/>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2594"/>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NormalWeb">
    <w:name w:val="Normal (Web)"/>
    <w:basedOn w:val="Normal"/>
    <w:uiPriority w:val="99"/>
    <w:unhideWhenUsed/>
    <w:rsid w:val="005973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92533">
      <w:bodyDiv w:val="1"/>
      <w:marLeft w:val="0"/>
      <w:marRight w:val="0"/>
      <w:marTop w:val="0"/>
      <w:marBottom w:val="0"/>
      <w:divBdr>
        <w:top w:val="none" w:sz="0" w:space="0" w:color="auto"/>
        <w:left w:val="none" w:sz="0" w:space="0" w:color="auto"/>
        <w:bottom w:val="none" w:sz="0" w:space="0" w:color="auto"/>
        <w:right w:val="none" w:sz="0" w:space="0" w:color="auto"/>
      </w:divBdr>
    </w:div>
    <w:div w:id="626621104">
      <w:bodyDiv w:val="1"/>
      <w:marLeft w:val="0"/>
      <w:marRight w:val="0"/>
      <w:marTop w:val="0"/>
      <w:marBottom w:val="0"/>
      <w:divBdr>
        <w:top w:val="none" w:sz="0" w:space="0" w:color="auto"/>
        <w:left w:val="none" w:sz="0" w:space="0" w:color="auto"/>
        <w:bottom w:val="none" w:sz="0" w:space="0" w:color="auto"/>
        <w:right w:val="none" w:sz="0" w:space="0" w:color="auto"/>
      </w:divBdr>
      <w:divsChild>
        <w:div w:id="1107890229">
          <w:marLeft w:val="0"/>
          <w:marRight w:val="0"/>
          <w:marTop w:val="0"/>
          <w:marBottom w:val="0"/>
          <w:divBdr>
            <w:top w:val="none" w:sz="0" w:space="0" w:color="auto"/>
            <w:left w:val="none" w:sz="0" w:space="0" w:color="auto"/>
            <w:bottom w:val="none" w:sz="0" w:space="0" w:color="auto"/>
            <w:right w:val="none" w:sz="0" w:space="0" w:color="auto"/>
          </w:divBdr>
        </w:div>
        <w:div w:id="1610818880">
          <w:marLeft w:val="0"/>
          <w:marRight w:val="0"/>
          <w:marTop w:val="0"/>
          <w:marBottom w:val="0"/>
          <w:divBdr>
            <w:top w:val="none" w:sz="0" w:space="0" w:color="auto"/>
            <w:left w:val="none" w:sz="0" w:space="0" w:color="auto"/>
            <w:bottom w:val="none" w:sz="0" w:space="0" w:color="auto"/>
            <w:right w:val="none" w:sz="0" w:space="0" w:color="auto"/>
          </w:divBdr>
        </w:div>
      </w:divsChild>
    </w:div>
    <w:div w:id="808548430">
      <w:bodyDiv w:val="1"/>
      <w:marLeft w:val="0"/>
      <w:marRight w:val="0"/>
      <w:marTop w:val="0"/>
      <w:marBottom w:val="0"/>
      <w:divBdr>
        <w:top w:val="none" w:sz="0" w:space="0" w:color="auto"/>
        <w:left w:val="none" w:sz="0" w:space="0" w:color="auto"/>
        <w:bottom w:val="none" w:sz="0" w:space="0" w:color="auto"/>
        <w:right w:val="none" w:sz="0" w:space="0" w:color="auto"/>
      </w:divBdr>
      <w:divsChild>
        <w:div w:id="1948275265">
          <w:marLeft w:val="0"/>
          <w:marRight w:val="0"/>
          <w:marTop w:val="0"/>
          <w:marBottom w:val="0"/>
          <w:divBdr>
            <w:top w:val="none" w:sz="0" w:space="0" w:color="auto"/>
            <w:left w:val="none" w:sz="0" w:space="0" w:color="auto"/>
            <w:bottom w:val="none" w:sz="0" w:space="0" w:color="auto"/>
            <w:right w:val="none" w:sz="0" w:space="0" w:color="auto"/>
          </w:divBdr>
        </w:div>
        <w:div w:id="553273089">
          <w:marLeft w:val="0"/>
          <w:marRight w:val="0"/>
          <w:marTop w:val="0"/>
          <w:marBottom w:val="0"/>
          <w:divBdr>
            <w:top w:val="none" w:sz="0" w:space="0" w:color="auto"/>
            <w:left w:val="none" w:sz="0" w:space="0" w:color="auto"/>
            <w:bottom w:val="none" w:sz="0" w:space="0" w:color="auto"/>
            <w:right w:val="none" w:sz="0" w:space="0" w:color="auto"/>
          </w:divBdr>
        </w:div>
        <w:div w:id="74475894">
          <w:marLeft w:val="0"/>
          <w:marRight w:val="0"/>
          <w:marTop w:val="0"/>
          <w:marBottom w:val="0"/>
          <w:divBdr>
            <w:top w:val="none" w:sz="0" w:space="0" w:color="auto"/>
            <w:left w:val="none" w:sz="0" w:space="0" w:color="auto"/>
            <w:bottom w:val="none" w:sz="0" w:space="0" w:color="auto"/>
            <w:right w:val="none" w:sz="0" w:space="0" w:color="auto"/>
          </w:divBdr>
        </w:div>
        <w:div w:id="66002378">
          <w:marLeft w:val="0"/>
          <w:marRight w:val="0"/>
          <w:marTop w:val="0"/>
          <w:marBottom w:val="0"/>
          <w:divBdr>
            <w:top w:val="none" w:sz="0" w:space="0" w:color="auto"/>
            <w:left w:val="none" w:sz="0" w:space="0" w:color="auto"/>
            <w:bottom w:val="none" w:sz="0" w:space="0" w:color="auto"/>
            <w:right w:val="none" w:sz="0" w:space="0" w:color="auto"/>
          </w:divBdr>
        </w:div>
        <w:div w:id="1477450710">
          <w:marLeft w:val="0"/>
          <w:marRight w:val="0"/>
          <w:marTop w:val="0"/>
          <w:marBottom w:val="0"/>
          <w:divBdr>
            <w:top w:val="none" w:sz="0" w:space="0" w:color="auto"/>
            <w:left w:val="none" w:sz="0" w:space="0" w:color="auto"/>
            <w:bottom w:val="none" w:sz="0" w:space="0" w:color="auto"/>
            <w:right w:val="none" w:sz="0" w:space="0" w:color="auto"/>
          </w:divBdr>
        </w:div>
        <w:div w:id="1620336027">
          <w:marLeft w:val="0"/>
          <w:marRight w:val="0"/>
          <w:marTop w:val="0"/>
          <w:marBottom w:val="0"/>
          <w:divBdr>
            <w:top w:val="none" w:sz="0" w:space="0" w:color="auto"/>
            <w:left w:val="none" w:sz="0" w:space="0" w:color="auto"/>
            <w:bottom w:val="none" w:sz="0" w:space="0" w:color="auto"/>
            <w:right w:val="none" w:sz="0" w:space="0" w:color="auto"/>
          </w:divBdr>
        </w:div>
        <w:div w:id="346643359">
          <w:marLeft w:val="0"/>
          <w:marRight w:val="0"/>
          <w:marTop w:val="0"/>
          <w:marBottom w:val="0"/>
          <w:divBdr>
            <w:top w:val="none" w:sz="0" w:space="0" w:color="auto"/>
            <w:left w:val="none" w:sz="0" w:space="0" w:color="auto"/>
            <w:bottom w:val="none" w:sz="0" w:space="0" w:color="auto"/>
            <w:right w:val="none" w:sz="0" w:space="0" w:color="auto"/>
          </w:divBdr>
        </w:div>
        <w:div w:id="385879687">
          <w:marLeft w:val="0"/>
          <w:marRight w:val="0"/>
          <w:marTop w:val="0"/>
          <w:marBottom w:val="0"/>
          <w:divBdr>
            <w:top w:val="none" w:sz="0" w:space="0" w:color="auto"/>
            <w:left w:val="none" w:sz="0" w:space="0" w:color="auto"/>
            <w:bottom w:val="none" w:sz="0" w:space="0" w:color="auto"/>
            <w:right w:val="none" w:sz="0" w:space="0" w:color="auto"/>
          </w:divBdr>
        </w:div>
        <w:div w:id="1359045367">
          <w:marLeft w:val="0"/>
          <w:marRight w:val="0"/>
          <w:marTop w:val="0"/>
          <w:marBottom w:val="0"/>
          <w:divBdr>
            <w:top w:val="none" w:sz="0" w:space="0" w:color="auto"/>
            <w:left w:val="none" w:sz="0" w:space="0" w:color="auto"/>
            <w:bottom w:val="none" w:sz="0" w:space="0" w:color="auto"/>
            <w:right w:val="none" w:sz="0" w:space="0" w:color="auto"/>
          </w:divBdr>
        </w:div>
      </w:divsChild>
    </w:div>
    <w:div w:id="878515759">
      <w:bodyDiv w:val="1"/>
      <w:marLeft w:val="0"/>
      <w:marRight w:val="0"/>
      <w:marTop w:val="0"/>
      <w:marBottom w:val="0"/>
      <w:divBdr>
        <w:top w:val="none" w:sz="0" w:space="0" w:color="auto"/>
        <w:left w:val="none" w:sz="0" w:space="0" w:color="auto"/>
        <w:bottom w:val="none" w:sz="0" w:space="0" w:color="auto"/>
        <w:right w:val="none" w:sz="0" w:space="0" w:color="auto"/>
      </w:divBdr>
    </w:div>
    <w:div w:id="1141770185">
      <w:bodyDiv w:val="1"/>
      <w:marLeft w:val="0"/>
      <w:marRight w:val="0"/>
      <w:marTop w:val="0"/>
      <w:marBottom w:val="0"/>
      <w:divBdr>
        <w:top w:val="none" w:sz="0" w:space="0" w:color="auto"/>
        <w:left w:val="none" w:sz="0" w:space="0" w:color="auto"/>
        <w:bottom w:val="none" w:sz="0" w:space="0" w:color="auto"/>
        <w:right w:val="none" w:sz="0" w:space="0" w:color="auto"/>
      </w:divBdr>
    </w:div>
    <w:div w:id="1186136525">
      <w:bodyDiv w:val="1"/>
      <w:marLeft w:val="0"/>
      <w:marRight w:val="0"/>
      <w:marTop w:val="0"/>
      <w:marBottom w:val="0"/>
      <w:divBdr>
        <w:top w:val="none" w:sz="0" w:space="0" w:color="auto"/>
        <w:left w:val="none" w:sz="0" w:space="0" w:color="auto"/>
        <w:bottom w:val="none" w:sz="0" w:space="0" w:color="auto"/>
        <w:right w:val="none" w:sz="0" w:space="0" w:color="auto"/>
      </w:divBdr>
    </w:div>
    <w:div w:id="1447849765">
      <w:marLeft w:val="0"/>
      <w:marRight w:val="0"/>
      <w:marTop w:val="0"/>
      <w:marBottom w:val="0"/>
      <w:divBdr>
        <w:top w:val="none" w:sz="0" w:space="0" w:color="auto"/>
        <w:left w:val="none" w:sz="0" w:space="0" w:color="auto"/>
        <w:bottom w:val="none" w:sz="0" w:space="0" w:color="auto"/>
        <w:right w:val="none" w:sz="0" w:space="0" w:color="auto"/>
      </w:divBdr>
    </w:div>
    <w:div w:id="1447849774">
      <w:marLeft w:val="0"/>
      <w:marRight w:val="0"/>
      <w:marTop w:val="0"/>
      <w:marBottom w:val="0"/>
      <w:divBdr>
        <w:top w:val="none" w:sz="0" w:space="0" w:color="auto"/>
        <w:left w:val="none" w:sz="0" w:space="0" w:color="auto"/>
        <w:bottom w:val="none" w:sz="0" w:space="0" w:color="auto"/>
        <w:right w:val="none" w:sz="0" w:space="0" w:color="auto"/>
      </w:divBdr>
    </w:div>
    <w:div w:id="1447849780">
      <w:marLeft w:val="0"/>
      <w:marRight w:val="0"/>
      <w:marTop w:val="0"/>
      <w:marBottom w:val="0"/>
      <w:divBdr>
        <w:top w:val="none" w:sz="0" w:space="0" w:color="auto"/>
        <w:left w:val="none" w:sz="0" w:space="0" w:color="auto"/>
        <w:bottom w:val="none" w:sz="0" w:space="0" w:color="auto"/>
        <w:right w:val="none" w:sz="0" w:space="0" w:color="auto"/>
      </w:divBdr>
    </w:div>
    <w:div w:id="1447849781">
      <w:marLeft w:val="0"/>
      <w:marRight w:val="0"/>
      <w:marTop w:val="0"/>
      <w:marBottom w:val="0"/>
      <w:divBdr>
        <w:top w:val="none" w:sz="0" w:space="0" w:color="auto"/>
        <w:left w:val="none" w:sz="0" w:space="0" w:color="auto"/>
        <w:bottom w:val="none" w:sz="0" w:space="0" w:color="auto"/>
        <w:right w:val="none" w:sz="0" w:space="0" w:color="auto"/>
      </w:divBdr>
    </w:div>
    <w:div w:id="1447849784">
      <w:marLeft w:val="0"/>
      <w:marRight w:val="0"/>
      <w:marTop w:val="0"/>
      <w:marBottom w:val="0"/>
      <w:divBdr>
        <w:top w:val="none" w:sz="0" w:space="0" w:color="auto"/>
        <w:left w:val="none" w:sz="0" w:space="0" w:color="auto"/>
        <w:bottom w:val="none" w:sz="0" w:space="0" w:color="auto"/>
        <w:right w:val="none" w:sz="0" w:space="0" w:color="auto"/>
      </w:divBdr>
    </w:div>
    <w:div w:id="1447849786">
      <w:marLeft w:val="0"/>
      <w:marRight w:val="0"/>
      <w:marTop w:val="0"/>
      <w:marBottom w:val="0"/>
      <w:divBdr>
        <w:top w:val="none" w:sz="0" w:space="0" w:color="auto"/>
        <w:left w:val="none" w:sz="0" w:space="0" w:color="auto"/>
        <w:bottom w:val="none" w:sz="0" w:space="0" w:color="auto"/>
        <w:right w:val="none" w:sz="0" w:space="0" w:color="auto"/>
      </w:divBdr>
    </w:div>
    <w:div w:id="1447849787">
      <w:marLeft w:val="0"/>
      <w:marRight w:val="0"/>
      <w:marTop w:val="0"/>
      <w:marBottom w:val="0"/>
      <w:divBdr>
        <w:top w:val="none" w:sz="0" w:space="0" w:color="auto"/>
        <w:left w:val="none" w:sz="0" w:space="0" w:color="auto"/>
        <w:bottom w:val="none" w:sz="0" w:space="0" w:color="auto"/>
        <w:right w:val="none" w:sz="0" w:space="0" w:color="auto"/>
      </w:divBdr>
    </w:div>
    <w:div w:id="1447849788">
      <w:marLeft w:val="0"/>
      <w:marRight w:val="0"/>
      <w:marTop w:val="0"/>
      <w:marBottom w:val="0"/>
      <w:divBdr>
        <w:top w:val="none" w:sz="0" w:space="0" w:color="auto"/>
        <w:left w:val="none" w:sz="0" w:space="0" w:color="auto"/>
        <w:bottom w:val="none" w:sz="0" w:space="0" w:color="auto"/>
        <w:right w:val="none" w:sz="0" w:space="0" w:color="auto"/>
      </w:divBdr>
    </w:div>
    <w:div w:id="1447849792">
      <w:marLeft w:val="0"/>
      <w:marRight w:val="0"/>
      <w:marTop w:val="0"/>
      <w:marBottom w:val="0"/>
      <w:divBdr>
        <w:top w:val="none" w:sz="0" w:space="0" w:color="auto"/>
        <w:left w:val="none" w:sz="0" w:space="0" w:color="auto"/>
        <w:bottom w:val="none" w:sz="0" w:space="0" w:color="auto"/>
        <w:right w:val="none" w:sz="0" w:space="0" w:color="auto"/>
      </w:divBdr>
    </w:div>
    <w:div w:id="1447849797">
      <w:marLeft w:val="0"/>
      <w:marRight w:val="0"/>
      <w:marTop w:val="0"/>
      <w:marBottom w:val="0"/>
      <w:divBdr>
        <w:top w:val="none" w:sz="0" w:space="0" w:color="auto"/>
        <w:left w:val="none" w:sz="0" w:space="0" w:color="auto"/>
        <w:bottom w:val="none" w:sz="0" w:space="0" w:color="auto"/>
        <w:right w:val="none" w:sz="0" w:space="0" w:color="auto"/>
      </w:divBdr>
    </w:div>
    <w:div w:id="1447849800">
      <w:marLeft w:val="0"/>
      <w:marRight w:val="0"/>
      <w:marTop w:val="0"/>
      <w:marBottom w:val="0"/>
      <w:divBdr>
        <w:top w:val="none" w:sz="0" w:space="0" w:color="auto"/>
        <w:left w:val="none" w:sz="0" w:space="0" w:color="auto"/>
        <w:bottom w:val="none" w:sz="0" w:space="0" w:color="auto"/>
        <w:right w:val="none" w:sz="0" w:space="0" w:color="auto"/>
      </w:divBdr>
    </w:div>
    <w:div w:id="1447849801">
      <w:marLeft w:val="0"/>
      <w:marRight w:val="0"/>
      <w:marTop w:val="0"/>
      <w:marBottom w:val="0"/>
      <w:divBdr>
        <w:top w:val="none" w:sz="0" w:space="0" w:color="auto"/>
        <w:left w:val="none" w:sz="0" w:space="0" w:color="auto"/>
        <w:bottom w:val="none" w:sz="0" w:space="0" w:color="auto"/>
        <w:right w:val="none" w:sz="0" w:space="0" w:color="auto"/>
      </w:divBdr>
    </w:div>
    <w:div w:id="1447849805">
      <w:marLeft w:val="0"/>
      <w:marRight w:val="0"/>
      <w:marTop w:val="0"/>
      <w:marBottom w:val="0"/>
      <w:divBdr>
        <w:top w:val="none" w:sz="0" w:space="0" w:color="auto"/>
        <w:left w:val="none" w:sz="0" w:space="0" w:color="auto"/>
        <w:bottom w:val="none" w:sz="0" w:space="0" w:color="auto"/>
        <w:right w:val="none" w:sz="0" w:space="0" w:color="auto"/>
      </w:divBdr>
    </w:div>
    <w:div w:id="1447849807">
      <w:marLeft w:val="0"/>
      <w:marRight w:val="0"/>
      <w:marTop w:val="0"/>
      <w:marBottom w:val="0"/>
      <w:divBdr>
        <w:top w:val="none" w:sz="0" w:space="0" w:color="auto"/>
        <w:left w:val="none" w:sz="0" w:space="0" w:color="auto"/>
        <w:bottom w:val="none" w:sz="0" w:space="0" w:color="auto"/>
        <w:right w:val="none" w:sz="0" w:space="0" w:color="auto"/>
      </w:divBdr>
    </w:div>
    <w:div w:id="1447849808">
      <w:marLeft w:val="0"/>
      <w:marRight w:val="0"/>
      <w:marTop w:val="0"/>
      <w:marBottom w:val="0"/>
      <w:divBdr>
        <w:top w:val="none" w:sz="0" w:space="0" w:color="auto"/>
        <w:left w:val="none" w:sz="0" w:space="0" w:color="auto"/>
        <w:bottom w:val="none" w:sz="0" w:space="0" w:color="auto"/>
        <w:right w:val="none" w:sz="0" w:space="0" w:color="auto"/>
      </w:divBdr>
    </w:div>
    <w:div w:id="1447849810">
      <w:marLeft w:val="0"/>
      <w:marRight w:val="0"/>
      <w:marTop w:val="0"/>
      <w:marBottom w:val="0"/>
      <w:divBdr>
        <w:top w:val="none" w:sz="0" w:space="0" w:color="auto"/>
        <w:left w:val="none" w:sz="0" w:space="0" w:color="auto"/>
        <w:bottom w:val="none" w:sz="0" w:space="0" w:color="auto"/>
        <w:right w:val="none" w:sz="0" w:space="0" w:color="auto"/>
      </w:divBdr>
      <w:divsChild>
        <w:div w:id="1447849761">
          <w:marLeft w:val="0"/>
          <w:marRight w:val="0"/>
          <w:marTop w:val="0"/>
          <w:marBottom w:val="0"/>
          <w:divBdr>
            <w:top w:val="none" w:sz="0" w:space="0" w:color="auto"/>
            <w:left w:val="none" w:sz="0" w:space="0" w:color="auto"/>
            <w:bottom w:val="none" w:sz="0" w:space="0" w:color="auto"/>
            <w:right w:val="none" w:sz="0" w:space="0" w:color="auto"/>
          </w:divBdr>
        </w:div>
        <w:div w:id="1447849762">
          <w:marLeft w:val="0"/>
          <w:marRight w:val="0"/>
          <w:marTop w:val="0"/>
          <w:marBottom w:val="0"/>
          <w:divBdr>
            <w:top w:val="none" w:sz="0" w:space="0" w:color="auto"/>
            <w:left w:val="none" w:sz="0" w:space="0" w:color="auto"/>
            <w:bottom w:val="none" w:sz="0" w:space="0" w:color="auto"/>
            <w:right w:val="none" w:sz="0" w:space="0" w:color="auto"/>
          </w:divBdr>
        </w:div>
        <w:div w:id="1447849763">
          <w:marLeft w:val="0"/>
          <w:marRight w:val="0"/>
          <w:marTop w:val="0"/>
          <w:marBottom w:val="0"/>
          <w:divBdr>
            <w:top w:val="none" w:sz="0" w:space="0" w:color="auto"/>
            <w:left w:val="none" w:sz="0" w:space="0" w:color="auto"/>
            <w:bottom w:val="none" w:sz="0" w:space="0" w:color="auto"/>
            <w:right w:val="none" w:sz="0" w:space="0" w:color="auto"/>
          </w:divBdr>
        </w:div>
        <w:div w:id="1447849764">
          <w:marLeft w:val="0"/>
          <w:marRight w:val="0"/>
          <w:marTop w:val="0"/>
          <w:marBottom w:val="0"/>
          <w:divBdr>
            <w:top w:val="none" w:sz="0" w:space="0" w:color="auto"/>
            <w:left w:val="none" w:sz="0" w:space="0" w:color="auto"/>
            <w:bottom w:val="none" w:sz="0" w:space="0" w:color="auto"/>
            <w:right w:val="none" w:sz="0" w:space="0" w:color="auto"/>
          </w:divBdr>
        </w:div>
        <w:div w:id="1447849766">
          <w:marLeft w:val="0"/>
          <w:marRight w:val="0"/>
          <w:marTop w:val="0"/>
          <w:marBottom w:val="0"/>
          <w:divBdr>
            <w:top w:val="none" w:sz="0" w:space="0" w:color="auto"/>
            <w:left w:val="none" w:sz="0" w:space="0" w:color="auto"/>
            <w:bottom w:val="none" w:sz="0" w:space="0" w:color="auto"/>
            <w:right w:val="none" w:sz="0" w:space="0" w:color="auto"/>
          </w:divBdr>
        </w:div>
        <w:div w:id="1447849767">
          <w:marLeft w:val="0"/>
          <w:marRight w:val="0"/>
          <w:marTop w:val="0"/>
          <w:marBottom w:val="0"/>
          <w:divBdr>
            <w:top w:val="none" w:sz="0" w:space="0" w:color="auto"/>
            <w:left w:val="none" w:sz="0" w:space="0" w:color="auto"/>
            <w:bottom w:val="none" w:sz="0" w:space="0" w:color="auto"/>
            <w:right w:val="none" w:sz="0" w:space="0" w:color="auto"/>
          </w:divBdr>
        </w:div>
        <w:div w:id="1447849768">
          <w:marLeft w:val="0"/>
          <w:marRight w:val="0"/>
          <w:marTop w:val="0"/>
          <w:marBottom w:val="0"/>
          <w:divBdr>
            <w:top w:val="none" w:sz="0" w:space="0" w:color="auto"/>
            <w:left w:val="none" w:sz="0" w:space="0" w:color="auto"/>
            <w:bottom w:val="none" w:sz="0" w:space="0" w:color="auto"/>
            <w:right w:val="none" w:sz="0" w:space="0" w:color="auto"/>
          </w:divBdr>
        </w:div>
        <w:div w:id="1447849769">
          <w:marLeft w:val="0"/>
          <w:marRight w:val="0"/>
          <w:marTop w:val="0"/>
          <w:marBottom w:val="0"/>
          <w:divBdr>
            <w:top w:val="none" w:sz="0" w:space="0" w:color="auto"/>
            <w:left w:val="none" w:sz="0" w:space="0" w:color="auto"/>
            <w:bottom w:val="none" w:sz="0" w:space="0" w:color="auto"/>
            <w:right w:val="none" w:sz="0" w:space="0" w:color="auto"/>
          </w:divBdr>
        </w:div>
        <w:div w:id="1447849770">
          <w:marLeft w:val="0"/>
          <w:marRight w:val="0"/>
          <w:marTop w:val="0"/>
          <w:marBottom w:val="0"/>
          <w:divBdr>
            <w:top w:val="none" w:sz="0" w:space="0" w:color="auto"/>
            <w:left w:val="none" w:sz="0" w:space="0" w:color="auto"/>
            <w:bottom w:val="none" w:sz="0" w:space="0" w:color="auto"/>
            <w:right w:val="none" w:sz="0" w:space="0" w:color="auto"/>
          </w:divBdr>
        </w:div>
        <w:div w:id="1447849771">
          <w:marLeft w:val="0"/>
          <w:marRight w:val="0"/>
          <w:marTop w:val="0"/>
          <w:marBottom w:val="0"/>
          <w:divBdr>
            <w:top w:val="none" w:sz="0" w:space="0" w:color="auto"/>
            <w:left w:val="none" w:sz="0" w:space="0" w:color="auto"/>
            <w:bottom w:val="none" w:sz="0" w:space="0" w:color="auto"/>
            <w:right w:val="none" w:sz="0" w:space="0" w:color="auto"/>
          </w:divBdr>
        </w:div>
        <w:div w:id="1447849772">
          <w:marLeft w:val="0"/>
          <w:marRight w:val="0"/>
          <w:marTop w:val="0"/>
          <w:marBottom w:val="0"/>
          <w:divBdr>
            <w:top w:val="none" w:sz="0" w:space="0" w:color="auto"/>
            <w:left w:val="none" w:sz="0" w:space="0" w:color="auto"/>
            <w:bottom w:val="none" w:sz="0" w:space="0" w:color="auto"/>
            <w:right w:val="none" w:sz="0" w:space="0" w:color="auto"/>
          </w:divBdr>
        </w:div>
        <w:div w:id="1447849773">
          <w:marLeft w:val="0"/>
          <w:marRight w:val="0"/>
          <w:marTop w:val="0"/>
          <w:marBottom w:val="0"/>
          <w:divBdr>
            <w:top w:val="none" w:sz="0" w:space="0" w:color="auto"/>
            <w:left w:val="none" w:sz="0" w:space="0" w:color="auto"/>
            <w:bottom w:val="none" w:sz="0" w:space="0" w:color="auto"/>
            <w:right w:val="none" w:sz="0" w:space="0" w:color="auto"/>
          </w:divBdr>
        </w:div>
        <w:div w:id="1447849775">
          <w:marLeft w:val="0"/>
          <w:marRight w:val="0"/>
          <w:marTop w:val="0"/>
          <w:marBottom w:val="0"/>
          <w:divBdr>
            <w:top w:val="none" w:sz="0" w:space="0" w:color="auto"/>
            <w:left w:val="none" w:sz="0" w:space="0" w:color="auto"/>
            <w:bottom w:val="none" w:sz="0" w:space="0" w:color="auto"/>
            <w:right w:val="none" w:sz="0" w:space="0" w:color="auto"/>
          </w:divBdr>
        </w:div>
        <w:div w:id="1447849776">
          <w:marLeft w:val="0"/>
          <w:marRight w:val="0"/>
          <w:marTop w:val="0"/>
          <w:marBottom w:val="0"/>
          <w:divBdr>
            <w:top w:val="none" w:sz="0" w:space="0" w:color="auto"/>
            <w:left w:val="none" w:sz="0" w:space="0" w:color="auto"/>
            <w:bottom w:val="none" w:sz="0" w:space="0" w:color="auto"/>
            <w:right w:val="none" w:sz="0" w:space="0" w:color="auto"/>
          </w:divBdr>
        </w:div>
        <w:div w:id="1447849777">
          <w:marLeft w:val="0"/>
          <w:marRight w:val="0"/>
          <w:marTop w:val="0"/>
          <w:marBottom w:val="0"/>
          <w:divBdr>
            <w:top w:val="none" w:sz="0" w:space="0" w:color="auto"/>
            <w:left w:val="none" w:sz="0" w:space="0" w:color="auto"/>
            <w:bottom w:val="none" w:sz="0" w:space="0" w:color="auto"/>
            <w:right w:val="none" w:sz="0" w:space="0" w:color="auto"/>
          </w:divBdr>
        </w:div>
        <w:div w:id="1447849778">
          <w:marLeft w:val="0"/>
          <w:marRight w:val="0"/>
          <w:marTop w:val="0"/>
          <w:marBottom w:val="0"/>
          <w:divBdr>
            <w:top w:val="none" w:sz="0" w:space="0" w:color="auto"/>
            <w:left w:val="none" w:sz="0" w:space="0" w:color="auto"/>
            <w:bottom w:val="none" w:sz="0" w:space="0" w:color="auto"/>
            <w:right w:val="none" w:sz="0" w:space="0" w:color="auto"/>
          </w:divBdr>
        </w:div>
        <w:div w:id="1447849779">
          <w:marLeft w:val="0"/>
          <w:marRight w:val="0"/>
          <w:marTop w:val="0"/>
          <w:marBottom w:val="0"/>
          <w:divBdr>
            <w:top w:val="none" w:sz="0" w:space="0" w:color="auto"/>
            <w:left w:val="none" w:sz="0" w:space="0" w:color="auto"/>
            <w:bottom w:val="none" w:sz="0" w:space="0" w:color="auto"/>
            <w:right w:val="none" w:sz="0" w:space="0" w:color="auto"/>
          </w:divBdr>
        </w:div>
        <w:div w:id="1447849782">
          <w:marLeft w:val="0"/>
          <w:marRight w:val="0"/>
          <w:marTop w:val="0"/>
          <w:marBottom w:val="0"/>
          <w:divBdr>
            <w:top w:val="none" w:sz="0" w:space="0" w:color="auto"/>
            <w:left w:val="none" w:sz="0" w:space="0" w:color="auto"/>
            <w:bottom w:val="none" w:sz="0" w:space="0" w:color="auto"/>
            <w:right w:val="none" w:sz="0" w:space="0" w:color="auto"/>
          </w:divBdr>
        </w:div>
        <w:div w:id="1447849783">
          <w:marLeft w:val="0"/>
          <w:marRight w:val="0"/>
          <w:marTop w:val="0"/>
          <w:marBottom w:val="0"/>
          <w:divBdr>
            <w:top w:val="none" w:sz="0" w:space="0" w:color="auto"/>
            <w:left w:val="none" w:sz="0" w:space="0" w:color="auto"/>
            <w:bottom w:val="none" w:sz="0" w:space="0" w:color="auto"/>
            <w:right w:val="none" w:sz="0" w:space="0" w:color="auto"/>
          </w:divBdr>
        </w:div>
        <w:div w:id="1447849785">
          <w:marLeft w:val="0"/>
          <w:marRight w:val="0"/>
          <w:marTop w:val="0"/>
          <w:marBottom w:val="0"/>
          <w:divBdr>
            <w:top w:val="none" w:sz="0" w:space="0" w:color="auto"/>
            <w:left w:val="none" w:sz="0" w:space="0" w:color="auto"/>
            <w:bottom w:val="none" w:sz="0" w:space="0" w:color="auto"/>
            <w:right w:val="none" w:sz="0" w:space="0" w:color="auto"/>
          </w:divBdr>
        </w:div>
        <w:div w:id="1447849789">
          <w:marLeft w:val="0"/>
          <w:marRight w:val="0"/>
          <w:marTop w:val="0"/>
          <w:marBottom w:val="0"/>
          <w:divBdr>
            <w:top w:val="none" w:sz="0" w:space="0" w:color="auto"/>
            <w:left w:val="none" w:sz="0" w:space="0" w:color="auto"/>
            <w:bottom w:val="none" w:sz="0" w:space="0" w:color="auto"/>
            <w:right w:val="none" w:sz="0" w:space="0" w:color="auto"/>
          </w:divBdr>
        </w:div>
        <w:div w:id="1447849790">
          <w:marLeft w:val="0"/>
          <w:marRight w:val="0"/>
          <w:marTop w:val="0"/>
          <w:marBottom w:val="0"/>
          <w:divBdr>
            <w:top w:val="none" w:sz="0" w:space="0" w:color="auto"/>
            <w:left w:val="none" w:sz="0" w:space="0" w:color="auto"/>
            <w:bottom w:val="none" w:sz="0" w:space="0" w:color="auto"/>
            <w:right w:val="none" w:sz="0" w:space="0" w:color="auto"/>
          </w:divBdr>
        </w:div>
        <w:div w:id="1447849791">
          <w:marLeft w:val="0"/>
          <w:marRight w:val="0"/>
          <w:marTop w:val="0"/>
          <w:marBottom w:val="0"/>
          <w:divBdr>
            <w:top w:val="none" w:sz="0" w:space="0" w:color="auto"/>
            <w:left w:val="none" w:sz="0" w:space="0" w:color="auto"/>
            <w:bottom w:val="none" w:sz="0" w:space="0" w:color="auto"/>
            <w:right w:val="none" w:sz="0" w:space="0" w:color="auto"/>
          </w:divBdr>
        </w:div>
        <w:div w:id="1447849793">
          <w:marLeft w:val="0"/>
          <w:marRight w:val="0"/>
          <w:marTop w:val="0"/>
          <w:marBottom w:val="0"/>
          <w:divBdr>
            <w:top w:val="none" w:sz="0" w:space="0" w:color="auto"/>
            <w:left w:val="none" w:sz="0" w:space="0" w:color="auto"/>
            <w:bottom w:val="none" w:sz="0" w:space="0" w:color="auto"/>
            <w:right w:val="none" w:sz="0" w:space="0" w:color="auto"/>
          </w:divBdr>
        </w:div>
        <w:div w:id="1447849794">
          <w:marLeft w:val="0"/>
          <w:marRight w:val="0"/>
          <w:marTop w:val="0"/>
          <w:marBottom w:val="0"/>
          <w:divBdr>
            <w:top w:val="none" w:sz="0" w:space="0" w:color="auto"/>
            <w:left w:val="none" w:sz="0" w:space="0" w:color="auto"/>
            <w:bottom w:val="none" w:sz="0" w:space="0" w:color="auto"/>
            <w:right w:val="none" w:sz="0" w:space="0" w:color="auto"/>
          </w:divBdr>
        </w:div>
        <w:div w:id="1447849795">
          <w:marLeft w:val="0"/>
          <w:marRight w:val="0"/>
          <w:marTop w:val="0"/>
          <w:marBottom w:val="0"/>
          <w:divBdr>
            <w:top w:val="none" w:sz="0" w:space="0" w:color="auto"/>
            <w:left w:val="none" w:sz="0" w:space="0" w:color="auto"/>
            <w:bottom w:val="none" w:sz="0" w:space="0" w:color="auto"/>
            <w:right w:val="none" w:sz="0" w:space="0" w:color="auto"/>
          </w:divBdr>
        </w:div>
        <w:div w:id="1447849796">
          <w:marLeft w:val="0"/>
          <w:marRight w:val="0"/>
          <w:marTop w:val="0"/>
          <w:marBottom w:val="0"/>
          <w:divBdr>
            <w:top w:val="none" w:sz="0" w:space="0" w:color="auto"/>
            <w:left w:val="none" w:sz="0" w:space="0" w:color="auto"/>
            <w:bottom w:val="none" w:sz="0" w:space="0" w:color="auto"/>
            <w:right w:val="none" w:sz="0" w:space="0" w:color="auto"/>
          </w:divBdr>
        </w:div>
        <w:div w:id="1447849798">
          <w:marLeft w:val="0"/>
          <w:marRight w:val="0"/>
          <w:marTop w:val="0"/>
          <w:marBottom w:val="0"/>
          <w:divBdr>
            <w:top w:val="none" w:sz="0" w:space="0" w:color="auto"/>
            <w:left w:val="none" w:sz="0" w:space="0" w:color="auto"/>
            <w:bottom w:val="none" w:sz="0" w:space="0" w:color="auto"/>
            <w:right w:val="none" w:sz="0" w:space="0" w:color="auto"/>
          </w:divBdr>
        </w:div>
        <w:div w:id="1447849799">
          <w:marLeft w:val="0"/>
          <w:marRight w:val="0"/>
          <w:marTop w:val="0"/>
          <w:marBottom w:val="0"/>
          <w:divBdr>
            <w:top w:val="none" w:sz="0" w:space="0" w:color="auto"/>
            <w:left w:val="none" w:sz="0" w:space="0" w:color="auto"/>
            <w:bottom w:val="none" w:sz="0" w:space="0" w:color="auto"/>
            <w:right w:val="none" w:sz="0" w:space="0" w:color="auto"/>
          </w:divBdr>
        </w:div>
        <w:div w:id="1447849802">
          <w:marLeft w:val="0"/>
          <w:marRight w:val="0"/>
          <w:marTop w:val="0"/>
          <w:marBottom w:val="0"/>
          <w:divBdr>
            <w:top w:val="none" w:sz="0" w:space="0" w:color="auto"/>
            <w:left w:val="none" w:sz="0" w:space="0" w:color="auto"/>
            <w:bottom w:val="none" w:sz="0" w:space="0" w:color="auto"/>
            <w:right w:val="none" w:sz="0" w:space="0" w:color="auto"/>
          </w:divBdr>
        </w:div>
        <w:div w:id="1447849803">
          <w:marLeft w:val="0"/>
          <w:marRight w:val="0"/>
          <w:marTop w:val="0"/>
          <w:marBottom w:val="0"/>
          <w:divBdr>
            <w:top w:val="none" w:sz="0" w:space="0" w:color="auto"/>
            <w:left w:val="none" w:sz="0" w:space="0" w:color="auto"/>
            <w:bottom w:val="none" w:sz="0" w:space="0" w:color="auto"/>
            <w:right w:val="none" w:sz="0" w:space="0" w:color="auto"/>
          </w:divBdr>
        </w:div>
        <w:div w:id="1447849804">
          <w:marLeft w:val="0"/>
          <w:marRight w:val="0"/>
          <w:marTop w:val="0"/>
          <w:marBottom w:val="0"/>
          <w:divBdr>
            <w:top w:val="none" w:sz="0" w:space="0" w:color="auto"/>
            <w:left w:val="none" w:sz="0" w:space="0" w:color="auto"/>
            <w:bottom w:val="none" w:sz="0" w:space="0" w:color="auto"/>
            <w:right w:val="none" w:sz="0" w:space="0" w:color="auto"/>
          </w:divBdr>
        </w:div>
        <w:div w:id="1447849806">
          <w:marLeft w:val="0"/>
          <w:marRight w:val="0"/>
          <w:marTop w:val="0"/>
          <w:marBottom w:val="0"/>
          <w:divBdr>
            <w:top w:val="none" w:sz="0" w:space="0" w:color="auto"/>
            <w:left w:val="none" w:sz="0" w:space="0" w:color="auto"/>
            <w:bottom w:val="none" w:sz="0" w:space="0" w:color="auto"/>
            <w:right w:val="none" w:sz="0" w:space="0" w:color="auto"/>
          </w:divBdr>
        </w:div>
        <w:div w:id="1447849809">
          <w:marLeft w:val="0"/>
          <w:marRight w:val="0"/>
          <w:marTop w:val="0"/>
          <w:marBottom w:val="0"/>
          <w:divBdr>
            <w:top w:val="none" w:sz="0" w:space="0" w:color="auto"/>
            <w:left w:val="none" w:sz="0" w:space="0" w:color="auto"/>
            <w:bottom w:val="none" w:sz="0" w:space="0" w:color="auto"/>
            <w:right w:val="none" w:sz="0" w:space="0" w:color="auto"/>
          </w:divBdr>
        </w:div>
        <w:div w:id="1447849812">
          <w:marLeft w:val="0"/>
          <w:marRight w:val="0"/>
          <w:marTop w:val="0"/>
          <w:marBottom w:val="0"/>
          <w:divBdr>
            <w:top w:val="none" w:sz="0" w:space="0" w:color="auto"/>
            <w:left w:val="none" w:sz="0" w:space="0" w:color="auto"/>
            <w:bottom w:val="none" w:sz="0" w:space="0" w:color="auto"/>
            <w:right w:val="none" w:sz="0" w:space="0" w:color="auto"/>
          </w:divBdr>
        </w:div>
        <w:div w:id="1447849813">
          <w:marLeft w:val="0"/>
          <w:marRight w:val="0"/>
          <w:marTop w:val="0"/>
          <w:marBottom w:val="0"/>
          <w:divBdr>
            <w:top w:val="none" w:sz="0" w:space="0" w:color="auto"/>
            <w:left w:val="none" w:sz="0" w:space="0" w:color="auto"/>
            <w:bottom w:val="none" w:sz="0" w:space="0" w:color="auto"/>
            <w:right w:val="none" w:sz="0" w:space="0" w:color="auto"/>
          </w:divBdr>
        </w:div>
      </w:divsChild>
    </w:div>
    <w:div w:id="1447849811">
      <w:marLeft w:val="0"/>
      <w:marRight w:val="0"/>
      <w:marTop w:val="0"/>
      <w:marBottom w:val="0"/>
      <w:divBdr>
        <w:top w:val="none" w:sz="0" w:space="0" w:color="auto"/>
        <w:left w:val="none" w:sz="0" w:space="0" w:color="auto"/>
        <w:bottom w:val="none" w:sz="0" w:space="0" w:color="auto"/>
        <w:right w:val="none" w:sz="0" w:space="0" w:color="auto"/>
      </w:divBdr>
    </w:div>
    <w:div w:id="2027125797">
      <w:bodyDiv w:val="1"/>
      <w:marLeft w:val="0"/>
      <w:marRight w:val="0"/>
      <w:marTop w:val="0"/>
      <w:marBottom w:val="0"/>
      <w:divBdr>
        <w:top w:val="none" w:sz="0" w:space="0" w:color="auto"/>
        <w:left w:val="none" w:sz="0" w:space="0" w:color="auto"/>
        <w:bottom w:val="none" w:sz="0" w:space="0" w:color="auto"/>
        <w:right w:val="none" w:sz="0" w:space="0" w:color="auto"/>
      </w:divBdr>
    </w:div>
    <w:div w:id="212580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file:///C:\Users\georgi.evtimov\AppData\Local\Microsoft\Windows\INetCache\Content.Outlook\C0NP82SO\Convergence%20Programme%20of%20Bulgaria%202024-2027_B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3</b:Tag>
    <b:RefOrder>1</b:RefOrder>
  </b:Source>
</b:Sources>
</file>

<file path=customXml/itemProps1.xml><?xml version="1.0" encoding="utf-8"?>
<ds:datastoreItem xmlns:ds="http://schemas.openxmlformats.org/officeDocument/2006/customXml" ds:itemID="{41DF1C01-A209-4983-9E16-AC3E5792A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10386</Words>
  <Characters>63436</Characters>
  <Application>Microsoft Office Word</Application>
  <DocSecurity>0</DocSecurity>
  <Lines>528</Lines>
  <Paragraphs>147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CM</Company>
  <LinksUpToDate>false</LinksUpToDate>
  <CharactersWithSpaces>73675</CharactersWithSpaces>
  <SharedDoc>false</SharedDoc>
  <HLinks>
    <vt:vector size="60" baseType="variant">
      <vt:variant>
        <vt:i4>5111810</vt:i4>
      </vt:variant>
      <vt:variant>
        <vt:i4>0</vt:i4>
      </vt:variant>
      <vt:variant>
        <vt:i4>0</vt:i4>
      </vt:variant>
      <vt:variant>
        <vt:i4>5</vt:i4>
      </vt:variant>
      <vt:variant>
        <vt:lpwstr>http://www.google.bg/url?sa=t&amp;rct=j&amp;q=&amp;esrc=s&amp;source=web&amp;cd=1&amp;cad=rja&amp;uact=8&amp;ved=0ahUKEwiZlbf3ufrXAhXD8RQKHeWaCm4QFggnMAA&amp;url=http%3A%2F%2Fbbcmb.org%2F&amp;usg=AOvVaw008t1h68rM8VL9dhYdtlyX</vt:lpwstr>
      </vt:variant>
      <vt:variant>
        <vt:lpwstr/>
      </vt:variant>
      <vt:variant>
        <vt:i4>5570592</vt:i4>
      </vt:variant>
      <vt:variant>
        <vt:i4>24</vt:i4>
      </vt:variant>
      <vt:variant>
        <vt:i4>0</vt:i4>
      </vt:variant>
      <vt:variant>
        <vt:i4>5</vt:i4>
      </vt:variant>
      <vt:variant>
        <vt:lpwstr>https://www.noi.bg/images/bg/about/statisticsandanalysis/statistics/trs/trudovi_zlopoluki_2019_godishnik.pdf</vt:lpwstr>
      </vt:variant>
      <vt:variant>
        <vt:lpwstr/>
      </vt:variant>
      <vt:variant>
        <vt:i4>8257624</vt:i4>
      </vt:variant>
      <vt:variant>
        <vt:i4>21</vt:i4>
      </vt:variant>
      <vt:variant>
        <vt:i4>0</vt:i4>
      </vt:variant>
      <vt:variant>
        <vt:i4>5</vt:i4>
      </vt:variant>
      <vt:variant>
        <vt:lpwstr>http://www.gli.government.bg/upload/docs/2017-05/Doklad_2016_IA_GIT.pdf</vt:lpwstr>
      </vt:variant>
      <vt:variant>
        <vt:lpwstr/>
      </vt:variant>
      <vt:variant>
        <vt:i4>2883687</vt:i4>
      </vt:variant>
      <vt:variant>
        <vt:i4>18</vt:i4>
      </vt:variant>
      <vt:variant>
        <vt:i4>0</vt:i4>
      </vt:variant>
      <vt:variant>
        <vt:i4>5</vt:i4>
      </vt:variant>
      <vt:variant>
        <vt:lpwstr>http://projects.gli.government.bg/index.php?mod=content&amp;show=10</vt:lpwstr>
      </vt:variant>
      <vt:variant>
        <vt:lpwstr/>
      </vt:variant>
      <vt:variant>
        <vt:i4>2883689</vt:i4>
      </vt:variant>
      <vt:variant>
        <vt:i4>15</vt:i4>
      </vt:variant>
      <vt:variant>
        <vt:i4>0</vt:i4>
      </vt:variant>
      <vt:variant>
        <vt:i4>5</vt:i4>
      </vt:variant>
      <vt:variant>
        <vt:lpwstr>http://www.nsi.bg/bg/content/4009/%D0%B7%D0%B0%D0%B5%D1%82%D0%B8-%D0%BB%D0%B8%D1%86%D0%B0-%D0%B8-%D0%BA%D0%BE%D0%B5%D1%84%D0%B8%D1%86%D0%B8%D0%B5%D0%BD%D1%82%D0%B8-%D0%BD%D0%B0-%D0%B7%D0%B0%D0%B5%D1%82%D0%BE%D1%81%D1%82-%D0%BD%D0%B0%D1%86%D0%B8%D0%BE%D0%BD%D0%B0%D0%BB%D0%BD%D0%BE-%D0%BD%D0%B8%D0%B2%D0%BE-%D1%81%D1%82%D0%B0%D1%82%D0%B8%D1%81%D1%82%D0%B8%D1%87%D0%B5%D1%81%D0%BA%D0%B8-%D1%80%D0%B0%D0%B9%D0%BE%D0%BD%D0%B8-%D0%BE%D0%B1%D0%BB%D0%B0%D1%81%D1%82%D0%B8</vt:lpwstr>
      </vt:variant>
      <vt:variant>
        <vt:lpwstr/>
      </vt:variant>
      <vt:variant>
        <vt:i4>2883689</vt:i4>
      </vt:variant>
      <vt:variant>
        <vt:i4>12</vt:i4>
      </vt:variant>
      <vt:variant>
        <vt:i4>0</vt:i4>
      </vt:variant>
      <vt:variant>
        <vt:i4>5</vt:i4>
      </vt:variant>
      <vt:variant>
        <vt:lpwstr>http://www.nsi.bg/bg/content/4009/%D0%B7%D0%B0%D0%B5%D1%82%D0%B8-%D0%BB%D0%B8%D1%86%D0%B0-%D0%B8-%D0%BA%D0%BE%D0%B5%D1%84%D0%B8%D1%86%D0%B8%D0%B5%D0%BD%D1%82%D0%B8-%D0%BD%D0%B0-%D0%B7%D0%B0%D0%B5%D1%82%D0%BE%D1%81%D1%82-%D0%BD%D0%B0%D1%86%D0%B8%D0%BE%D0%BD%D0%B0%D0%BB%D0%BD%D0%BE-%D0%BD%D0%B8%D0%B2%D0%BE-%D1%81%D1%82%D0%B0%D1%82%D0%B8%D1%81%D1%82%D0%B8%D1%87%D0%B5%D1%81%D0%BA%D0%B8-%D1%80%D0%B0%D0%B9%D0%BE%D0%BD%D0%B8-%D0%BE%D0%B1%D0%BB%D0%B0%D1%81%D1%82%D0%B8</vt:lpwstr>
      </vt:variant>
      <vt:variant>
        <vt:lpwstr/>
      </vt:variant>
      <vt:variant>
        <vt:i4>3539007</vt:i4>
      </vt:variant>
      <vt:variant>
        <vt:i4>9</vt:i4>
      </vt:variant>
      <vt:variant>
        <vt:i4>0</vt:i4>
      </vt:variant>
      <vt:variant>
        <vt:i4>5</vt:i4>
      </vt:variant>
      <vt:variant>
        <vt:lpwstr>http://www.nsi.bg/sites/default/files/files/pages/KeyInd/KeyInd2017-04.pdf</vt:lpwstr>
      </vt:variant>
      <vt:variant>
        <vt:lpwstr/>
      </vt:variant>
      <vt:variant>
        <vt:i4>5701693</vt:i4>
      </vt:variant>
      <vt:variant>
        <vt:i4>6</vt:i4>
      </vt:variant>
      <vt:variant>
        <vt:i4>0</vt:i4>
      </vt:variant>
      <vt:variant>
        <vt:i4>5</vt:i4>
      </vt:variant>
      <vt:variant>
        <vt:lpwstr>http://www.nsi.bg/sites/default/files/files/pressreleases/Population2014_2Y19BGI.pdf</vt:lpwstr>
      </vt:variant>
      <vt:variant>
        <vt:lpwstr/>
      </vt:variant>
      <vt:variant>
        <vt:i4>7602185</vt:i4>
      </vt:variant>
      <vt:variant>
        <vt:i4>3</vt:i4>
      </vt:variant>
      <vt:variant>
        <vt:i4>0</vt:i4>
      </vt:variant>
      <vt:variant>
        <vt:i4>5</vt:i4>
      </vt:variant>
      <vt:variant>
        <vt:lpwstr>https://www.nsi.bg/sites/default/files/files/pressreleases/Population2016_722R06L.pdf</vt:lpwstr>
      </vt:variant>
      <vt:variant>
        <vt:lpwstr/>
      </vt:variant>
      <vt:variant>
        <vt:i4>851986</vt:i4>
      </vt:variant>
      <vt:variant>
        <vt:i4>0</vt:i4>
      </vt:variant>
      <vt:variant>
        <vt:i4>0</vt:i4>
      </vt:variant>
      <vt:variant>
        <vt:i4>5</vt:i4>
      </vt:variant>
      <vt:variant>
        <vt:lpwstr>https://www.minfin.bg/bg/page/868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Vaska Semerdzhieva</dc:creator>
  <cp:keywords/>
  <cp:lastModifiedBy>Галина Смелова</cp:lastModifiedBy>
  <cp:revision>2</cp:revision>
  <cp:lastPrinted>2025-12-12T10:26:00Z</cp:lastPrinted>
  <dcterms:created xsi:type="dcterms:W3CDTF">2026-02-18T07:30:00Z</dcterms:created>
  <dcterms:modified xsi:type="dcterms:W3CDTF">2026-02-18T07:30:00Z</dcterms:modified>
</cp:coreProperties>
</file>