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E7C" w14:textId="1DD146C4" w:rsidR="00AD087A" w:rsidRPr="00D45791" w:rsidRDefault="00AD087A">
      <w:pPr>
        <w:jc w:val="center"/>
        <w:rPr>
          <w:rFonts w:ascii="Times New Roman" w:hAnsi="Times New Roman"/>
          <w:b/>
          <w:sz w:val="28"/>
          <w:szCs w:val="28"/>
          <w:lang w:val="bg-BG"/>
        </w:rPr>
      </w:pPr>
    </w:p>
    <w:p w14:paraId="56D74E1A" w14:textId="77777777" w:rsidR="00AD087A" w:rsidRPr="00464EE6" w:rsidRDefault="00AD087A">
      <w:pPr>
        <w:jc w:val="center"/>
        <w:rPr>
          <w:rFonts w:ascii="Times New Roman" w:hAnsi="Times New Roman"/>
          <w:b/>
          <w:sz w:val="36"/>
          <w:szCs w:val="36"/>
          <w:lang w:val="bg-BG"/>
        </w:rPr>
      </w:pPr>
      <w:r w:rsidRPr="00464EE6">
        <w:rPr>
          <w:rFonts w:ascii="Times New Roman" w:hAnsi="Times New Roman"/>
          <w:b/>
          <w:sz w:val="36"/>
          <w:szCs w:val="36"/>
          <w:lang w:val="bg-BG"/>
        </w:rPr>
        <w:t>М  О  Т  И  В  И</w:t>
      </w:r>
    </w:p>
    <w:p w14:paraId="1CDC1A62" w14:textId="77777777" w:rsidR="00AD087A" w:rsidRPr="00464EE6" w:rsidRDefault="00AD087A">
      <w:pPr>
        <w:jc w:val="center"/>
        <w:rPr>
          <w:rFonts w:ascii="Times New Roman" w:hAnsi="Times New Roman"/>
          <w:b/>
          <w:sz w:val="28"/>
          <w:szCs w:val="28"/>
          <w:lang w:val="bg-BG"/>
        </w:rPr>
      </w:pPr>
    </w:p>
    <w:p w14:paraId="631E8CED" w14:textId="3147D08A" w:rsidR="000A042B" w:rsidRPr="000A042B" w:rsidRDefault="00AD087A" w:rsidP="000A042B">
      <w:pPr>
        <w:spacing w:after="66" w:line="259" w:lineRule="auto"/>
        <w:ind w:left="10" w:hanging="10"/>
        <w:jc w:val="center"/>
        <w:rPr>
          <w:rFonts w:ascii="Times New Roman" w:hAnsi="Times New Roman"/>
          <w:b/>
          <w:bCs/>
          <w:smallCaps/>
          <w:sz w:val="28"/>
          <w:szCs w:val="28"/>
          <w:lang w:val="bg-BG"/>
        </w:rPr>
      </w:pPr>
      <w:r w:rsidRPr="00464EE6">
        <w:rPr>
          <w:rFonts w:ascii="Times New Roman" w:hAnsi="Times New Roman"/>
          <w:b/>
          <w:smallCaps/>
          <w:sz w:val="28"/>
          <w:szCs w:val="28"/>
          <w:lang w:val="bg-BG"/>
        </w:rPr>
        <w:t xml:space="preserve">към проекта на </w:t>
      </w:r>
      <w:r w:rsidRPr="000A042B">
        <w:rPr>
          <w:rFonts w:ascii="Times New Roman" w:hAnsi="Times New Roman"/>
          <w:b/>
          <w:smallCaps/>
          <w:sz w:val="28"/>
          <w:szCs w:val="28"/>
          <w:lang w:val="bg-BG"/>
        </w:rPr>
        <w:t>Закон за</w:t>
      </w:r>
      <w:r w:rsidR="000A042B" w:rsidRPr="000A042B">
        <w:rPr>
          <w:lang w:val="bg-BG"/>
        </w:rPr>
        <w:t xml:space="preserve"> </w:t>
      </w:r>
      <w:r w:rsidR="000A042B" w:rsidRPr="000A042B">
        <w:rPr>
          <w:rFonts w:ascii="Times New Roman" w:hAnsi="Times New Roman"/>
          <w:b/>
          <w:bCs/>
          <w:smallCaps/>
          <w:sz w:val="28"/>
          <w:szCs w:val="28"/>
          <w:lang w:val="bg-BG"/>
        </w:rPr>
        <w:t xml:space="preserve">изменение и допълнение на </w:t>
      </w:r>
      <w:r w:rsidR="0077303C">
        <w:rPr>
          <w:rFonts w:ascii="Times New Roman" w:hAnsi="Times New Roman"/>
          <w:b/>
          <w:bCs/>
          <w:smallCaps/>
          <w:sz w:val="28"/>
          <w:szCs w:val="28"/>
          <w:lang w:val="bg-BG"/>
        </w:rPr>
        <w:t>З</w:t>
      </w:r>
      <w:r w:rsidR="000A042B" w:rsidRPr="000A042B">
        <w:rPr>
          <w:rFonts w:ascii="Times New Roman" w:hAnsi="Times New Roman"/>
          <w:b/>
          <w:bCs/>
          <w:smallCaps/>
          <w:sz w:val="28"/>
          <w:szCs w:val="28"/>
          <w:lang w:val="bg-BG"/>
        </w:rPr>
        <w:t xml:space="preserve">акона за </w:t>
      </w:r>
    </w:p>
    <w:p w14:paraId="42ECDA66" w14:textId="52490C13" w:rsidR="00AD087A" w:rsidRPr="000A042B" w:rsidRDefault="0077303C" w:rsidP="000A042B">
      <w:pPr>
        <w:spacing w:line="288" w:lineRule="auto"/>
        <w:jc w:val="center"/>
        <w:rPr>
          <w:rFonts w:asciiTheme="minorHAnsi" w:hAnsiTheme="minorHAnsi"/>
          <w:b/>
          <w:smallCaps/>
          <w:sz w:val="28"/>
          <w:szCs w:val="28"/>
          <w:lang w:val="bg-BG"/>
        </w:rPr>
      </w:pPr>
      <w:r>
        <w:rPr>
          <w:rFonts w:ascii="Times New Roman" w:hAnsi="Times New Roman"/>
          <w:b/>
          <w:bCs/>
          <w:smallCaps/>
          <w:sz w:val="28"/>
          <w:szCs w:val="28"/>
          <w:lang w:val="bg-BG"/>
        </w:rPr>
        <w:t>М</w:t>
      </w:r>
      <w:r w:rsidR="000A042B" w:rsidRPr="000A042B">
        <w:rPr>
          <w:rFonts w:ascii="Times New Roman" w:hAnsi="Times New Roman"/>
          <w:b/>
          <w:bCs/>
          <w:smallCaps/>
          <w:sz w:val="28"/>
          <w:szCs w:val="28"/>
          <w:lang w:val="bg-BG"/>
        </w:rPr>
        <w:t>инистерството на вътрешните работ</w:t>
      </w:r>
      <w:r w:rsidR="000A042B">
        <w:rPr>
          <w:rFonts w:ascii="Times New Roman" w:hAnsi="Times New Roman"/>
          <w:b/>
          <w:bCs/>
          <w:smallCaps/>
          <w:sz w:val="28"/>
          <w:szCs w:val="28"/>
          <w:lang w:val="bg-BG"/>
        </w:rPr>
        <w:t>и</w:t>
      </w:r>
    </w:p>
    <w:p w14:paraId="138348C2" w14:textId="77777777" w:rsidR="00AD087A" w:rsidRPr="00A67E7B" w:rsidRDefault="00AD087A" w:rsidP="00D013AB">
      <w:pPr>
        <w:spacing w:line="288" w:lineRule="auto"/>
        <w:jc w:val="center"/>
        <w:rPr>
          <w:rFonts w:ascii="Times New Roman" w:hAnsi="Times New Roman"/>
          <w:b/>
          <w:sz w:val="28"/>
          <w:szCs w:val="28"/>
          <w:lang w:val="bg-BG"/>
        </w:rPr>
      </w:pPr>
    </w:p>
    <w:p w14:paraId="22D6B943" w14:textId="77777777" w:rsidR="000A042B" w:rsidRPr="000A042B" w:rsidRDefault="000A042B" w:rsidP="000A042B">
      <w:pPr>
        <w:numPr>
          <w:ilvl w:val="0"/>
          <w:numId w:val="7"/>
        </w:numPr>
        <w:tabs>
          <w:tab w:val="left" w:pos="1560"/>
        </w:tabs>
        <w:spacing w:before="120" w:line="288" w:lineRule="auto"/>
        <w:ind w:left="0" w:right="9" w:firstLine="1134"/>
        <w:jc w:val="both"/>
        <w:rPr>
          <w:rFonts w:ascii="Arial" w:hAnsi="Arial" w:cs="Arial"/>
          <w:bCs/>
          <w:color w:val="000000"/>
          <w:sz w:val="28"/>
          <w:szCs w:val="28"/>
          <w:lang w:val="bg-BG" w:eastAsia="bg-BG"/>
        </w:rPr>
      </w:pPr>
      <w:r w:rsidRPr="000A042B">
        <w:rPr>
          <w:rFonts w:ascii="Arial" w:hAnsi="Arial" w:cs="Arial"/>
          <w:bCs/>
          <w:color w:val="000000"/>
          <w:sz w:val="28"/>
          <w:szCs w:val="28"/>
          <w:u w:color="000000"/>
          <w:lang w:val="bg-BG" w:eastAsia="bg-BG"/>
        </w:rPr>
        <w:t>Причини, които налагат приемането на законодателните промени:</w:t>
      </w:r>
      <w:r w:rsidRPr="000A042B">
        <w:rPr>
          <w:rFonts w:ascii="Arial" w:hAnsi="Arial" w:cs="Arial"/>
          <w:bCs/>
          <w:color w:val="000000"/>
          <w:sz w:val="28"/>
          <w:szCs w:val="28"/>
          <w:lang w:val="bg-BG" w:eastAsia="bg-BG"/>
        </w:rPr>
        <w:t xml:space="preserve"> </w:t>
      </w:r>
    </w:p>
    <w:p w14:paraId="228DFA16"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1.1. Необходимост от осигуряване прилагането на правни актове на ЕС в рамките на пространството на свобода, сигурност и правосъдие. </w:t>
      </w:r>
    </w:p>
    <w:p w14:paraId="3BBFE10E"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С проекта на Закон за изменение и допълнение на Закона за Министерството на вътрешните работи (ЗИДЗМВР) се предвиждат мерки по прилагането на Регламент (ЕС) 2021/784 на Европейския парламент и на Съвета от 29 април 2021 година относно справянето с разпространението на терористично съдържание онлайн (Регламент (ЕС) 2021/784), с който се установяват единни правила за справяне със злоупотребата с хостинг услуги за разпространение на терористично съдържание онлайн. </w:t>
      </w:r>
    </w:p>
    <w:p w14:paraId="4B299F5E" w14:textId="57610E11"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Регламентът е приет в отговор на нарастващия брой злоупотреби с услугите, предлагани от доставчиците на хостинг, от страна на терористични групи и на техните поддръжници, за да разпространяват терористично съдържание онлайн с цел отправяне на техните послания, радикализиране и вербуване на последователи, както и улесняване и ръководене на терористична дейност. Наличието на терористично съдържание онлайн се оказва катализатор за радикализацията на лица, която може да доведе до терористични актове, и следователно има сериозни отрицателни последици за ползвателите, гражданите и обществото като цяло. </w:t>
      </w:r>
    </w:p>
    <w:p w14:paraId="16D3A55A" w14:textId="45C1764E"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Необходимо е да се осигури прилагането в българската нормативна уредба на основни елементи от Регламент </w:t>
      </w:r>
      <w:r w:rsidR="0077303C">
        <w:rPr>
          <w:rFonts w:ascii="Arial" w:hAnsi="Arial" w:cs="Arial"/>
          <w:color w:val="000000"/>
          <w:sz w:val="28"/>
          <w:szCs w:val="28"/>
          <w:lang w:val="bg-BG" w:eastAsia="bg-BG"/>
        </w:rPr>
        <w:br/>
      </w:r>
      <w:r w:rsidRPr="000A042B">
        <w:rPr>
          <w:rFonts w:ascii="Arial" w:hAnsi="Arial" w:cs="Arial"/>
          <w:color w:val="000000"/>
          <w:sz w:val="28"/>
          <w:szCs w:val="28"/>
          <w:lang w:val="bg-BG" w:eastAsia="bg-BG"/>
        </w:rPr>
        <w:t xml:space="preserve">(ЕС) 2021/784, като: определянето на компетентния национален орган съгласно чл. 12, който може да издава заповед за премахване, с която от доставчика на хостинг услуги се изисква да премахне </w:t>
      </w:r>
      <w:r w:rsidRPr="000A042B">
        <w:rPr>
          <w:rFonts w:ascii="Arial" w:hAnsi="Arial" w:cs="Arial"/>
          <w:color w:val="000000"/>
          <w:sz w:val="28"/>
          <w:szCs w:val="28"/>
          <w:lang w:val="bg-BG" w:eastAsia="bg-BG"/>
        </w:rPr>
        <w:lastRenderedPageBreak/>
        <w:t xml:space="preserve">терористично съдържание или да блокира достъпа до терористично съдържание във всички държави членки, да следи за прилагането на конкретни мерки от доставчиците, изложени на терористично съдържание, както и да налага санкции за доставчици на хостинг услуги при системно или трайно неспазване на задълженията им, съгласно чл. 18 от </w:t>
      </w:r>
      <w:r w:rsidR="0077303C">
        <w:rPr>
          <w:rFonts w:ascii="Arial" w:hAnsi="Arial" w:cs="Arial"/>
          <w:color w:val="000000"/>
          <w:sz w:val="28"/>
          <w:szCs w:val="28"/>
          <w:lang w:val="bg-BG" w:eastAsia="bg-BG"/>
        </w:rPr>
        <w:t>Р</w:t>
      </w:r>
      <w:r w:rsidRPr="000A042B">
        <w:rPr>
          <w:rFonts w:ascii="Arial" w:hAnsi="Arial" w:cs="Arial"/>
          <w:color w:val="000000"/>
          <w:sz w:val="28"/>
          <w:szCs w:val="28"/>
          <w:lang w:val="bg-BG" w:eastAsia="bg-BG"/>
        </w:rPr>
        <w:t>егламент</w:t>
      </w:r>
      <w:r w:rsidR="0077303C" w:rsidRPr="000A042B">
        <w:rPr>
          <w:rFonts w:ascii="Arial" w:hAnsi="Arial" w:cs="Arial"/>
          <w:color w:val="000000"/>
          <w:sz w:val="28"/>
          <w:szCs w:val="28"/>
          <w:lang w:val="bg-BG" w:eastAsia="bg-BG"/>
        </w:rPr>
        <w:t xml:space="preserve"> (ЕС) 2021/784</w:t>
      </w:r>
      <w:r w:rsidRPr="000A042B">
        <w:rPr>
          <w:rFonts w:ascii="Arial" w:hAnsi="Arial" w:cs="Arial"/>
          <w:color w:val="000000"/>
          <w:sz w:val="28"/>
          <w:szCs w:val="28"/>
          <w:lang w:val="bg-BG" w:eastAsia="bg-BG"/>
        </w:rPr>
        <w:t>.</w:t>
      </w:r>
    </w:p>
    <w:p w14:paraId="507B3D1E" w14:textId="29E45871"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Компетентният национален орган следва  да изготвя годишни доклади за прозрачност, съдържащи информация относно броя на заповедите за премахване, броя на случаите, в които не е била изпълнена заповед, броя на решенията относно конкретните мерки, броя на случаите, които са обжалвани по административен или съдебен ред</w:t>
      </w:r>
      <w:r w:rsidR="0077303C">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и броя на решенията за налагане на санкции. </w:t>
      </w:r>
    </w:p>
    <w:p w14:paraId="22E4966B" w14:textId="3821B32E"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С проекта на ЗИДЗМВР се предвиждат мерки по прилагането на Регламент (ЕС) 2019/817 и Регламент (ЕС) 2019/818 на Европейския парламент и на Съвета от 20 май 2019 година, с които е създадена рамка за оперативна съвместимост между информационните системи на ЕС в областта на границите, визите, полицейското и съдебното сътрудничество, убежището и миграцията. </w:t>
      </w:r>
    </w:p>
    <w:p w14:paraId="366B5DA4"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Установената връзка между информационните системи на ЕС, прилагани в пространството на свобода, сигурност и правосъдие, цели да подобри ефективността и ефикасността на проверките по външните граници, да допринесе за предотвратяването на незаконната имиграция и за борбата с нея, както и постигането на висока степен на сигурност в държавите членки чрез противодействие на терористичните и други тежки престъпления. </w:t>
      </w:r>
    </w:p>
    <w:p w14:paraId="4FF41D17" w14:textId="3DFD13E9"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Това ще позволи на компетентните правоприлагащи органи да достъпват и </w:t>
      </w:r>
      <w:r w:rsidR="0077303C">
        <w:rPr>
          <w:rFonts w:ascii="Arial" w:hAnsi="Arial" w:cs="Arial"/>
          <w:color w:val="000000"/>
          <w:sz w:val="28"/>
          <w:szCs w:val="28"/>
          <w:lang w:val="bg-BG" w:eastAsia="bg-BG"/>
        </w:rPr>
        <w:t xml:space="preserve">да </w:t>
      </w:r>
      <w:r w:rsidRPr="000A042B">
        <w:rPr>
          <w:rFonts w:ascii="Arial" w:hAnsi="Arial" w:cs="Arial"/>
          <w:color w:val="000000"/>
          <w:sz w:val="28"/>
          <w:szCs w:val="28"/>
          <w:lang w:val="bg-BG" w:eastAsia="bg-BG"/>
        </w:rPr>
        <w:t xml:space="preserve">ползват </w:t>
      </w:r>
      <w:proofErr w:type="spellStart"/>
      <w:r w:rsidRPr="000A042B">
        <w:rPr>
          <w:rFonts w:ascii="Arial" w:hAnsi="Arial" w:cs="Arial"/>
          <w:color w:val="000000"/>
          <w:sz w:val="28"/>
          <w:szCs w:val="28"/>
          <w:lang w:val="bg-BG" w:eastAsia="bg-BG"/>
        </w:rPr>
        <w:t>взаимодопълващи</w:t>
      </w:r>
      <w:proofErr w:type="spellEnd"/>
      <w:r w:rsidRPr="000A042B">
        <w:rPr>
          <w:rFonts w:ascii="Arial" w:hAnsi="Arial" w:cs="Arial"/>
          <w:color w:val="000000"/>
          <w:sz w:val="28"/>
          <w:szCs w:val="28"/>
          <w:lang w:val="bg-BG" w:eastAsia="bg-BG"/>
        </w:rPr>
        <w:t xml:space="preserve"> се данни от Системата за влизане/излизане, </w:t>
      </w:r>
      <w:r w:rsidR="0077303C">
        <w:rPr>
          <w:rFonts w:ascii="Arial" w:hAnsi="Arial" w:cs="Arial"/>
          <w:color w:val="000000"/>
          <w:sz w:val="28"/>
          <w:szCs w:val="28"/>
          <w:lang w:val="bg-BG" w:eastAsia="bg-BG"/>
        </w:rPr>
        <w:t xml:space="preserve">от </w:t>
      </w:r>
      <w:r w:rsidRPr="000A042B">
        <w:rPr>
          <w:rFonts w:ascii="Arial" w:hAnsi="Arial" w:cs="Arial"/>
          <w:color w:val="000000"/>
          <w:sz w:val="28"/>
          <w:szCs w:val="28"/>
          <w:lang w:val="bg-BG" w:eastAsia="bg-BG"/>
        </w:rPr>
        <w:t xml:space="preserve">Визовата информационна система, </w:t>
      </w:r>
      <w:r w:rsidR="0077303C">
        <w:rPr>
          <w:rFonts w:ascii="Arial" w:hAnsi="Arial" w:cs="Arial"/>
          <w:color w:val="000000"/>
          <w:sz w:val="28"/>
          <w:szCs w:val="28"/>
          <w:lang w:val="bg-BG" w:eastAsia="bg-BG"/>
        </w:rPr>
        <w:t xml:space="preserve">от </w:t>
      </w:r>
      <w:r w:rsidRPr="000A042B">
        <w:rPr>
          <w:rFonts w:ascii="Arial" w:hAnsi="Arial" w:cs="Arial"/>
          <w:color w:val="000000"/>
          <w:sz w:val="28"/>
          <w:szCs w:val="28"/>
          <w:lang w:val="bg-BG" w:eastAsia="bg-BG"/>
        </w:rPr>
        <w:t xml:space="preserve">Европейската система за информация за пътуванията и разрешаването им, </w:t>
      </w:r>
      <w:r w:rsidR="0077303C">
        <w:rPr>
          <w:rFonts w:ascii="Arial" w:hAnsi="Arial" w:cs="Arial"/>
          <w:color w:val="000000"/>
          <w:sz w:val="28"/>
          <w:szCs w:val="28"/>
          <w:lang w:val="bg-BG" w:eastAsia="bg-BG"/>
        </w:rPr>
        <w:t xml:space="preserve">от </w:t>
      </w:r>
      <w:r w:rsidRPr="000A042B">
        <w:rPr>
          <w:rFonts w:ascii="Arial" w:hAnsi="Arial" w:cs="Arial"/>
          <w:color w:val="000000"/>
          <w:sz w:val="28"/>
          <w:szCs w:val="28"/>
          <w:lang w:val="bg-BG" w:eastAsia="bg-BG"/>
        </w:rPr>
        <w:t xml:space="preserve">Евродак, </w:t>
      </w:r>
      <w:r w:rsidR="0077303C">
        <w:rPr>
          <w:rFonts w:ascii="Arial" w:hAnsi="Arial" w:cs="Arial"/>
          <w:color w:val="000000"/>
          <w:sz w:val="28"/>
          <w:szCs w:val="28"/>
          <w:lang w:val="bg-BG" w:eastAsia="bg-BG"/>
        </w:rPr>
        <w:t xml:space="preserve">от </w:t>
      </w:r>
      <w:r w:rsidRPr="000A042B">
        <w:rPr>
          <w:rFonts w:ascii="Arial" w:hAnsi="Arial" w:cs="Arial"/>
          <w:color w:val="000000"/>
          <w:sz w:val="28"/>
          <w:szCs w:val="28"/>
          <w:lang w:val="bg-BG" w:eastAsia="bg-BG"/>
        </w:rPr>
        <w:t xml:space="preserve">Шенгенската информационна система и </w:t>
      </w:r>
      <w:r w:rsidR="0077303C">
        <w:rPr>
          <w:rFonts w:ascii="Arial" w:hAnsi="Arial" w:cs="Arial"/>
          <w:color w:val="000000"/>
          <w:sz w:val="28"/>
          <w:szCs w:val="28"/>
          <w:lang w:val="bg-BG" w:eastAsia="bg-BG"/>
        </w:rPr>
        <w:t xml:space="preserve">от </w:t>
      </w:r>
      <w:r w:rsidRPr="000A042B">
        <w:rPr>
          <w:rFonts w:ascii="Arial" w:hAnsi="Arial" w:cs="Arial"/>
          <w:color w:val="000000"/>
          <w:sz w:val="28"/>
          <w:szCs w:val="28"/>
          <w:lang w:val="bg-BG" w:eastAsia="bg-BG"/>
        </w:rPr>
        <w:t xml:space="preserve">Европейската информационна система за съдимост за граждани на трети държави. За постигането на тази функционалност </w:t>
      </w:r>
      <w:r w:rsidRPr="000A042B">
        <w:rPr>
          <w:rFonts w:ascii="Arial" w:hAnsi="Arial" w:cs="Arial"/>
          <w:color w:val="000000"/>
          <w:sz w:val="28"/>
          <w:szCs w:val="28"/>
          <w:lang w:val="bg-BG" w:eastAsia="bg-BG"/>
        </w:rPr>
        <w:lastRenderedPageBreak/>
        <w:t xml:space="preserve">на информационните системи като компоненти на оперативната съвместимост са предвидени: европейски портал за търсене, обща услуга за биометрично съпоставяне, общо хранилище на данни за самоличност (ОХДС) и детектор за множество </w:t>
      </w:r>
      <w:proofErr w:type="spellStart"/>
      <w:r w:rsidRPr="000A042B">
        <w:rPr>
          <w:rFonts w:ascii="Arial" w:hAnsi="Arial" w:cs="Arial"/>
          <w:color w:val="000000"/>
          <w:sz w:val="28"/>
          <w:szCs w:val="28"/>
          <w:lang w:val="bg-BG" w:eastAsia="bg-BG"/>
        </w:rPr>
        <w:t>самоличности</w:t>
      </w:r>
      <w:proofErr w:type="spellEnd"/>
      <w:r w:rsidRPr="000A042B">
        <w:rPr>
          <w:rFonts w:ascii="Arial" w:hAnsi="Arial" w:cs="Arial"/>
          <w:color w:val="000000"/>
          <w:sz w:val="28"/>
          <w:szCs w:val="28"/>
          <w:lang w:val="bg-BG" w:eastAsia="bg-BG"/>
        </w:rPr>
        <w:t>.</w:t>
      </w:r>
    </w:p>
    <w:p w14:paraId="630CE441"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Предлагат се норми за въвеждане в националното законодателство на изискванията на Директива (ЕС) 2023/977 на Европейския парламент и на Съвета от 10 май 2023 година относно обмена на информация между правоприлагащите органи на държавите членки и за отмяна на Рамково решение 2006/960/ПВР на Съвета. </w:t>
      </w:r>
    </w:p>
    <w:p w14:paraId="009D76D8"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Директива (ЕС) 2023/977 установява хармонизирани правила за адекватен и бърз обмен на информация между компетентните правоприлагащи органи на държавите членки за целите на предотвратяването, разкриването или разследването на престъпления. Директивата заменя, като подобрява и надгражда съществуващата правна уредба по силата на Рамково решение 2006/960/ПВР. Актуализираните правила водят до опростяване и оптимизиране на процедурите, за да се улесни ефективното полицейско сътрудничество при противодействие на трансграничната престъпност на различни етапи от разследването - от етапа на събиране на разузнавателни данни за престъпността до етапа на наказателното разследване. </w:t>
      </w:r>
    </w:p>
    <w:p w14:paraId="33E4FF28"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В тази насока с Директива (ЕС) 2023/977 се прецизират и допълват изискванията към съдържанието на исканията за информация, подавани до единните звена за контакт или пряко до компетентните правоприлагащи органи на държавите членки. Дефинират се хипотезите, при които исканията за информация могат да се считат за спешни. </w:t>
      </w:r>
    </w:p>
    <w:p w14:paraId="731D6E55"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Въвеждат се по-кратки срокове за предаване на информацията, необходими, за да се гарантира бързото обработване на исканията. Директивата поставя акцент върху </w:t>
      </w:r>
      <w:proofErr w:type="spellStart"/>
      <w:r w:rsidRPr="000A042B">
        <w:rPr>
          <w:rFonts w:ascii="Arial" w:hAnsi="Arial" w:cs="Arial"/>
          <w:color w:val="000000"/>
          <w:sz w:val="28"/>
          <w:szCs w:val="28"/>
          <w:lang w:val="bg-BG" w:eastAsia="bg-BG"/>
        </w:rPr>
        <w:t>дискреционното</w:t>
      </w:r>
      <w:proofErr w:type="spellEnd"/>
      <w:r w:rsidRPr="000A042B">
        <w:rPr>
          <w:rFonts w:ascii="Arial" w:hAnsi="Arial" w:cs="Arial"/>
          <w:color w:val="000000"/>
          <w:sz w:val="28"/>
          <w:szCs w:val="28"/>
          <w:lang w:val="bg-BG" w:eastAsia="bg-BG"/>
        </w:rPr>
        <w:t xml:space="preserve"> правомощие на единните звена за контакт да извършват оценка на принципите на необходимост и пропорционалност, като по този начин осигурява гаранции срещу </w:t>
      </w:r>
      <w:r w:rsidRPr="000A042B">
        <w:rPr>
          <w:rFonts w:ascii="Arial" w:hAnsi="Arial" w:cs="Arial"/>
          <w:color w:val="000000"/>
          <w:sz w:val="28"/>
          <w:szCs w:val="28"/>
          <w:lang w:val="bg-BG" w:eastAsia="bg-BG"/>
        </w:rPr>
        <w:lastRenderedPageBreak/>
        <w:t xml:space="preserve">злоупотреба с искания за информация, включително когато това би довело до явни нарушения на основните права. </w:t>
      </w:r>
    </w:p>
    <w:p w14:paraId="4B1E9F30" w14:textId="2A6859CF"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Специфицират се и се разширяват  обективните основания, при наличието на които дадена държава членка може да откаже искане за информация, отправено до единното ѝ звено за контакт. Единното звено за контакт и компетентните правоприлагащи органи в държавите членки след оценка във всеки конкретен случай следва да изпращат копия от исканията и информацията на Европол, доколкото обменът на информация се отнася до престъпления, попадащи в обхвата на целите на агенцията.</w:t>
      </w:r>
    </w:p>
    <w:p w14:paraId="70CDD0AC"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Директива (ЕС) 2023/977 установява и специални стандарти относно създаването или определянето, задачите и компетентността на единното звено за контакт в държавите членки, неговата организация на дейност, използваните информационни деловодни системи. </w:t>
      </w:r>
    </w:p>
    <w:p w14:paraId="6B7C2A45" w14:textId="50F12222" w:rsidR="000A042B" w:rsidRPr="000A042B" w:rsidRDefault="000A042B" w:rsidP="00220791">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Въведените с Директива (ЕС) 2023/977 актуализирани правила предполагат осъвременяване на действащата законова уредба (ЗМВР, глава пета, </w:t>
      </w:r>
      <w:r w:rsidR="00220791">
        <w:rPr>
          <w:rFonts w:ascii="Arial" w:hAnsi="Arial" w:cs="Arial"/>
          <w:color w:val="000000"/>
          <w:sz w:val="28"/>
          <w:szCs w:val="28"/>
          <w:lang w:val="bg-BG" w:eastAsia="bg-BG"/>
        </w:rPr>
        <w:t>р</w:t>
      </w:r>
      <w:r w:rsidRPr="000A042B">
        <w:rPr>
          <w:rFonts w:ascii="Arial" w:hAnsi="Arial" w:cs="Arial"/>
          <w:color w:val="000000"/>
          <w:sz w:val="28"/>
          <w:szCs w:val="28"/>
          <w:lang w:val="bg-BG" w:eastAsia="bg-BG"/>
        </w:rPr>
        <w:t>аздел II, чл. 108 - 119). Приложимите по настоящем регулации са приети в изпълнение на Рамково решение 2006/960/ПВР на Съвета и не отразяват новите специфични изисквания по отношение</w:t>
      </w:r>
      <w:r w:rsidR="00220791">
        <w:rPr>
          <w:rFonts w:ascii="Arial" w:hAnsi="Arial" w:cs="Arial"/>
          <w:color w:val="000000"/>
          <w:sz w:val="28"/>
          <w:szCs w:val="28"/>
          <w:lang w:val="bg-BG" w:eastAsia="bg-BG"/>
        </w:rPr>
        <w:t xml:space="preserve"> на</w:t>
      </w:r>
      <w:r w:rsidRPr="000A042B">
        <w:rPr>
          <w:rFonts w:ascii="Arial" w:hAnsi="Arial" w:cs="Arial"/>
          <w:color w:val="000000"/>
          <w:sz w:val="28"/>
          <w:szCs w:val="28"/>
          <w:lang w:val="bg-BG" w:eastAsia="bg-BG"/>
        </w:rPr>
        <w:t xml:space="preserve"> опростения обмен на информация и данни между компетентните правоприлагащи органи на държави </w:t>
      </w:r>
      <w:r w:rsidR="00220791">
        <w:rPr>
          <w:rFonts w:ascii="Arial" w:hAnsi="Arial" w:cs="Arial"/>
          <w:color w:val="000000"/>
          <w:sz w:val="28"/>
          <w:szCs w:val="28"/>
          <w:lang w:val="bg-BG" w:eastAsia="bg-BG"/>
        </w:rPr>
        <w:t xml:space="preserve">- </w:t>
      </w:r>
      <w:r w:rsidRPr="000A042B">
        <w:rPr>
          <w:rFonts w:ascii="Arial" w:hAnsi="Arial" w:cs="Arial"/>
          <w:color w:val="000000"/>
          <w:sz w:val="28"/>
          <w:szCs w:val="28"/>
          <w:lang w:val="bg-BG" w:eastAsia="bg-BG"/>
        </w:rPr>
        <w:t>членки на ЕС</w:t>
      </w:r>
      <w:r w:rsidR="00220791">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с цел предотвратяване, разкриване и разследване на престъпления. </w:t>
      </w:r>
    </w:p>
    <w:p w14:paraId="156E8138" w14:textId="4DB75615"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1.2. Необходимост от нормативни промени в уредбата на полицейската регистрация по чл. 68 от Закона за МВР предвид тълкуванията на разпоредбите на Директива (ЕС) 2016/680, дадени в актуалната практика на Съда на ЕС (решения по преюдициални дела С-205/21, С-118/22 и С-80/23). </w:t>
      </w:r>
    </w:p>
    <w:p w14:paraId="4B600767" w14:textId="387079AE"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В решението си от 30</w:t>
      </w:r>
      <w:r w:rsidR="00220791">
        <w:rPr>
          <w:rFonts w:ascii="Arial" w:hAnsi="Arial" w:cs="Arial"/>
          <w:color w:val="000000"/>
          <w:sz w:val="28"/>
          <w:szCs w:val="28"/>
          <w:lang w:val="bg-BG" w:eastAsia="bg-BG"/>
        </w:rPr>
        <w:t xml:space="preserve"> януари </w:t>
      </w:r>
      <w:r w:rsidRPr="000A042B">
        <w:rPr>
          <w:rFonts w:ascii="Arial" w:hAnsi="Arial" w:cs="Arial"/>
          <w:color w:val="000000"/>
          <w:sz w:val="28"/>
          <w:szCs w:val="28"/>
          <w:lang w:val="bg-BG" w:eastAsia="bg-BG"/>
        </w:rPr>
        <w:t xml:space="preserve">2024 г. по преюдициално </w:t>
      </w:r>
      <w:r w:rsidR="0063603D">
        <w:rPr>
          <w:rFonts w:ascii="Arial" w:hAnsi="Arial" w:cs="Arial"/>
          <w:color w:val="000000"/>
          <w:sz w:val="28"/>
          <w:szCs w:val="28"/>
          <w:lang w:val="bg-BG" w:eastAsia="bg-BG"/>
        </w:rPr>
        <w:br/>
      </w:r>
      <w:r w:rsidR="00220791" w:rsidRPr="000A042B">
        <w:rPr>
          <w:rFonts w:ascii="Arial" w:hAnsi="Arial" w:cs="Arial"/>
          <w:color w:val="000000"/>
          <w:sz w:val="28"/>
          <w:szCs w:val="28"/>
          <w:lang w:val="bg-BG" w:eastAsia="bg-BG"/>
        </w:rPr>
        <w:t>Д</w:t>
      </w:r>
      <w:r w:rsidRPr="000A042B">
        <w:rPr>
          <w:rFonts w:ascii="Arial" w:hAnsi="Arial" w:cs="Arial"/>
          <w:color w:val="000000"/>
          <w:sz w:val="28"/>
          <w:szCs w:val="28"/>
          <w:lang w:val="bg-BG" w:eastAsia="bg-BG"/>
        </w:rPr>
        <w:t>ело С-118/22 СЕС установява несъответствие на националната законодателна уредба и по-специално</w:t>
      </w:r>
      <w:r w:rsidR="0063603D">
        <w:rPr>
          <w:rFonts w:ascii="Arial" w:hAnsi="Arial" w:cs="Arial"/>
          <w:color w:val="000000"/>
          <w:sz w:val="28"/>
          <w:szCs w:val="28"/>
          <w:lang w:val="bg-BG" w:eastAsia="bg-BG"/>
        </w:rPr>
        <w:t xml:space="preserve"> -</w:t>
      </w:r>
      <w:r w:rsidRPr="000A042B">
        <w:rPr>
          <w:rFonts w:ascii="Arial" w:hAnsi="Arial" w:cs="Arial"/>
          <w:color w:val="000000"/>
          <w:sz w:val="28"/>
          <w:szCs w:val="28"/>
          <w:lang w:val="bg-BG" w:eastAsia="bg-BG"/>
        </w:rPr>
        <w:t xml:space="preserve"> на действащата регулация относно обработването на генетични и биометрични данни като част от полицейската регистрация, с правото на ЕС. В светлината на </w:t>
      </w:r>
      <w:r w:rsidRPr="000A042B">
        <w:rPr>
          <w:rFonts w:ascii="Arial" w:hAnsi="Arial" w:cs="Arial"/>
          <w:color w:val="000000"/>
          <w:sz w:val="28"/>
          <w:szCs w:val="28"/>
          <w:lang w:val="bg-BG" w:eastAsia="bg-BG"/>
        </w:rPr>
        <w:lastRenderedPageBreak/>
        <w:t>тълкуване на разпоредби от Директива (ЕС) 2016/680 на Европейския парламент и на Съвета от 27 април 2016 година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СЕС приема за недопустимо национално законодателство, което не предвижда подходящи срокове за съхранение или за периодична проверка на необходимостта от съхранение на разглежданата категория данни за осъдени за умишлено престъпление от общ характер с влязла в сила присъда лица. Това води до практически неограничено - до смъртта на лицето</w:t>
      </w:r>
      <w:r w:rsidR="0063603D">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обработване на данните, като през този неопределен времеви период администраторът на данните не е задължен да извършва оценка доколко по</w:t>
      </w:r>
      <w:r w:rsidR="0063603D">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нататъшното им съхранение съответства на целите, за които са събрани, а субектът на данните е лишен от възможността да поиска тяхното изтриване или ограничаване на обработването. </w:t>
      </w:r>
    </w:p>
    <w:p w14:paraId="3E08CDE3" w14:textId="7987A593"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Наред с цитираното съдебно решение, несъответствие на уредбата на полицейската регистрация с правото на ЕС е постановено и в предходно </w:t>
      </w:r>
      <w:r w:rsidR="0063603D" w:rsidRPr="000A042B">
        <w:rPr>
          <w:rFonts w:ascii="Arial" w:hAnsi="Arial" w:cs="Arial"/>
          <w:color w:val="000000"/>
          <w:sz w:val="28"/>
          <w:szCs w:val="28"/>
          <w:lang w:val="bg-BG" w:eastAsia="bg-BG"/>
        </w:rPr>
        <w:t>Р</w:t>
      </w:r>
      <w:r w:rsidRPr="000A042B">
        <w:rPr>
          <w:rFonts w:ascii="Arial" w:hAnsi="Arial" w:cs="Arial"/>
          <w:color w:val="000000"/>
          <w:sz w:val="28"/>
          <w:szCs w:val="28"/>
          <w:lang w:val="bg-BG" w:eastAsia="bg-BG"/>
        </w:rPr>
        <w:t>ешение на СЕС от 23</w:t>
      </w:r>
      <w:r w:rsidR="0063603D">
        <w:rPr>
          <w:rFonts w:ascii="Arial" w:hAnsi="Arial" w:cs="Arial"/>
          <w:color w:val="000000"/>
          <w:sz w:val="28"/>
          <w:szCs w:val="28"/>
          <w:lang w:val="bg-BG" w:eastAsia="bg-BG"/>
        </w:rPr>
        <w:t xml:space="preserve"> януари </w:t>
      </w:r>
      <w:r w:rsidRPr="000A042B">
        <w:rPr>
          <w:rFonts w:ascii="Arial" w:hAnsi="Arial" w:cs="Arial"/>
          <w:color w:val="000000"/>
          <w:sz w:val="28"/>
          <w:szCs w:val="28"/>
          <w:lang w:val="bg-BG" w:eastAsia="bg-BG"/>
        </w:rPr>
        <w:t xml:space="preserve">2023 г. по преюдициално </w:t>
      </w:r>
      <w:r w:rsidR="0063603D" w:rsidRPr="000A042B">
        <w:rPr>
          <w:rFonts w:ascii="Arial" w:hAnsi="Arial" w:cs="Arial"/>
          <w:color w:val="000000"/>
          <w:sz w:val="28"/>
          <w:szCs w:val="28"/>
          <w:lang w:val="bg-BG" w:eastAsia="bg-BG"/>
        </w:rPr>
        <w:t>Д</w:t>
      </w:r>
      <w:r w:rsidRPr="000A042B">
        <w:rPr>
          <w:rFonts w:ascii="Arial" w:hAnsi="Arial" w:cs="Arial"/>
          <w:color w:val="000000"/>
          <w:sz w:val="28"/>
          <w:szCs w:val="28"/>
          <w:lang w:val="bg-BG" w:eastAsia="bg-BG"/>
        </w:rPr>
        <w:t>ело С-205/21. В него акцент се поставя върху допустимостта чувствителни - биометрични и генетични</w:t>
      </w:r>
      <w:r w:rsidR="0063603D">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данни да бъдат събирани от всички, привлечени като обвиняеми за умишлено престъпление от общ характер, без да се предвижда задължение за компетентния орган да провери и </w:t>
      </w:r>
      <w:r w:rsidR="0063603D">
        <w:rPr>
          <w:rFonts w:ascii="Arial" w:hAnsi="Arial" w:cs="Arial"/>
          <w:color w:val="000000"/>
          <w:sz w:val="28"/>
          <w:szCs w:val="28"/>
          <w:lang w:val="bg-BG" w:eastAsia="bg-BG"/>
        </w:rPr>
        <w:t xml:space="preserve">да </w:t>
      </w:r>
      <w:r w:rsidRPr="000A042B">
        <w:rPr>
          <w:rFonts w:ascii="Arial" w:hAnsi="Arial" w:cs="Arial"/>
          <w:color w:val="000000"/>
          <w:sz w:val="28"/>
          <w:szCs w:val="28"/>
          <w:lang w:val="bg-BG" w:eastAsia="bg-BG"/>
        </w:rPr>
        <w:t>докаже, от една страна, че събирането на тези данни е абсолютно необходимо за постигането на конкретните преследвани цели и</w:t>
      </w:r>
      <w:r w:rsidR="0063603D">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от друга страна, че тези цели не могат да бъдат постигнати чрез мерки, които засягат в по-малка степен правата и свободите на съответното лице. </w:t>
      </w:r>
    </w:p>
    <w:p w14:paraId="72CF64A3" w14:textId="02D1225B"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На основание </w:t>
      </w:r>
      <w:r w:rsidR="0063603D">
        <w:rPr>
          <w:rFonts w:ascii="Arial" w:hAnsi="Arial" w:cs="Arial"/>
          <w:color w:val="000000"/>
          <w:sz w:val="28"/>
          <w:szCs w:val="28"/>
          <w:lang w:val="bg-BG" w:eastAsia="bg-BG"/>
        </w:rPr>
        <w:t xml:space="preserve">на </w:t>
      </w:r>
      <w:r w:rsidRPr="000A042B">
        <w:rPr>
          <w:rFonts w:ascii="Arial" w:hAnsi="Arial" w:cs="Arial"/>
          <w:color w:val="000000"/>
          <w:sz w:val="28"/>
          <w:szCs w:val="28"/>
          <w:lang w:val="bg-BG" w:eastAsia="bg-BG"/>
        </w:rPr>
        <w:t xml:space="preserve">дадените от Съда на ЕС тълкувания следва да бъдат предприети промени по отношение </w:t>
      </w:r>
      <w:r w:rsidR="0063603D">
        <w:rPr>
          <w:rFonts w:ascii="Arial" w:hAnsi="Arial" w:cs="Arial"/>
          <w:color w:val="000000"/>
          <w:sz w:val="28"/>
          <w:szCs w:val="28"/>
          <w:lang w:val="bg-BG" w:eastAsia="bg-BG"/>
        </w:rPr>
        <w:t xml:space="preserve">на </w:t>
      </w:r>
      <w:r w:rsidRPr="000A042B">
        <w:rPr>
          <w:rFonts w:ascii="Arial" w:hAnsi="Arial" w:cs="Arial"/>
          <w:color w:val="000000"/>
          <w:sz w:val="28"/>
          <w:szCs w:val="28"/>
          <w:lang w:val="bg-BG" w:eastAsia="bg-BG"/>
        </w:rPr>
        <w:t xml:space="preserve">спазването на принципите за необходимост и </w:t>
      </w:r>
      <w:proofErr w:type="spellStart"/>
      <w:r w:rsidRPr="000A042B">
        <w:rPr>
          <w:rFonts w:ascii="Arial" w:hAnsi="Arial" w:cs="Arial"/>
          <w:color w:val="000000"/>
          <w:sz w:val="28"/>
          <w:szCs w:val="28"/>
          <w:lang w:val="bg-BG" w:eastAsia="bg-BG"/>
        </w:rPr>
        <w:t>пропоционалност</w:t>
      </w:r>
      <w:proofErr w:type="spellEnd"/>
      <w:r w:rsidRPr="000A042B">
        <w:rPr>
          <w:rFonts w:ascii="Arial" w:hAnsi="Arial" w:cs="Arial"/>
          <w:color w:val="000000"/>
          <w:sz w:val="28"/>
          <w:szCs w:val="28"/>
          <w:lang w:val="bg-BG" w:eastAsia="bg-BG"/>
        </w:rPr>
        <w:t xml:space="preserve"> при обработването на и съхранението на чувствителни данни на лица, </w:t>
      </w:r>
      <w:r w:rsidRPr="000A042B">
        <w:rPr>
          <w:rFonts w:ascii="Arial" w:hAnsi="Arial" w:cs="Arial"/>
          <w:color w:val="000000"/>
          <w:sz w:val="28"/>
          <w:szCs w:val="28"/>
          <w:lang w:val="bg-BG" w:eastAsia="bg-BG"/>
        </w:rPr>
        <w:lastRenderedPageBreak/>
        <w:t>привлечени като обвиняеми за умишлено престъпление от общ характер</w:t>
      </w:r>
      <w:r w:rsidR="0063603D">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за целите на полицейската регистрация. </w:t>
      </w:r>
    </w:p>
    <w:p w14:paraId="1954C5FE"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1.3. Създаване на нормативни предпоставки за противодействие на заплахите, произтичащи от използването на безпилотни летателни апарати в граничните зони. </w:t>
      </w:r>
    </w:p>
    <w:p w14:paraId="643C4FA7" w14:textId="62148625"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Широкото разпространение на относително евтини и лесни за управление дистанционно</w:t>
      </w:r>
      <w:r w:rsidR="00E713F3">
        <w:rPr>
          <w:rFonts w:ascii="Arial" w:hAnsi="Arial" w:cs="Arial"/>
          <w:color w:val="000000"/>
          <w:sz w:val="28"/>
          <w:szCs w:val="28"/>
          <w:lang w:val="bg-BG" w:eastAsia="bg-BG"/>
        </w:rPr>
        <w:t xml:space="preserve"> </w:t>
      </w:r>
      <w:r w:rsidRPr="000A042B">
        <w:rPr>
          <w:rFonts w:ascii="Arial" w:hAnsi="Arial" w:cs="Arial"/>
          <w:color w:val="000000"/>
          <w:sz w:val="28"/>
          <w:szCs w:val="28"/>
          <w:lang w:val="bg-BG" w:eastAsia="bg-BG"/>
        </w:rPr>
        <w:t>управляеми безпилотни летателни системи (БЛС) представлява нов тип предизвикателство за защитата както на обществени пространства, така и на елементи на критичната инфраструктура и на обекти от значение за националната сигурност. Устройствата предоставят възможност за злоупотреба, като зачестяват случаите на използването им в „географска зона на БЛС“, а именно</w:t>
      </w:r>
      <w:r w:rsidR="0063603D">
        <w:rPr>
          <w:rFonts w:ascii="Arial" w:hAnsi="Arial" w:cs="Arial"/>
          <w:color w:val="000000"/>
          <w:sz w:val="28"/>
          <w:szCs w:val="28"/>
          <w:lang w:val="bg-BG" w:eastAsia="bg-BG"/>
        </w:rPr>
        <w:t xml:space="preserve"> -</w:t>
      </w:r>
      <w:r w:rsidRPr="000A042B">
        <w:rPr>
          <w:rFonts w:ascii="Arial" w:hAnsi="Arial" w:cs="Arial"/>
          <w:color w:val="000000"/>
          <w:sz w:val="28"/>
          <w:szCs w:val="28"/>
          <w:lang w:val="bg-BG" w:eastAsia="bg-BG"/>
        </w:rPr>
        <w:t xml:space="preserve"> в зоните за сигурност/по протежение на държавната граница, в които полетите на БЛС са забранени или ограничени.</w:t>
      </w:r>
    </w:p>
    <w:p w14:paraId="78C8A436" w14:textId="76570556"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Към момента се извършват множество нерегламентирани и несанкционирани полети на дистанционно</w:t>
      </w:r>
      <w:r w:rsidR="006B00F2">
        <w:rPr>
          <w:rFonts w:ascii="Arial" w:hAnsi="Arial" w:cs="Arial"/>
          <w:color w:val="000000"/>
          <w:sz w:val="28"/>
          <w:szCs w:val="28"/>
          <w:lang w:val="en-US" w:eastAsia="bg-BG"/>
        </w:rPr>
        <w:t xml:space="preserve"> </w:t>
      </w:r>
      <w:r w:rsidRPr="000A042B">
        <w:rPr>
          <w:rFonts w:ascii="Arial" w:hAnsi="Arial" w:cs="Arial"/>
          <w:color w:val="000000"/>
          <w:sz w:val="28"/>
          <w:szCs w:val="28"/>
          <w:lang w:val="bg-BG" w:eastAsia="bg-BG"/>
        </w:rPr>
        <w:t xml:space="preserve">управляеми летателни системи (ДУЛС) в забранената за полети гранична зона с Република Турция. През последните две години са констатирани над 330 случая на прелитане на малки ДУЛС. В същото време турската страна оперира множество безпилотни летателни апарати в своята част на пограничната зона. Това изисква придобиване и опериране на система, способна селективно да възпрепятства управлението на ДУЛС, нарушаващи забранената зона, без при това да смущава работата на летателни апарати на турските власти, които оперират над територията на Република Турция. Същото се установява и от други </w:t>
      </w:r>
      <w:r w:rsidR="00E713F3" w:rsidRPr="000A042B">
        <w:rPr>
          <w:rFonts w:ascii="Arial" w:hAnsi="Arial" w:cs="Arial"/>
          <w:color w:val="000000"/>
          <w:sz w:val="28"/>
          <w:szCs w:val="28"/>
          <w:lang w:val="bg-BG" w:eastAsia="bg-BG"/>
        </w:rPr>
        <w:t>р</w:t>
      </w:r>
      <w:r w:rsidRPr="000A042B">
        <w:rPr>
          <w:rFonts w:ascii="Arial" w:hAnsi="Arial" w:cs="Arial"/>
          <w:color w:val="000000"/>
          <w:sz w:val="28"/>
          <w:szCs w:val="28"/>
          <w:lang w:val="bg-BG" w:eastAsia="bg-BG"/>
        </w:rPr>
        <w:t>егионални дирекции „Гранична полиция“ в Кюстендил, Русе и Бургас.</w:t>
      </w:r>
    </w:p>
    <w:p w14:paraId="4450B70F" w14:textId="504ACC0D"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Същевременно са констатирани и множество опити за извършване на нерегламентирани полети и над летище „Васил Левски“ София - над 15 случая от 27</w:t>
      </w:r>
      <w:r w:rsidR="00E713F3">
        <w:rPr>
          <w:rFonts w:ascii="Arial" w:hAnsi="Arial" w:cs="Arial"/>
          <w:color w:val="000000"/>
          <w:sz w:val="28"/>
          <w:szCs w:val="28"/>
          <w:lang w:val="bg-BG" w:eastAsia="bg-BG"/>
        </w:rPr>
        <w:t xml:space="preserve"> февруари </w:t>
      </w:r>
      <w:r w:rsidRPr="000A042B">
        <w:rPr>
          <w:rFonts w:ascii="Arial" w:hAnsi="Arial" w:cs="Arial"/>
          <w:color w:val="000000"/>
          <w:sz w:val="28"/>
          <w:szCs w:val="28"/>
          <w:lang w:val="bg-BG" w:eastAsia="bg-BG"/>
        </w:rPr>
        <w:t xml:space="preserve">2026 г. до момента, по повод </w:t>
      </w:r>
      <w:r w:rsidR="00E713F3">
        <w:rPr>
          <w:rFonts w:ascii="Arial" w:hAnsi="Arial" w:cs="Arial"/>
          <w:color w:val="000000"/>
          <w:sz w:val="28"/>
          <w:szCs w:val="28"/>
          <w:lang w:val="bg-BG" w:eastAsia="bg-BG"/>
        </w:rPr>
        <w:t xml:space="preserve">на </w:t>
      </w:r>
      <w:r w:rsidRPr="000A042B">
        <w:rPr>
          <w:rFonts w:ascii="Arial" w:hAnsi="Arial" w:cs="Arial"/>
          <w:color w:val="000000"/>
          <w:sz w:val="28"/>
          <w:szCs w:val="28"/>
          <w:lang w:val="bg-BG" w:eastAsia="bg-BG"/>
        </w:rPr>
        <w:t xml:space="preserve">което са предприети комплекс от мерки за повишаване на сигурността на въздушното пространство над летището, в изпълнението на които служителите на Главна дирекция „Гранична </w:t>
      </w:r>
      <w:r w:rsidRPr="000A042B">
        <w:rPr>
          <w:rFonts w:ascii="Arial" w:hAnsi="Arial" w:cs="Arial"/>
          <w:color w:val="000000"/>
          <w:sz w:val="28"/>
          <w:szCs w:val="28"/>
          <w:lang w:val="bg-BG" w:eastAsia="bg-BG"/>
        </w:rPr>
        <w:lastRenderedPageBreak/>
        <w:t xml:space="preserve">полиция“ (ГДГП) са активно ангажирани. В тази връзка органите на ГДГП, осъществяващи специфична охранителна дейност за участие в мерките за постигане на летищна сигурност в обществените зони и </w:t>
      </w:r>
      <w:r w:rsidR="00FD07EB">
        <w:rPr>
          <w:rFonts w:ascii="Arial" w:hAnsi="Arial" w:cs="Arial"/>
          <w:color w:val="000000"/>
          <w:sz w:val="28"/>
          <w:szCs w:val="28"/>
          <w:lang w:val="bg-BG" w:eastAsia="bg-BG"/>
        </w:rPr>
        <w:t xml:space="preserve">в </w:t>
      </w:r>
      <w:r w:rsidRPr="000A042B">
        <w:rPr>
          <w:rFonts w:ascii="Arial" w:hAnsi="Arial" w:cs="Arial"/>
          <w:color w:val="000000"/>
          <w:sz w:val="28"/>
          <w:szCs w:val="28"/>
          <w:lang w:val="bg-BG" w:eastAsia="bg-BG"/>
        </w:rPr>
        <w:t>периметъра на летищата, следва да имат и компетенции по прилагане на принудителни мерки за приземяване на безпилотни въздухоплавателни средства и/или за тяхното отстраняване по смисъла на чл. 62б, ал. 2 от Закона за гражданското въздухоплаване в тези зони.</w:t>
      </w:r>
    </w:p>
    <w:p w14:paraId="678B95A3" w14:textId="58BE07C2"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С оглед на функционалните задължения на ГДГП</w:t>
      </w:r>
      <w:r w:rsidR="00FD07EB">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за органите на дирекцията е от съществено значение да притежават законово правомощие за противодействие на този вид заплахи посредством ползването на технически средства за блокиране на електронни съобщителни услуги, </w:t>
      </w:r>
      <w:r w:rsidR="00FD07EB">
        <w:rPr>
          <w:rFonts w:ascii="Arial" w:hAnsi="Arial" w:cs="Arial"/>
          <w:color w:val="000000"/>
          <w:sz w:val="28"/>
          <w:szCs w:val="28"/>
          <w:lang w:val="bg-BG" w:eastAsia="bg-BG"/>
        </w:rPr>
        <w:t>съответно на</w:t>
      </w:r>
      <w:r w:rsidRPr="000A042B">
        <w:rPr>
          <w:rFonts w:ascii="Arial" w:hAnsi="Arial" w:cs="Arial"/>
          <w:color w:val="000000"/>
          <w:sz w:val="28"/>
          <w:szCs w:val="28"/>
          <w:lang w:val="bg-BG" w:eastAsia="bg-BG"/>
        </w:rPr>
        <w:t xml:space="preserve"> електронни съобщения. </w:t>
      </w:r>
    </w:p>
    <w:p w14:paraId="70F86A39" w14:textId="0D3C8076"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Понастоящем, по силата на чл. 301, ал. 3 от Закона за електронните съобщения за осъществяване на дейностите по чл. 14, ал. 2, т. 8 и чл. 89, ал. 1 от ЗМВР, както и при непосредствена заплаха за националната сигурност компетентните органи на МВР могат да блокират с технически средства ползването на електронни съобщителни услуги. Изрично цитираните дейности от ЗМВР са за откриване, идентифициране и неутрализиране на взривни устройства и взривни вещества, както и при освобождаване на заложници, при задържане или обезвреждане на извършители на особено опасни престъпления. Почти аналогично право е регламентирано и в разпоредбата на чл. 90 от ЗМВР, според която при осъществяване на дейностите по чл. 14, ал. 2, т. 8 от ЗМВР полицейските органи могат да блокират с технически средства осъществяването на електронни съобщения. </w:t>
      </w:r>
    </w:p>
    <w:p w14:paraId="05100F03" w14:textId="3AEB82D6" w:rsidR="000A042B" w:rsidRPr="000A042B" w:rsidRDefault="00FD07EB" w:rsidP="000A042B">
      <w:pPr>
        <w:spacing w:before="120" w:line="288" w:lineRule="auto"/>
        <w:ind w:firstLine="1134"/>
        <w:jc w:val="both"/>
        <w:rPr>
          <w:rFonts w:ascii="Arial" w:hAnsi="Arial" w:cs="Arial"/>
          <w:color w:val="000000"/>
          <w:sz w:val="28"/>
          <w:szCs w:val="28"/>
          <w:lang w:val="bg-BG" w:eastAsia="bg-BG"/>
        </w:rPr>
      </w:pPr>
      <w:r>
        <w:rPr>
          <w:rFonts w:ascii="Arial" w:hAnsi="Arial" w:cs="Arial"/>
          <w:color w:val="000000"/>
          <w:sz w:val="28"/>
          <w:szCs w:val="28"/>
          <w:lang w:val="bg-BG" w:eastAsia="bg-BG"/>
        </w:rPr>
        <w:t>Изложеното</w:t>
      </w:r>
      <w:r w:rsidR="000A042B" w:rsidRPr="000A042B">
        <w:rPr>
          <w:rFonts w:ascii="Arial" w:hAnsi="Arial" w:cs="Arial"/>
          <w:color w:val="000000"/>
          <w:sz w:val="28"/>
          <w:szCs w:val="28"/>
          <w:lang w:val="bg-BG" w:eastAsia="bg-BG"/>
        </w:rPr>
        <w:t xml:space="preserve"> обосновава необходимостта от добавянето на дейността по чл. 14, ал. 1, т. 3 от ЗМВР, сред </w:t>
      </w:r>
      <w:r>
        <w:rPr>
          <w:rFonts w:ascii="Arial" w:hAnsi="Arial" w:cs="Arial"/>
          <w:color w:val="000000"/>
          <w:sz w:val="28"/>
          <w:szCs w:val="28"/>
          <w:lang w:val="bg-BG" w:eastAsia="bg-BG"/>
        </w:rPr>
        <w:t>дейностите</w:t>
      </w:r>
      <w:r w:rsidR="000A042B" w:rsidRPr="000A042B">
        <w:rPr>
          <w:rFonts w:ascii="Arial" w:hAnsi="Arial" w:cs="Arial"/>
          <w:color w:val="000000"/>
          <w:sz w:val="28"/>
          <w:szCs w:val="28"/>
          <w:lang w:val="bg-BG" w:eastAsia="bg-BG"/>
        </w:rPr>
        <w:t xml:space="preserve">, при осъществяването на които органите на МВР могат да блокират с технически средства ползването на електронни съобщителни услуги, </w:t>
      </w:r>
      <w:r>
        <w:rPr>
          <w:rFonts w:ascii="Arial" w:hAnsi="Arial" w:cs="Arial"/>
          <w:color w:val="000000"/>
          <w:sz w:val="28"/>
          <w:szCs w:val="28"/>
          <w:lang w:val="bg-BG" w:eastAsia="bg-BG"/>
        </w:rPr>
        <w:t>съответно</w:t>
      </w:r>
      <w:r w:rsidR="000A042B" w:rsidRPr="000A042B">
        <w:rPr>
          <w:rFonts w:ascii="Arial" w:hAnsi="Arial" w:cs="Arial"/>
          <w:color w:val="000000"/>
          <w:sz w:val="28"/>
          <w:szCs w:val="28"/>
          <w:lang w:val="bg-BG" w:eastAsia="bg-BG"/>
        </w:rPr>
        <w:t xml:space="preserve"> предаването на  електронни съобщения. </w:t>
      </w:r>
    </w:p>
    <w:p w14:paraId="541C94C5" w14:textId="16D498FC"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lastRenderedPageBreak/>
        <w:t>1.4. Предоставяне</w:t>
      </w:r>
      <w:r w:rsidR="00FD07EB">
        <w:rPr>
          <w:rFonts w:ascii="Arial" w:hAnsi="Arial" w:cs="Arial"/>
          <w:color w:val="000000"/>
          <w:sz w:val="28"/>
          <w:szCs w:val="28"/>
          <w:lang w:val="bg-BG" w:eastAsia="bg-BG"/>
        </w:rPr>
        <w:t>то</w:t>
      </w:r>
      <w:r w:rsidRPr="000A042B">
        <w:rPr>
          <w:rFonts w:ascii="Arial" w:hAnsi="Arial" w:cs="Arial"/>
          <w:color w:val="000000"/>
          <w:sz w:val="28"/>
          <w:szCs w:val="28"/>
          <w:lang w:val="bg-BG" w:eastAsia="bg-BG"/>
        </w:rPr>
        <w:t xml:space="preserve"> на възможност на органите на ГДГП да достъпват и </w:t>
      </w:r>
      <w:r w:rsidR="00FD07EB">
        <w:rPr>
          <w:rFonts w:ascii="Arial" w:hAnsi="Arial" w:cs="Arial"/>
          <w:color w:val="000000"/>
          <w:sz w:val="28"/>
          <w:szCs w:val="28"/>
          <w:lang w:val="bg-BG" w:eastAsia="bg-BG"/>
        </w:rPr>
        <w:t xml:space="preserve">да </w:t>
      </w:r>
      <w:r w:rsidRPr="000A042B">
        <w:rPr>
          <w:rFonts w:ascii="Arial" w:hAnsi="Arial" w:cs="Arial"/>
          <w:color w:val="000000"/>
          <w:sz w:val="28"/>
          <w:szCs w:val="28"/>
          <w:lang w:val="bg-BG" w:eastAsia="bg-BG"/>
        </w:rPr>
        <w:t>използват резервационните данни за пътниците и екипажите за целите на предотвратяване, разкриване и разследване на престъпления по чл. 108а, чл. 159а-159г</w:t>
      </w:r>
      <w:r w:rsidR="00FD07EB">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чл. 242, ал. 1-4, чл. 280 и чл. 281, ал. 1 и 2 от Наказателния кодекс. </w:t>
      </w:r>
    </w:p>
    <w:p w14:paraId="6784299F" w14:textId="2D10D676"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В Закона за Държавна агенция „Национална сигурност“ (ЗДАНС) е установена компетентност на Националното звено по </w:t>
      </w:r>
      <w:r w:rsidR="00152482">
        <w:rPr>
          <w:rFonts w:ascii="Arial" w:hAnsi="Arial" w:cs="Arial"/>
          <w:color w:val="000000"/>
          <w:sz w:val="28"/>
          <w:szCs w:val="28"/>
          <w:lang w:val="bg-BG" w:eastAsia="bg-BG"/>
        </w:rPr>
        <w:br/>
      </w:r>
      <w:r w:rsidRPr="000A042B">
        <w:rPr>
          <w:rFonts w:ascii="Arial" w:hAnsi="Arial" w:cs="Arial"/>
          <w:color w:val="000000"/>
          <w:sz w:val="28"/>
          <w:szCs w:val="28"/>
          <w:lang w:val="bg-BG" w:eastAsia="bg-BG"/>
        </w:rPr>
        <w:t>чл. 11а  да получава и обработва резервационни данни на пътниците в Република България, превозвани по въздух, и данни на екипажа на въздухоплавателните средства.</w:t>
      </w:r>
    </w:p>
    <w:p w14:paraId="543DB3B8" w14:textId="74584572"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Съгласно ЗДАНС тези данни се обработват само за целите на предотвратяването, разкриването, разследването и наказателното преследване на изчерпателно очертан кръг от престъпления (чл. 42а, ал. 3). Допусната е също така възможност част от резервационните данни да бъдат обработвани и за целите на граничния контрол (чл. 42а, ал. 4).</w:t>
      </w:r>
    </w:p>
    <w:p w14:paraId="5E247674" w14:textId="7FA6D7DC" w:rsidR="000A042B" w:rsidRPr="003E7755" w:rsidRDefault="000A042B" w:rsidP="000A042B">
      <w:pPr>
        <w:spacing w:before="120" w:line="288" w:lineRule="auto"/>
        <w:ind w:firstLine="1134"/>
        <w:jc w:val="both"/>
        <w:rPr>
          <w:rFonts w:ascii="Arial" w:hAnsi="Arial" w:cs="Arial"/>
          <w:color w:val="000000"/>
          <w:sz w:val="28"/>
          <w:szCs w:val="28"/>
          <w:lang w:val="en-US" w:eastAsia="bg-BG"/>
        </w:rPr>
      </w:pPr>
      <w:r w:rsidRPr="000A042B">
        <w:rPr>
          <w:rFonts w:ascii="Arial" w:hAnsi="Arial" w:cs="Arial"/>
          <w:color w:val="000000"/>
          <w:sz w:val="28"/>
          <w:szCs w:val="28"/>
          <w:lang w:val="bg-BG" w:eastAsia="bg-BG"/>
        </w:rPr>
        <w:t>В рамките на посочените цели и за тяхното постигане в ЗДАНС са регламентирани основания за предоставяне на данни от Националното звено към съответните компетентни органи:</w:t>
      </w:r>
    </w:p>
    <w:p w14:paraId="37E12D76" w14:textId="5F140C9A" w:rsidR="000A042B" w:rsidRPr="000A042B" w:rsidRDefault="000A042B" w:rsidP="00874595">
      <w:pPr>
        <w:numPr>
          <w:ilvl w:val="0"/>
          <w:numId w:val="8"/>
        </w:numPr>
        <w:tabs>
          <w:tab w:val="left" w:pos="1418"/>
        </w:tabs>
        <w:spacing w:before="120" w:line="288" w:lineRule="auto"/>
        <w:ind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при получени съвпадания по предварително определени критерии и сравнения с данни от информационните фондове на МВР и </w:t>
      </w:r>
      <w:r w:rsidR="00152482">
        <w:rPr>
          <w:rFonts w:ascii="Arial" w:hAnsi="Arial" w:cs="Arial"/>
          <w:color w:val="000000"/>
          <w:sz w:val="28"/>
          <w:szCs w:val="28"/>
          <w:lang w:val="bg-BG" w:eastAsia="bg-BG"/>
        </w:rPr>
        <w:t xml:space="preserve">на </w:t>
      </w:r>
      <w:r w:rsidRPr="000A042B">
        <w:rPr>
          <w:rFonts w:ascii="Arial" w:hAnsi="Arial" w:cs="Arial"/>
          <w:color w:val="000000"/>
          <w:sz w:val="28"/>
          <w:szCs w:val="28"/>
          <w:lang w:val="bg-BG" w:eastAsia="bg-BG"/>
        </w:rPr>
        <w:t>Агенция „Митници“;</w:t>
      </w:r>
    </w:p>
    <w:p w14:paraId="5499E23B" w14:textId="1F34656F" w:rsidR="000A042B" w:rsidRPr="000A042B" w:rsidRDefault="000A042B" w:rsidP="000A042B">
      <w:pPr>
        <w:numPr>
          <w:ilvl w:val="0"/>
          <w:numId w:val="8"/>
        </w:numPr>
        <w:spacing w:before="120" w:line="288" w:lineRule="auto"/>
        <w:ind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във всички случаи за целите на граничния контрол - част от определените резервационни данни;</w:t>
      </w:r>
    </w:p>
    <w:p w14:paraId="2E88CD86" w14:textId="5DD18258" w:rsidR="000A042B" w:rsidRPr="000A042B" w:rsidRDefault="000A042B" w:rsidP="000A042B">
      <w:pPr>
        <w:numPr>
          <w:ilvl w:val="0"/>
          <w:numId w:val="8"/>
        </w:numPr>
        <w:spacing w:before="120" w:line="288" w:lineRule="auto"/>
        <w:ind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всички категории резервационни данни, въз основа на искане от съответните компетентни органи до Националното звено </w:t>
      </w:r>
      <w:r w:rsidR="00152482">
        <w:rPr>
          <w:rFonts w:ascii="Arial" w:hAnsi="Arial" w:cs="Arial"/>
          <w:color w:val="000000"/>
          <w:sz w:val="28"/>
          <w:szCs w:val="28"/>
          <w:lang w:val="bg-BG" w:eastAsia="bg-BG"/>
        </w:rPr>
        <w:t xml:space="preserve">- </w:t>
      </w:r>
      <w:r w:rsidRPr="000A042B">
        <w:rPr>
          <w:rFonts w:ascii="Arial" w:hAnsi="Arial" w:cs="Arial"/>
          <w:color w:val="000000"/>
          <w:sz w:val="28"/>
          <w:szCs w:val="28"/>
          <w:lang w:val="bg-BG" w:eastAsia="bg-BG"/>
        </w:rPr>
        <w:t xml:space="preserve">при оценка на всеки конкретен случай и спазване на принципа „необходимост да се знае“. </w:t>
      </w:r>
    </w:p>
    <w:p w14:paraId="51414A39" w14:textId="31F85091"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В последната хипотеза органите на ГДГП не са сред посочените в закона (чл. 42ж, ал. 1), които са оправомощени да подават мотивирани искания до Националното звено. Това обстоятелство препятства и намалява ефективността в оперативно-издирвателната дейност и дейността по разследване на </w:t>
      </w:r>
      <w:r w:rsidRPr="000A042B">
        <w:rPr>
          <w:rFonts w:ascii="Arial" w:hAnsi="Arial" w:cs="Arial"/>
          <w:color w:val="000000"/>
          <w:sz w:val="28"/>
          <w:szCs w:val="28"/>
          <w:lang w:val="bg-BG" w:eastAsia="bg-BG"/>
        </w:rPr>
        <w:lastRenderedPageBreak/>
        <w:t>престъпления по чл. 108а, чл. 159а-159г</w:t>
      </w:r>
      <w:r w:rsidR="00152482">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чл. 242, ал. 1-4, чл. 280 и чл. 281, ал. 1 и 2 от Наказателния кодекс, осъществявана от полицейските органи на ГДГП. </w:t>
      </w:r>
    </w:p>
    <w:p w14:paraId="50C93D8E" w14:textId="47F6FF3C" w:rsidR="000A042B" w:rsidRPr="000A042B" w:rsidRDefault="000A042B" w:rsidP="00152482">
      <w:pPr>
        <w:numPr>
          <w:ilvl w:val="1"/>
          <w:numId w:val="9"/>
        </w:numPr>
        <w:tabs>
          <w:tab w:val="left" w:pos="1701"/>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За изпълнение на Решение № 233 на Министерския съвет от 2024 г. за приемане на План за намаляване на административната тежест и заложените в него мерки № 2 и № 3 следва да бъдат предприети промени в чл. 125а, ал. 2 и </w:t>
      </w:r>
      <w:r w:rsidR="00152482">
        <w:rPr>
          <w:rFonts w:ascii="Arial" w:hAnsi="Arial" w:cs="Arial"/>
          <w:color w:val="000000"/>
          <w:sz w:val="28"/>
          <w:szCs w:val="28"/>
          <w:lang w:val="bg-BG" w:eastAsia="bg-BG"/>
        </w:rPr>
        <w:t xml:space="preserve">в </w:t>
      </w:r>
      <w:r w:rsidRPr="000A042B">
        <w:rPr>
          <w:rFonts w:ascii="Arial" w:hAnsi="Arial" w:cs="Arial"/>
          <w:color w:val="000000"/>
          <w:sz w:val="28"/>
          <w:szCs w:val="28"/>
          <w:lang w:val="bg-BG" w:eastAsia="bg-BG"/>
        </w:rPr>
        <w:t xml:space="preserve">чл. 132, </w:t>
      </w:r>
      <w:r w:rsidR="00152482">
        <w:rPr>
          <w:rFonts w:ascii="Arial" w:hAnsi="Arial" w:cs="Arial"/>
          <w:color w:val="000000"/>
          <w:sz w:val="28"/>
          <w:szCs w:val="28"/>
          <w:lang w:val="bg-BG" w:eastAsia="bg-BG"/>
        </w:rPr>
        <w:br/>
      </w:r>
      <w:r w:rsidRPr="000A042B">
        <w:rPr>
          <w:rFonts w:ascii="Arial" w:hAnsi="Arial" w:cs="Arial"/>
          <w:color w:val="000000"/>
          <w:sz w:val="28"/>
          <w:szCs w:val="28"/>
          <w:lang w:val="bg-BG" w:eastAsia="bg-BG"/>
        </w:rPr>
        <w:t xml:space="preserve">ал. 2 от ЗМВР. </w:t>
      </w:r>
    </w:p>
    <w:p w14:paraId="534B4A0D" w14:textId="69AA6F3F" w:rsidR="000A042B" w:rsidRPr="000A042B" w:rsidRDefault="000A042B" w:rsidP="00152482">
      <w:pPr>
        <w:numPr>
          <w:ilvl w:val="1"/>
          <w:numId w:val="9"/>
        </w:numPr>
        <w:tabs>
          <w:tab w:val="left" w:pos="1701"/>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В изпълнение на препоръки от Доклада за оценка за България на Групата на държавите, борещи се срещу корупцията (GRECO) - пети кръг на оценка „Предотвратяване на корупцията и насърчаване на почтеността на централното управление (висшите държавни длъжности) и правоприлагащите органи“ (www.coe.int/greco)</w:t>
      </w:r>
      <w:r w:rsidR="00152482">
        <w:rPr>
          <w:rFonts w:ascii="Arial" w:hAnsi="Arial" w:cs="Arial"/>
          <w:color w:val="000000"/>
          <w:sz w:val="28"/>
          <w:szCs w:val="28"/>
          <w:lang w:val="bg-BG" w:eastAsia="bg-BG"/>
        </w:rPr>
        <w:t>,</w:t>
      </w:r>
      <w:r w:rsidRPr="000A042B">
        <w:rPr>
          <w:rFonts w:ascii="Arial" w:eastAsia="Calibri" w:hAnsi="Arial" w:cs="Arial"/>
          <w:color w:val="000000"/>
          <w:sz w:val="28"/>
          <w:szCs w:val="28"/>
          <w:lang w:val="bg-BG" w:eastAsia="bg-BG"/>
        </w:rPr>
        <w:t xml:space="preserve"> </w:t>
      </w:r>
      <w:r w:rsidRPr="000A042B">
        <w:rPr>
          <w:rFonts w:ascii="Arial" w:hAnsi="Arial" w:cs="Arial"/>
          <w:color w:val="000000"/>
          <w:sz w:val="28"/>
          <w:szCs w:val="28"/>
          <w:lang w:val="bg-BG" w:eastAsia="bg-BG"/>
        </w:rPr>
        <w:t xml:space="preserve">в закона следва да се установи принципът на оперативна независимост на полицейските органи спрямо политическото ръководство на Министерството на вътрешните работи, както и правила относно ограничаване на рисковете от конфликт на интереси след напускане на службата. </w:t>
      </w:r>
    </w:p>
    <w:p w14:paraId="0A64A9EB" w14:textId="04FC40B6" w:rsidR="000A042B" w:rsidRPr="000A042B" w:rsidRDefault="000A042B" w:rsidP="00152482">
      <w:pPr>
        <w:numPr>
          <w:ilvl w:val="1"/>
          <w:numId w:val="9"/>
        </w:numPr>
        <w:tabs>
          <w:tab w:val="left" w:pos="1701"/>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Следва да бъде променено правното основание за издаването на наредба за условията и реда за издаване на лични документи с променени основни данни на служители под прикритие. Действащата разпоредба на чл. 12 от ЗМВР предвижда тази наредба да бъде издадена съвместно от министъра на вътрешните работи, министъра на регионалното развитие и благоустройството, председателя на Държавна агенция „Национална сигурност“ (ДАНС) и председателя на Държавна агенция „Технически </w:t>
      </w:r>
      <w:r w:rsidR="00027D98">
        <w:rPr>
          <w:rFonts w:ascii="Arial" w:hAnsi="Arial" w:cs="Arial"/>
          <w:color w:val="000000"/>
          <w:sz w:val="28"/>
          <w:szCs w:val="28"/>
          <w:lang w:val="bg-BG" w:eastAsia="bg-BG"/>
        </w:rPr>
        <w:br/>
      </w:r>
      <w:r w:rsidRPr="000A042B">
        <w:rPr>
          <w:rFonts w:ascii="Arial" w:hAnsi="Arial" w:cs="Arial"/>
          <w:color w:val="000000"/>
          <w:sz w:val="28"/>
          <w:szCs w:val="28"/>
          <w:lang w:val="bg-BG" w:eastAsia="bg-BG"/>
        </w:rPr>
        <w:t xml:space="preserve">операции“ (ДАТО). </w:t>
      </w:r>
    </w:p>
    <w:p w14:paraId="52D76400" w14:textId="1B850688"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Предвид, че прилагането на специални разузнавателни средства чрез използване на служител под прикритие се осъществява единствено от специализирано структурно звено в МВР, се предлага да отпадне изискването за издаване на съвместен с председателите на ДАНС и ДАТО акт, а такъв да бъде предвиден в компетентност на министъра на вътрешните работи и </w:t>
      </w:r>
      <w:r w:rsidR="00027D98">
        <w:rPr>
          <w:rFonts w:ascii="Arial" w:hAnsi="Arial" w:cs="Arial"/>
          <w:color w:val="000000"/>
          <w:sz w:val="28"/>
          <w:szCs w:val="28"/>
          <w:lang w:val="bg-BG" w:eastAsia="bg-BG"/>
        </w:rPr>
        <w:t xml:space="preserve">на </w:t>
      </w:r>
      <w:r w:rsidRPr="000A042B">
        <w:rPr>
          <w:rFonts w:ascii="Arial" w:hAnsi="Arial" w:cs="Arial"/>
          <w:color w:val="000000"/>
          <w:sz w:val="28"/>
          <w:szCs w:val="28"/>
          <w:lang w:val="bg-BG" w:eastAsia="bg-BG"/>
        </w:rPr>
        <w:t xml:space="preserve">министъра на регионалното развитие и благоустройството. </w:t>
      </w:r>
    </w:p>
    <w:p w14:paraId="2C2446B7" w14:textId="34314CC5" w:rsidR="000A042B" w:rsidRPr="000A042B" w:rsidRDefault="000A042B" w:rsidP="00027D98">
      <w:pPr>
        <w:numPr>
          <w:ilvl w:val="1"/>
          <w:numId w:val="9"/>
        </w:numPr>
        <w:tabs>
          <w:tab w:val="left" w:pos="1843"/>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lastRenderedPageBreak/>
        <w:t xml:space="preserve">Отстраняване на „технически пропуск“ за отразяване в чл. 190, ал. 1 от ЗМВР на допълненията в Кодекса на труда </w:t>
      </w:r>
      <w:r w:rsidR="00027D98">
        <w:rPr>
          <w:rFonts w:ascii="Arial" w:hAnsi="Arial" w:cs="Arial"/>
          <w:color w:val="000000"/>
          <w:sz w:val="28"/>
          <w:szCs w:val="28"/>
          <w:lang w:val="bg-BG" w:eastAsia="bg-BG"/>
        </w:rPr>
        <w:br/>
      </w:r>
      <w:r w:rsidRPr="000A042B">
        <w:rPr>
          <w:rFonts w:ascii="Arial" w:hAnsi="Arial" w:cs="Arial"/>
          <w:color w:val="000000"/>
          <w:sz w:val="28"/>
          <w:szCs w:val="28"/>
          <w:lang w:val="bg-BG" w:eastAsia="bg-BG"/>
        </w:rPr>
        <w:t>(ДВ, бр. 62 от 2022 г.,) и по-специално</w:t>
      </w:r>
      <w:r w:rsidR="00027D98">
        <w:rPr>
          <w:rFonts w:ascii="Arial" w:hAnsi="Arial" w:cs="Arial"/>
          <w:color w:val="000000"/>
          <w:sz w:val="28"/>
          <w:szCs w:val="28"/>
          <w:lang w:val="bg-BG" w:eastAsia="bg-BG"/>
        </w:rPr>
        <w:t xml:space="preserve"> -</w:t>
      </w:r>
      <w:r w:rsidRPr="000A042B">
        <w:rPr>
          <w:rFonts w:ascii="Arial" w:hAnsi="Arial" w:cs="Arial"/>
          <w:color w:val="000000"/>
          <w:sz w:val="28"/>
          <w:szCs w:val="28"/>
          <w:lang w:val="bg-BG" w:eastAsia="bg-BG"/>
        </w:rPr>
        <w:t xml:space="preserve"> разпоредбата на чл. 164в „Отпуск за отглеждане на дете до 8-годишна възраст от </w:t>
      </w:r>
      <w:r w:rsidR="00027D98">
        <w:rPr>
          <w:rFonts w:ascii="Arial" w:hAnsi="Arial" w:cs="Arial"/>
          <w:color w:val="000000"/>
          <w:sz w:val="28"/>
          <w:szCs w:val="28"/>
          <w:lang w:val="bg-BG" w:eastAsia="bg-BG"/>
        </w:rPr>
        <w:br/>
      </w:r>
      <w:r w:rsidRPr="000A042B">
        <w:rPr>
          <w:rFonts w:ascii="Arial" w:hAnsi="Arial" w:cs="Arial"/>
          <w:color w:val="000000"/>
          <w:sz w:val="28"/>
          <w:szCs w:val="28"/>
          <w:lang w:val="bg-BG" w:eastAsia="bg-BG"/>
        </w:rPr>
        <w:t xml:space="preserve">бащата (осиновителя)“. </w:t>
      </w:r>
    </w:p>
    <w:p w14:paraId="06B9B7D8" w14:textId="625AFFC0" w:rsidR="000A042B" w:rsidRPr="000A042B" w:rsidRDefault="000A042B" w:rsidP="00027D98">
      <w:pPr>
        <w:numPr>
          <w:ilvl w:val="1"/>
          <w:numId w:val="9"/>
        </w:numPr>
        <w:tabs>
          <w:tab w:val="left" w:pos="1843"/>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Предвид динамиката на обществено-икономическите отношения и инфлационните процеси, със законопроекта се предлага промяна в разпоредбата на чл. 192 от Закона за МВР</w:t>
      </w:r>
      <w:r w:rsidR="00027D98">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като отпадне определянето на размера на отличието „обявяване на благодарност с парична награда“ на ниво закон. Целесъобразно е размерите на наградите и отличията за служителите на министерството да бъдат обект на уредба с подзаконов нормативен акт. </w:t>
      </w:r>
    </w:p>
    <w:p w14:paraId="19DF1C1F" w14:textId="12B59E5D" w:rsidR="000A042B" w:rsidRPr="00264269" w:rsidRDefault="000A042B" w:rsidP="00264269">
      <w:pPr>
        <w:pStyle w:val="ListParagraph"/>
        <w:numPr>
          <w:ilvl w:val="0"/>
          <w:numId w:val="10"/>
        </w:numPr>
        <w:tabs>
          <w:tab w:val="left" w:pos="1560"/>
        </w:tabs>
        <w:spacing w:before="120" w:line="288" w:lineRule="auto"/>
        <w:ind w:left="0" w:firstLine="1134"/>
        <w:jc w:val="both"/>
        <w:rPr>
          <w:rFonts w:ascii="Arial" w:hAnsi="Arial" w:cs="Arial"/>
          <w:bCs/>
          <w:color w:val="000000"/>
          <w:sz w:val="28"/>
          <w:szCs w:val="28"/>
          <w:lang w:eastAsia="bg-BG"/>
        </w:rPr>
      </w:pPr>
      <w:r w:rsidRPr="00264269">
        <w:rPr>
          <w:rFonts w:ascii="Arial" w:hAnsi="Arial" w:cs="Arial"/>
          <w:bCs/>
          <w:color w:val="000000"/>
          <w:sz w:val="28"/>
          <w:szCs w:val="28"/>
          <w:u w:color="000000"/>
          <w:lang w:eastAsia="bg-BG"/>
        </w:rPr>
        <w:t>Цели, които се поставят:</w:t>
      </w:r>
      <w:r w:rsidRPr="00264269">
        <w:rPr>
          <w:rFonts w:ascii="Arial" w:hAnsi="Arial" w:cs="Arial"/>
          <w:bCs/>
          <w:color w:val="000000"/>
          <w:sz w:val="28"/>
          <w:szCs w:val="28"/>
          <w:lang w:eastAsia="bg-BG"/>
        </w:rPr>
        <w:t xml:space="preserve"> </w:t>
      </w:r>
    </w:p>
    <w:p w14:paraId="1F468ABC" w14:textId="045B6209" w:rsidR="000A042B" w:rsidRPr="000A042B" w:rsidRDefault="000A042B" w:rsidP="00264269">
      <w:pPr>
        <w:numPr>
          <w:ilvl w:val="1"/>
          <w:numId w:val="10"/>
        </w:numPr>
        <w:tabs>
          <w:tab w:val="left" w:pos="1701"/>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Предприемане на национални изпълнителни мерки, с които да бъдат въведени изискванията и </w:t>
      </w:r>
      <w:r w:rsidR="00264269">
        <w:rPr>
          <w:rFonts w:ascii="Arial" w:hAnsi="Arial" w:cs="Arial"/>
          <w:color w:val="000000"/>
          <w:sz w:val="28"/>
          <w:szCs w:val="28"/>
          <w:lang w:val="bg-BG" w:eastAsia="bg-BG"/>
        </w:rPr>
        <w:t xml:space="preserve">да бъде </w:t>
      </w:r>
      <w:r w:rsidRPr="000A042B">
        <w:rPr>
          <w:rFonts w:ascii="Arial" w:hAnsi="Arial" w:cs="Arial"/>
          <w:color w:val="000000"/>
          <w:sz w:val="28"/>
          <w:szCs w:val="28"/>
          <w:lang w:val="bg-BG" w:eastAsia="bg-BG"/>
        </w:rPr>
        <w:t xml:space="preserve">осигурено прилагането на правни актове на ЕС в пространството на свобода, сигурност и правосъдие. </w:t>
      </w:r>
    </w:p>
    <w:p w14:paraId="70450DFC" w14:textId="1075D435"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Определяне на компетентни национални органи съгласно чл. 12 от Регламент (ЕС) 2021/784 с контролни правомощия и </w:t>
      </w:r>
      <w:r w:rsidR="00214940">
        <w:rPr>
          <w:rFonts w:ascii="Arial" w:hAnsi="Arial" w:cs="Arial"/>
          <w:color w:val="000000"/>
          <w:sz w:val="28"/>
          <w:szCs w:val="28"/>
          <w:lang w:val="bg-BG" w:eastAsia="bg-BG"/>
        </w:rPr>
        <w:t xml:space="preserve">на </w:t>
      </w:r>
      <w:r w:rsidRPr="000A042B">
        <w:rPr>
          <w:rFonts w:ascii="Arial" w:hAnsi="Arial" w:cs="Arial"/>
          <w:color w:val="000000"/>
          <w:sz w:val="28"/>
          <w:szCs w:val="28"/>
          <w:lang w:val="bg-BG" w:eastAsia="bg-BG"/>
        </w:rPr>
        <w:t xml:space="preserve">съответни отговорности спрямо доставчици на хостинг услуги на територията на страната. </w:t>
      </w:r>
    </w:p>
    <w:p w14:paraId="24366586" w14:textId="586C571F"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Подпомагане </w:t>
      </w:r>
      <w:r w:rsidR="00214940">
        <w:rPr>
          <w:rFonts w:ascii="Arial" w:hAnsi="Arial" w:cs="Arial"/>
          <w:color w:val="000000"/>
          <w:sz w:val="28"/>
          <w:szCs w:val="28"/>
          <w:lang w:val="bg-BG" w:eastAsia="bg-BG"/>
        </w:rPr>
        <w:t xml:space="preserve">на </w:t>
      </w:r>
      <w:r w:rsidRPr="000A042B">
        <w:rPr>
          <w:rFonts w:ascii="Arial" w:hAnsi="Arial" w:cs="Arial"/>
          <w:color w:val="000000"/>
          <w:sz w:val="28"/>
          <w:szCs w:val="28"/>
          <w:lang w:val="bg-BG" w:eastAsia="bg-BG"/>
        </w:rPr>
        <w:t xml:space="preserve">усилията в борбата срещу използването на фалшива самоличност чрез създаване на правна възможност </w:t>
      </w:r>
      <w:r w:rsidR="00214940">
        <w:rPr>
          <w:rFonts w:ascii="Arial" w:hAnsi="Arial" w:cs="Arial"/>
          <w:color w:val="000000"/>
          <w:sz w:val="28"/>
          <w:szCs w:val="28"/>
          <w:lang w:val="bg-BG" w:eastAsia="bg-BG"/>
        </w:rPr>
        <w:br/>
      </w:r>
      <w:r w:rsidRPr="000A042B">
        <w:rPr>
          <w:rFonts w:ascii="Arial" w:hAnsi="Arial" w:cs="Arial"/>
          <w:color w:val="000000"/>
          <w:sz w:val="28"/>
          <w:szCs w:val="28"/>
          <w:lang w:val="bg-BG" w:eastAsia="bg-BG"/>
        </w:rPr>
        <w:t xml:space="preserve">за използване на оперативната съвместимост между информационните системи на ЕС. </w:t>
      </w:r>
    </w:p>
    <w:p w14:paraId="55E18B96" w14:textId="77777777" w:rsidR="000A042B" w:rsidRPr="000A042B" w:rsidRDefault="000A042B" w:rsidP="000A042B">
      <w:pPr>
        <w:spacing w:before="120" w:line="288" w:lineRule="auto"/>
        <w:ind w:right="4"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Актуализиране на действащите правила за бърз и опростен обмен на информация с компетентните правоприлагащи органи на държавите членки за предотвратяване, разкриване или разследване на престъпления. </w:t>
      </w:r>
    </w:p>
    <w:p w14:paraId="48B4E564" w14:textId="77777777" w:rsidR="000A042B" w:rsidRPr="000A042B" w:rsidRDefault="000A042B" w:rsidP="00214940">
      <w:pPr>
        <w:numPr>
          <w:ilvl w:val="1"/>
          <w:numId w:val="10"/>
        </w:numPr>
        <w:tabs>
          <w:tab w:val="left" w:pos="1843"/>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Въвеждане на промени в уредбата на полицейската регистрация по чл. 68 от Закона за МВР при отчитане на решенията на Съда на ЕС по преюдициални дела С-205/21 и С-118/22. </w:t>
      </w:r>
    </w:p>
    <w:p w14:paraId="5ED0F662" w14:textId="77777777" w:rsidR="000A042B" w:rsidRPr="000A042B" w:rsidRDefault="000A042B" w:rsidP="00214940">
      <w:pPr>
        <w:numPr>
          <w:ilvl w:val="1"/>
          <w:numId w:val="10"/>
        </w:numPr>
        <w:tabs>
          <w:tab w:val="left" w:pos="1843"/>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lastRenderedPageBreak/>
        <w:t xml:space="preserve">Предоставяне на възможност на органите на ГДГП да противодействат на нарастващата заплаха, породена от нерегламентираното използване на безпилотни летателни апарати, прелитащи през държавната граница, както и на такива, изпълняващи полети в близост до границата на българска или на съпределна територия. </w:t>
      </w:r>
    </w:p>
    <w:p w14:paraId="1188EB44" w14:textId="7E25A0CD" w:rsidR="000A042B" w:rsidRPr="000A042B" w:rsidRDefault="000A042B" w:rsidP="00214940">
      <w:pPr>
        <w:numPr>
          <w:ilvl w:val="1"/>
          <w:numId w:val="10"/>
        </w:numPr>
        <w:tabs>
          <w:tab w:val="left" w:pos="1843"/>
        </w:tabs>
        <w:spacing w:before="120" w:line="288" w:lineRule="auto"/>
        <w:ind w:left="0" w:right="11"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Обезпечаване изпълнението на правомощията на органите на ГДГП по предотвратяване, разкриване и разследване на престъпления по чл. 108а, чл. 159а-159г, чл. 242, ал. 1-4, чл. 280</w:t>
      </w:r>
      <w:r w:rsidR="00214940">
        <w:rPr>
          <w:rFonts w:ascii="Arial" w:hAnsi="Arial" w:cs="Arial"/>
          <w:color w:val="000000"/>
          <w:sz w:val="28"/>
          <w:szCs w:val="28"/>
          <w:lang w:val="bg-BG" w:eastAsia="bg-BG"/>
        </w:rPr>
        <w:t xml:space="preserve"> и</w:t>
      </w:r>
      <w:r w:rsidRPr="000A042B">
        <w:rPr>
          <w:rFonts w:ascii="Arial" w:hAnsi="Arial" w:cs="Arial"/>
          <w:color w:val="000000"/>
          <w:sz w:val="28"/>
          <w:szCs w:val="28"/>
          <w:lang w:val="bg-BG" w:eastAsia="bg-BG"/>
        </w:rPr>
        <w:t xml:space="preserve"> чл. 281, ал. 1 и 2 от НК. </w:t>
      </w:r>
    </w:p>
    <w:p w14:paraId="4CB64520" w14:textId="0F4B8376" w:rsidR="000A042B" w:rsidRPr="000A042B" w:rsidRDefault="000A042B" w:rsidP="00214940">
      <w:pPr>
        <w:numPr>
          <w:ilvl w:val="1"/>
          <w:numId w:val="10"/>
        </w:numPr>
        <w:tabs>
          <w:tab w:val="left" w:pos="1843"/>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Изпълнение на мерки № 2 и № 3 от приетия с Решение № 233 на Министерския съвет от 2024 г. План за намаляване на административната тежест, свързани с отпадане на изискването за подаване на искане от заинтересовано лице/упълномощен представител за издаване на документи по чл. 125а, ал. 1 от ЗМВР, когато се издават в производството по вътрешна административна услуга</w:t>
      </w:r>
      <w:r w:rsidR="00214940">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и служебно събиране на информация, налична в Търговския регистър</w:t>
      </w:r>
      <w:r w:rsidR="00214940">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при промяна на вписани обстоятелства/актове за лицето, получило разрешение за извършване на дейности по пожарна безопасност и/или обслужване на обекти, уреди и съоръжения, свързани с пожарната безопасност. </w:t>
      </w:r>
    </w:p>
    <w:p w14:paraId="0786CA06" w14:textId="77777777" w:rsidR="000A042B" w:rsidRPr="000A042B" w:rsidRDefault="000A042B" w:rsidP="00214940">
      <w:pPr>
        <w:numPr>
          <w:ilvl w:val="1"/>
          <w:numId w:val="10"/>
        </w:numPr>
        <w:tabs>
          <w:tab w:val="left" w:pos="1843"/>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Изпълнение на препоръки от Доклада за оценка за България на Групата на държавите, борещи се срещу корупцията (GRECO) чрез гарантиране на достатъчна оперативна независимост на полицията спрямо МВР и установяване на правила за осигуряване на прозрачност и ограничаване на рисковете от конфликт на интереси относно дейността на полицейските служители след напускане на службата. </w:t>
      </w:r>
    </w:p>
    <w:p w14:paraId="59010326" w14:textId="3DC41381" w:rsidR="000A042B" w:rsidRPr="000A042B" w:rsidRDefault="000A042B" w:rsidP="00214940">
      <w:pPr>
        <w:numPr>
          <w:ilvl w:val="1"/>
          <w:numId w:val="10"/>
        </w:numPr>
        <w:tabs>
          <w:tab w:val="left" w:pos="1843"/>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Привеждане на правното основание за издаването на наредба по чл. 12 от ЗМВР за условията и реда за издаване на лични документи с променени основни данни на служителите от специализираното звено за осигуряване и прилагане на разследване чрез служител под прикритие в съответствие със Закона за СРС. Предвижда се тази наредба да бъде издадена </w:t>
      </w:r>
      <w:r w:rsidRPr="000A042B">
        <w:rPr>
          <w:rFonts w:ascii="Arial" w:hAnsi="Arial" w:cs="Arial"/>
          <w:color w:val="000000"/>
          <w:sz w:val="28"/>
          <w:szCs w:val="28"/>
          <w:lang w:val="bg-BG" w:eastAsia="bg-BG"/>
        </w:rPr>
        <w:lastRenderedPageBreak/>
        <w:t xml:space="preserve">съвместно от министъра на вътрешните работи и </w:t>
      </w:r>
      <w:r w:rsidR="00214940">
        <w:rPr>
          <w:rFonts w:ascii="Arial" w:hAnsi="Arial" w:cs="Arial"/>
          <w:color w:val="000000"/>
          <w:sz w:val="28"/>
          <w:szCs w:val="28"/>
          <w:lang w:val="bg-BG" w:eastAsia="bg-BG"/>
        </w:rPr>
        <w:t xml:space="preserve">от </w:t>
      </w:r>
      <w:r w:rsidRPr="000A042B">
        <w:rPr>
          <w:rFonts w:ascii="Arial" w:hAnsi="Arial" w:cs="Arial"/>
          <w:color w:val="000000"/>
          <w:sz w:val="28"/>
          <w:szCs w:val="28"/>
          <w:lang w:val="bg-BG" w:eastAsia="bg-BG"/>
        </w:rPr>
        <w:t xml:space="preserve">министъра на регионалното развитие и благоустройството. </w:t>
      </w:r>
    </w:p>
    <w:p w14:paraId="16E2A0C6" w14:textId="77777777" w:rsidR="000A042B" w:rsidRPr="000A042B" w:rsidRDefault="000A042B" w:rsidP="00214940">
      <w:pPr>
        <w:numPr>
          <w:ilvl w:val="1"/>
          <w:numId w:val="10"/>
        </w:numPr>
        <w:tabs>
          <w:tab w:val="left" w:pos="1843"/>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Постигане на съответствие с Кодекса на труда на полагащите се на държавните служители със статут по ЗМВР видове отпуски. </w:t>
      </w:r>
    </w:p>
    <w:p w14:paraId="0F3E88DA" w14:textId="222185C9" w:rsidR="000A042B" w:rsidRPr="000A042B" w:rsidRDefault="000A042B" w:rsidP="00214940">
      <w:pPr>
        <w:numPr>
          <w:ilvl w:val="1"/>
          <w:numId w:val="10"/>
        </w:numPr>
        <w:tabs>
          <w:tab w:val="left" w:pos="1843"/>
        </w:tabs>
        <w:spacing w:before="120" w:line="288" w:lineRule="auto"/>
        <w:ind w:left="0" w:right="9"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Уеднаквяване на подхода при определяне на размерите на наградите и отличията, с които могат да бъдат удостоявани служителите на </w:t>
      </w:r>
      <w:r w:rsidR="00B40CD9">
        <w:rPr>
          <w:rFonts w:ascii="Arial" w:hAnsi="Arial" w:cs="Arial"/>
          <w:color w:val="000000"/>
          <w:sz w:val="28"/>
          <w:szCs w:val="28"/>
          <w:lang w:val="bg-BG" w:eastAsia="bg-BG"/>
        </w:rPr>
        <w:t>МВР</w:t>
      </w:r>
      <w:r w:rsidRPr="000A042B">
        <w:rPr>
          <w:rFonts w:ascii="Arial" w:hAnsi="Arial" w:cs="Arial"/>
          <w:color w:val="000000"/>
          <w:sz w:val="28"/>
          <w:szCs w:val="28"/>
          <w:lang w:val="bg-BG" w:eastAsia="bg-BG"/>
        </w:rPr>
        <w:t xml:space="preserve">, като се предвиди конкретните размери на паричните награди да се определят с наредба на министъра на вътрешните работи. </w:t>
      </w:r>
    </w:p>
    <w:p w14:paraId="4F367BC1" w14:textId="77777777" w:rsidR="000A042B" w:rsidRPr="000A042B" w:rsidRDefault="000A042B" w:rsidP="00214940">
      <w:pPr>
        <w:numPr>
          <w:ilvl w:val="0"/>
          <w:numId w:val="10"/>
        </w:numPr>
        <w:tabs>
          <w:tab w:val="left" w:pos="1560"/>
        </w:tabs>
        <w:spacing w:before="120" w:line="288" w:lineRule="auto"/>
        <w:ind w:left="0" w:right="9" w:firstLine="1134"/>
        <w:jc w:val="both"/>
        <w:rPr>
          <w:rFonts w:ascii="Arial" w:hAnsi="Arial" w:cs="Arial"/>
          <w:bCs/>
          <w:color w:val="000000"/>
          <w:sz w:val="28"/>
          <w:szCs w:val="28"/>
          <w:lang w:val="bg-BG" w:eastAsia="bg-BG"/>
        </w:rPr>
      </w:pPr>
      <w:r w:rsidRPr="000A042B">
        <w:rPr>
          <w:rFonts w:ascii="Arial" w:hAnsi="Arial" w:cs="Arial"/>
          <w:bCs/>
          <w:color w:val="000000"/>
          <w:sz w:val="28"/>
          <w:szCs w:val="28"/>
          <w:u w:color="000000"/>
          <w:lang w:val="bg-BG" w:eastAsia="bg-BG"/>
        </w:rPr>
        <w:t>Очаквани резултати от прилагането на новата уредба:</w:t>
      </w:r>
      <w:r w:rsidRPr="000A042B">
        <w:rPr>
          <w:rFonts w:ascii="Arial" w:hAnsi="Arial" w:cs="Arial"/>
          <w:bCs/>
          <w:color w:val="000000"/>
          <w:sz w:val="28"/>
          <w:szCs w:val="28"/>
          <w:lang w:val="bg-BG" w:eastAsia="bg-BG"/>
        </w:rPr>
        <w:t xml:space="preserve"> </w:t>
      </w:r>
    </w:p>
    <w:p w14:paraId="78367240"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От компетентните национални органи ще се прилагат съвременни и ефективни процедури за обмен на информация за целите на предотвратяването, разкриването и разследването на престъпления. </w:t>
      </w:r>
    </w:p>
    <w:p w14:paraId="5BCA0AF8"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Ще се създадат предпоставки за справяне със злоупотребата с хостинг услуги за разпространение сред обществеността на терористично съдържание онлайн, по-специално, свързани с разумни и пропорционални задължения на доставчиците на хостинг услуги за полагане на дължима грижа с цел справяне с разпространението сред обществеността на терористично съдържание чрез техните услуги и за да се гарантира, когато е необходимо, бързото му премахване или блокиране на достъпа до такова съдържание. </w:t>
      </w:r>
    </w:p>
    <w:p w14:paraId="7113A089" w14:textId="055E68AF"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Полицейските органи ще могат да използват общата услуга за биометрично съпоставяне като техническо средство за подсилване и улесняване на работата на съответните информационни системи на ЕС и на другите компоненти за оперативна съвместимост. По този начин ще бъде улеснено установяването на самоличността на физическо лице, което е регистрирано в няколко бази данни, чрез използването на един-единствен технологичен компонент за съпоставяне на биометричните данни на това физическо лице в различните системи, </w:t>
      </w:r>
      <w:r w:rsidRPr="000A042B">
        <w:rPr>
          <w:rFonts w:ascii="Arial" w:hAnsi="Arial" w:cs="Arial"/>
          <w:color w:val="000000"/>
          <w:sz w:val="28"/>
          <w:szCs w:val="28"/>
          <w:lang w:val="bg-BG" w:eastAsia="bg-BG"/>
        </w:rPr>
        <w:lastRenderedPageBreak/>
        <w:t>вместо на няколко различни компонента. Това ще доведе до по-голяма сигурност и надеждност на проверките.</w:t>
      </w:r>
    </w:p>
    <w:p w14:paraId="19029CCF" w14:textId="5788F019"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Следва да бъде постигнато спазването на принципите за необходимост и пропорционалност при обработването и съхранението на чувствителни данни на лица, привлечени като обвиняеми за умишлено престъпление от общ характер</w:t>
      </w:r>
      <w:r w:rsidR="00046F7D">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за целите на полицейската регистрация. </w:t>
      </w:r>
    </w:p>
    <w:p w14:paraId="1446808D"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Полицейските органи при ГДГП ще разполагат с допълнително правомощие при осъществяване на възложените от закона дейности да противодействат на опитите за използване на съвременните технологии за нелегитимни цели. </w:t>
      </w:r>
    </w:p>
    <w:p w14:paraId="6FBE6268" w14:textId="195BA641"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Ще </w:t>
      </w:r>
      <w:r w:rsidR="00046F7D">
        <w:rPr>
          <w:rFonts w:ascii="Arial" w:hAnsi="Arial" w:cs="Arial"/>
          <w:color w:val="000000"/>
          <w:sz w:val="28"/>
          <w:szCs w:val="28"/>
          <w:lang w:val="bg-BG" w:eastAsia="bg-BG"/>
        </w:rPr>
        <w:t xml:space="preserve">се </w:t>
      </w:r>
      <w:r w:rsidRPr="000A042B">
        <w:rPr>
          <w:rFonts w:ascii="Arial" w:hAnsi="Arial" w:cs="Arial"/>
          <w:color w:val="000000"/>
          <w:sz w:val="28"/>
          <w:szCs w:val="28"/>
          <w:lang w:val="bg-BG" w:eastAsia="bg-BG"/>
        </w:rPr>
        <w:t>предостави възможност на служителите на ГДГП да изпълняват правомощията си по предотвратяване, разкриване и разследване на престъпления, като се отчете и отпадането на граничните проверки след пълното прилагане на разпоредбите на достиженията на правото от Шенген на вътрешните въздушни и морски граници на Република България. Това ще позволи обработването на данни за преминаването на лица през тези граници на страната. Националното звено в структурата на ДАНС ще може да предоставя информация в РДГП-Аерогари за това на коя дата заподозряно в извършване на престъпление лице е пътувало през въздушна граница, кой е направил резервацията, има ли други лица в тази резервация, как е заплатен билет</w:t>
      </w:r>
      <w:r w:rsidR="00046F7D">
        <w:rPr>
          <w:rFonts w:ascii="Arial" w:hAnsi="Arial" w:cs="Arial"/>
          <w:color w:val="000000"/>
          <w:sz w:val="28"/>
          <w:szCs w:val="28"/>
          <w:lang w:val="bg-BG" w:eastAsia="bg-BG"/>
        </w:rPr>
        <w:t>ът</w:t>
      </w:r>
      <w:r w:rsidRPr="000A042B">
        <w:rPr>
          <w:rFonts w:ascii="Arial" w:hAnsi="Arial" w:cs="Arial"/>
          <w:color w:val="000000"/>
          <w:sz w:val="28"/>
          <w:szCs w:val="28"/>
          <w:lang w:val="bg-BG" w:eastAsia="bg-BG"/>
        </w:rPr>
        <w:t xml:space="preserve">, къде е направена резервацията, данни за маршрута на пътуването, адрес и координати за връзка (телефонен номер, електронен адрес) на направилия резервацията и други данни от изброените в чл. 426, </w:t>
      </w:r>
      <w:r w:rsidR="00A1054D">
        <w:rPr>
          <w:rFonts w:ascii="Arial" w:hAnsi="Arial" w:cs="Arial"/>
          <w:color w:val="000000"/>
          <w:sz w:val="28"/>
          <w:szCs w:val="28"/>
          <w:lang w:val="bg-BG" w:eastAsia="bg-BG"/>
        </w:rPr>
        <w:br/>
      </w:r>
      <w:r w:rsidRPr="000A042B">
        <w:rPr>
          <w:rFonts w:ascii="Arial" w:hAnsi="Arial" w:cs="Arial"/>
          <w:color w:val="000000"/>
          <w:sz w:val="28"/>
          <w:szCs w:val="28"/>
          <w:lang w:val="bg-BG" w:eastAsia="bg-BG"/>
        </w:rPr>
        <w:t xml:space="preserve">ал. 2 от ЗДАНС, които биха могли да имат отношение към разкриването и разследването на престъпленията по чл. 108а, </w:t>
      </w:r>
      <w:r w:rsidR="008A581D">
        <w:rPr>
          <w:rFonts w:ascii="Arial" w:hAnsi="Arial" w:cs="Arial"/>
          <w:color w:val="000000"/>
          <w:sz w:val="28"/>
          <w:szCs w:val="28"/>
          <w:lang w:val="bg-BG" w:eastAsia="bg-BG"/>
        </w:rPr>
        <w:br/>
      </w:r>
      <w:r w:rsidR="00046F7D">
        <w:rPr>
          <w:rFonts w:ascii="Arial" w:hAnsi="Arial" w:cs="Arial"/>
          <w:color w:val="000000"/>
          <w:sz w:val="28"/>
          <w:szCs w:val="28"/>
          <w:lang w:val="bg-BG" w:eastAsia="bg-BG"/>
        </w:rPr>
        <w:t xml:space="preserve">чл. </w:t>
      </w:r>
      <w:r w:rsidRPr="000A042B">
        <w:rPr>
          <w:rFonts w:ascii="Arial" w:hAnsi="Arial" w:cs="Arial"/>
          <w:color w:val="000000"/>
          <w:sz w:val="28"/>
          <w:szCs w:val="28"/>
          <w:lang w:val="bg-BG" w:eastAsia="bg-BG"/>
        </w:rPr>
        <w:t>159а-159г, чл. 242, ал. 1-4, чл. 280 и чл. 281, ал. 1 и 2 от Н</w:t>
      </w:r>
      <w:r w:rsidR="00046F7D">
        <w:rPr>
          <w:rFonts w:ascii="Arial" w:hAnsi="Arial" w:cs="Arial"/>
          <w:color w:val="000000"/>
          <w:sz w:val="28"/>
          <w:szCs w:val="28"/>
          <w:lang w:val="bg-BG" w:eastAsia="bg-BG"/>
        </w:rPr>
        <w:t>аказателния кодекс</w:t>
      </w:r>
      <w:r w:rsidRPr="000A042B">
        <w:rPr>
          <w:rFonts w:ascii="Arial" w:hAnsi="Arial" w:cs="Arial"/>
          <w:color w:val="000000"/>
          <w:sz w:val="28"/>
          <w:szCs w:val="28"/>
          <w:lang w:val="bg-BG" w:eastAsia="bg-BG"/>
        </w:rPr>
        <w:t>.</w:t>
      </w:r>
    </w:p>
    <w:p w14:paraId="75D23108"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Ще се постигне намаляване на административната тежест във връзка с изискуемите документи по удостоверяване съответствието на обекти, съоръжения или други с изискванията на пожарната безопасност. </w:t>
      </w:r>
    </w:p>
    <w:p w14:paraId="1BAFE67C"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lastRenderedPageBreak/>
        <w:t xml:space="preserve">Ще бъдат изпълнени препоръките от Доклада за оценка за България на Групата на държавите, борещи се срещу корупцията (GRECO) и ще бъдат въведени за изпълнение принципите на оперативна независимост в дейността на полицейските органи и спазването на конфиденциалност за предотвратяване конфликта на интереси след напускане на службата. </w:t>
      </w:r>
    </w:p>
    <w:p w14:paraId="4629F026"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Ще се постигне яснота и изчерпателност при определянето на видовете отпуски по Кодекса на труда, на които имат право държавните служители със статут по Закона за МВР. </w:t>
      </w:r>
    </w:p>
    <w:p w14:paraId="51EEB81F"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Ще се прецизира правното основание за издаване на наредба по чл. 12 от закона. </w:t>
      </w:r>
    </w:p>
    <w:p w14:paraId="4E1A60B1" w14:textId="34EE8AF4"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Ще бъде спазена субординацията между законовата и подзаконова нормативна уредба при регламентиране на видовете отличия и награди, с които могат да бъдат удостоявани служителите на</w:t>
      </w:r>
      <w:r w:rsidR="00874595">
        <w:rPr>
          <w:rFonts w:ascii="Arial" w:hAnsi="Arial" w:cs="Arial"/>
          <w:color w:val="000000"/>
          <w:sz w:val="28"/>
          <w:szCs w:val="28"/>
          <w:lang w:val="bg-BG" w:eastAsia="bg-BG"/>
        </w:rPr>
        <w:t xml:space="preserve"> МВР</w:t>
      </w:r>
      <w:r w:rsidRPr="000A042B">
        <w:rPr>
          <w:rFonts w:ascii="Arial" w:hAnsi="Arial" w:cs="Arial"/>
          <w:color w:val="000000"/>
          <w:sz w:val="28"/>
          <w:szCs w:val="28"/>
          <w:lang w:val="bg-BG" w:eastAsia="bg-BG"/>
        </w:rPr>
        <w:t>.</w:t>
      </w:r>
    </w:p>
    <w:p w14:paraId="64FC4190" w14:textId="77777777" w:rsidR="000A042B" w:rsidRPr="00874595" w:rsidRDefault="000A042B" w:rsidP="00874595">
      <w:pPr>
        <w:numPr>
          <w:ilvl w:val="0"/>
          <w:numId w:val="11"/>
        </w:numPr>
        <w:tabs>
          <w:tab w:val="left" w:pos="1560"/>
        </w:tabs>
        <w:spacing w:before="120" w:line="288" w:lineRule="auto"/>
        <w:ind w:left="0" w:right="11" w:firstLine="1134"/>
        <w:jc w:val="both"/>
        <w:rPr>
          <w:rFonts w:ascii="Arial" w:hAnsi="Arial" w:cs="Arial"/>
          <w:bCs/>
          <w:color w:val="000000"/>
          <w:sz w:val="28"/>
          <w:szCs w:val="28"/>
          <w:lang w:val="bg-BG" w:eastAsia="bg-BG"/>
        </w:rPr>
      </w:pPr>
      <w:r w:rsidRPr="00874595">
        <w:rPr>
          <w:rFonts w:ascii="Arial" w:hAnsi="Arial" w:cs="Arial"/>
          <w:bCs/>
          <w:color w:val="000000"/>
          <w:sz w:val="28"/>
          <w:szCs w:val="28"/>
          <w:u w:color="000000"/>
          <w:lang w:val="bg-BG" w:eastAsia="bg-BG"/>
        </w:rPr>
        <w:t>Финансовите и други средства, необходими за прилагането на новата уредба:</w:t>
      </w:r>
      <w:r w:rsidRPr="00874595">
        <w:rPr>
          <w:rFonts w:ascii="Arial" w:hAnsi="Arial" w:cs="Arial"/>
          <w:bCs/>
          <w:color w:val="000000"/>
          <w:sz w:val="28"/>
          <w:szCs w:val="28"/>
          <w:lang w:val="bg-BG" w:eastAsia="bg-BG"/>
        </w:rPr>
        <w:t xml:space="preserve"> </w:t>
      </w:r>
    </w:p>
    <w:p w14:paraId="3C6C144B" w14:textId="4EBDDD34"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Приемането на проекта на акт не оказва въздействие върху държавния бюджет, поради което към него е приложена финансова обосновка съгласно чл. 35, ал. 1, т. 4, б</w:t>
      </w:r>
      <w:r w:rsidR="00BB33F7">
        <w:rPr>
          <w:rFonts w:ascii="Arial" w:hAnsi="Arial" w:cs="Arial"/>
          <w:color w:val="000000"/>
          <w:sz w:val="28"/>
          <w:szCs w:val="28"/>
          <w:lang w:val="bg-BG" w:eastAsia="bg-BG"/>
        </w:rPr>
        <w:t>уква</w:t>
      </w:r>
      <w:r w:rsidRPr="000A042B">
        <w:rPr>
          <w:rFonts w:ascii="Arial" w:hAnsi="Arial" w:cs="Arial"/>
          <w:color w:val="000000"/>
          <w:sz w:val="28"/>
          <w:szCs w:val="28"/>
          <w:lang w:val="bg-BG" w:eastAsia="bg-BG"/>
        </w:rPr>
        <w:t xml:space="preserve"> „б“ от У</w:t>
      </w:r>
      <w:r w:rsidR="00BB33F7">
        <w:rPr>
          <w:rFonts w:ascii="Arial" w:hAnsi="Arial" w:cs="Arial"/>
          <w:color w:val="000000"/>
          <w:sz w:val="28"/>
          <w:szCs w:val="28"/>
          <w:lang w:val="bg-BG" w:eastAsia="bg-BG"/>
        </w:rPr>
        <w:t>стройствения правилник на Министерския съвет и на неговата администрация</w:t>
      </w:r>
      <w:r w:rsidRPr="000A042B">
        <w:rPr>
          <w:rFonts w:ascii="Arial" w:hAnsi="Arial" w:cs="Arial"/>
          <w:color w:val="000000"/>
          <w:sz w:val="28"/>
          <w:szCs w:val="28"/>
          <w:lang w:val="bg-BG" w:eastAsia="bg-BG"/>
        </w:rPr>
        <w:t>.</w:t>
      </w:r>
    </w:p>
    <w:p w14:paraId="2D8C9028" w14:textId="37EF6ADC" w:rsidR="000A042B" w:rsidRPr="00657E85" w:rsidRDefault="000A042B" w:rsidP="00657E85">
      <w:pPr>
        <w:numPr>
          <w:ilvl w:val="0"/>
          <w:numId w:val="11"/>
        </w:numPr>
        <w:tabs>
          <w:tab w:val="left" w:pos="1560"/>
        </w:tabs>
        <w:spacing w:before="120" w:line="288" w:lineRule="auto"/>
        <w:ind w:left="0" w:right="9" w:firstLine="1134"/>
        <w:jc w:val="both"/>
        <w:rPr>
          <w:rFonts w:ascii="Arial" w:hAnsi="Arial" w:cs="Arial"/>
          <w:bCs/>
          <w:color w:val="000000"/>
          <w:sz w:val="28"/>
          <w:szCs w:val="28"/>
          <w:lang w:val="bg-BG" w:eastAsia="bg-BG"/>
        </w:rPr>
      </w:pPr>
      <w:r w:rsidRPr="00657E85">
        <w:rPr>
          <w:rFonts w:ascii="Arial" w:hAnsi="Arial" w:cs="Arial"/>
          <w:bCs/>
          <w:color w:val="000000"/>
          <w:sz w:val="28"/>
          <w:szCs w:val="28"/>
          <w:u w:color="000000"/>
          <w:lang w:val="bg-BG" w:eastAsia="bg-BG"/>
        </w:rPr>
        <w:t>Анализ за съответствие с правото на Европейския съюз:</w:t>
      </w:r>
      <w:r w:rsidRPr="00657E85">
        <w:rPr>
          <w:rFonts w:ascii="Arial" w:hAnsi="Arial" w:cs="Arial"/>
          <w:bCs/>
          <w:color w:val="000000"/>
          <w:sz w:val="28"/>
          <w:szCs w:val="28"/>
          <w:lang w:val="bg-BG" w:eastAsia="bg-BG"/>
        </w:rPr>
        <w:t xml:space="preserve"> </w:t>
      </w:r>
    </w:p>
    <w:p w14:paraId="360CBD8E" w14:textId="38CD5184" w:rsidR="000A042B" w:rsidRPr="000A042B" w:rsidRDefault="000A042B" w:rsidP="00657E85">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В съответствие с чл. 288 от Договора за функциониране</w:t>
      </w:r>
      <w:r w:rsidR="000C37AD">
        <w:rPr>
          <w:rFonts w:ascii="Arial" w:hAnsi="Arial" w:cs="Arial"/>
          <w:color w:val="000000"/>
          <w:sz w:val="28"/>
          <w:szCs w:val="28"/>
          <w:lang w:val="bg-BG" w:eastAsia="bg-BG"/>
        </w:rPr>
        <w:t>то</w:t>
      </w:r>
      <w:r w:rsidRPr="000A042B">
        <w:rPr>
          <w:rFonts w:ascii="Arial" w:hAnsi="Arial" w:cs="Arial"/>
          <w:color w:val="000000"/>
          <w:sz w:val="28"/>
          <w:szCs w:val="28"/>
          <w:lang w:val="bg-BG" w:eastAsia="bg-BG"/>
        </w:rPr>
        <w:t xml:space="preserve"> на Европейския съюз регламентът е правен акт с общо действие, задължителен в своята цялост и пряко приложим във всички държави членки, без да са необходими национални мерки по транспониране.</w:t>
      </w:r>
    </w:p>
    <w:p w14:paraId="21D0CEB3" w14:textId="4F3DCE8D"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Регламент </w:t>
      </w:r>
      <w:r w:rsidR="00657E85">
        <w:rPr>
          <w:rFonts w:ascii="Arial" w:hAnsi="Arial" w:cs="Arial"/>
          <w:color w:val="000000"/>
          <w:sz w:val="28"/>
          <w:szCs w:val="28"/>
          <w:lang w:val="en-US" w:eastAsia="bg-BG"/>
        </w:rPr>
        <w:t>(</w:t>
      </w:r>
      <w:r w:rsidR="00657E85">
        <w:rPr>
          <w:rFonts w:ascii="Arial" w:hAnsi="Arial" w:cs="Arial"/>
          <w:color w:val="000000"/>
          <w:sz w:val="28"/>
          <w:szCs w:val="28"/>
          <w:lang w:val="bg-BG" w:eastAsia="bg-BG"/>
        </w:rPr>
        <w:t xml:space="preserve">ЕС) </w:t>
      </w:r>
      <w:r w:rsidRPr="000A042B">
        <w:rPr>
          <w:rFonts w:ascii="Arial" w:hAnsi="Arial" w:cs="Arial"/>
          <w:color w:val="000000"/>
          <w:sz w:val="28"/>
          <w:szCs w:val="28"/>
          <w:lang w:val="bg-BG" w:eastAsia="bg-BG"/>
        </w:rPr>
        <w:t xml:space="preserve">2021/784 има пряко приложение в националното законодателство от 7 юни 2022 г. Задълженията по силата на регламента пораждат директен ефект за всички публично- и частноправни субекти. </w:t>
      </w:r>
    </w:p>
    <w:p w14:paraId="629661E5" w14:textId="3EC72400"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Предложените със законопроекта нормативни промени произтичат от изричното овластяване по силата на регламентите </w:t>
      </w:r>
      <w:r w:rsidRPr="000A042B">
        <w:rPr>
          <w:rFonts w:ascii="Arial" w:hAnsi="Arial" w:cs="Arial"/>
          <w:color w:val="000000"/>
          <w:sz w:val="28"/>
          <w:szCs w:val="28"/>
          <w:lang w:val="bg-BG" w:eastAsia="bg-BG"/>
        </w:rPr>
        <w:lastRenderedPageBreak/>
        <w:t xml:space="preserve">държавите членки да приемат национална уредба по ограничен кръг въпроси в условията на обвързана компетентност. </w:t>
      </w:r>
    </w:p>
    <w:p w14:paraId="3E368939" w14:textId="1F8ECFBF"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Съгласно чл. 12, параграф 3 държавите членки уведомяват Комисията за компетентния орган или органи, които биват публикувани от Комисията в </w:t>
      </w:r>
      <w:r w:rsidR="00657E85">
        <w:rPr>
          <w:rFonts w:ascii="Arial" w:hAnsi="Arial" w:cs="Arial"/>
          <w:color w:val="000000"/>
          <w:sz w:val="28"/>
          <w:szCs w:val="28"/>
          <w:lang w:val="bg-BG" w:eastAsia="bg-BG"/>
        </w:rPr>
        <w:t>„</w:t>
      </w:r>
      <w:r w:rsidRPr="000A042B">
        <w:rPr>
          <w:rFonts w:ascii="Arial" w:hAnsi="Arial" w:cs="Arial"/>
          <w:color w:val="000000"/>
          <w:sz w:val="28"/>
          <w:szCs w:val="28"/>
          <w:lang w:val="bg-BG" w:eastAsia="bg-BG"/>
        </w:rPr>
        <w:t>Официален вестник</w:t>
      </w:r>
      <w:r w:rsidR="00657E85">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и </w:t>
      </w:r>
      <w:r w:rsidR="00657E85">
        <w:rPr>
          <w:rFonts w:ascii="Arial" w:hAnsi="Arial" w:cs="Arial"/>
          <w:color w:val="000000"/>
          <w:sz w:val="28"/>
          <w:szCs w:val="28"/>
          <w:lang w:val="bg-BG" w:eastAsia="bg-BG"/>
        </w:rPr>
        <w:t xml:space="preserve">в </w:t>
      </w:r>
      <w:r w:rsidRPr="000A042B">
        <w:rPr>
          <w:rFonts w:ascii="Arial" w:hAnsi="Arial" w:cs="Arial"/>
          <w:color w:val="000000"/>
          <w:sz w:val="28"/>
          <w:szCs w:val="28"/>
          <w:lang w:val="bg-BG" w:eastAsia="bg-BG"/>
        </w:rPr>
        <w:t xml:space="preserve">онлайн регистър. В тази връзка се налага в ЗМВР да бъдат разписани конкретни разпоредби, в които изрично да се посочва, че Главна дирекция „Борба с организираната престъпност“ (ГДБОП) на МВР е национален орган и по смисъла на четирите букви от параграф 1 на чл. 12, т.е.: </w:t>
      </w:r>
    </w:p>
    <w:p w14:paraId="4D3B3349" w14:textId="19F1EC55"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а) за издаването на заповеди за премахване съгласно чл</w:t>
      </w:r>
      <w:r w:rsidR="00657E85">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3; </w:t>
      </w:r>
    </w:p>
    <w:p w14:paraId="732B60B7" w14:textId="446EC60C"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б) за проверяването на заповедите за премахване съгласно чл</w:t>
      </w:r>
      <w:r w:rsidR="00657E85">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4; </w:t>
      </w:r>
    </w:p>
    <w:p w14:paraId="622A4D95" w14:textId="61A66BE4"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в) за наблюдението на прилагането на конкретни мерки съгласно чл</w:t>
      </w:r>
      <w:r w:rsidR="00657E85">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5; </w:t>
      </w:r>
    </w:p>
    <w:p w14:paraId="0BEF25C6" w14:textId="4B0A1406"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г) за налагането на санкции съгласно чл</w:t>
      </w:r>
      <w:r w:rsidR="00657E85">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18. </w:t>
      </w:r>
    </w:p>
    <w:p w14:paraId="7088CBD5" w14:textId="28320AB3"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Законова уредба изисква също така правото на компетентния орган съгласно чл. 12, параграф 1, буква г</w:t>
      </w:r>
      <w:r w:rsidR="00413DF6">
        <w:rPr>
          <w:rFonts w:ascii="Arial" w:hAnsi="Arial" w:cs="Arial"/>
          <w:color w:val="000000"/>
          <w:sz w:val="28"/>
          <w:szCs w:val="28"/>
          <w:lang w:val="en-US" w:eastAsia="bg-BG"/>
        </w:rPr>
        <w:t>)</w:t>
      </w:r>
      <w:r w:rsidRPr="000A042B">
        <w:rPr>
          <w:rFonts w:ascii="Arial" w:hAnsi="Arial" w:cs="Arial"/>
          <w:color w:val="000000"/>
          <w:sz w:val="28"/>
          <w:szCs w:val="28"/>
          <w:lang w:val="bg-BG" w:eastAsia="bg-BG"/>
        </w:rPr>
        <w:t xml:space="preserve"> да налага санкции за доставчици на хостинг услуги </w:t>
      </w:r>
      <w:r w:rsidR="00657E85">
        <w:rPr>
          <w:rFonts w:ascii="Arial" w:hAnsi="Arial" w:cs="Arial"/>
          <w:color w:val="000000"/>
          <w:sz w:val="28"/>
          <w:szCs w:val="28"/>
          <w:lang w:val="bg-BG" w:eastAsia="bg-BG"/>
        </w:rPr>
        <w:t xml:space="preserve">при </w:t>
      </w:r>
      <w:r w:rsidRPr="000A042B">
        <w:rPr>
          <w:rFonts w:ascii="Arial" w:hAnsi="Arial" w:cs="Arial"/>
          <w:color w:val="000000"/>
          <w:sz w:val="28"/>
          <w:szCs w:val="28"/>
          <w:lang w:val="bg-BG" w:eastAsia="bg-BG"/>
        </w:rPr>
        <w:t xml:space="preserve">неспазване на задълженията им, съгласно чл. 18, които са подробно разписани в чл. 266а от проекта на ЗИДЗМВР. </w:t>
      </w:r>
    </w:p>
    <w:p w14:paraId="4B009F57" w14:textId="04D3C346"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Съгласно чл. 21 държавите членки събират от своите компетентни органи и от доставчиците на хостинг услуги информация, вкл</w:t>
      </w:r>
      <w:r w:rsidR="00F32A93">
        <w:rPr>
          <w:rFonts w:ascii="Arial" w:hAnsi="Arial" w:cs="Arial"/>
          <w:color w:val="000000"/>
          <w:sz w:val="28"/>
          <w:szCs w:val="28"/>
          <w:lang w:val="bg-BG" w:eastAsia="bg-BG"/>
        </w:rPr>
        <w:t>ючително</w:t>
      </w:r>
      <w:r w:rsidRPr="000A042B">
        <w:rPr>
          <w:rFonts w:ascii="Arial" w:hAnsi="Arial" w:cs="Arial"/>
          <w:color w:val="000000"/>
          <w:sz w:val="28"/>
          <w:szCs w:val="28"/>
          <w:lang w:val="bg-BG" w:eastAsia="bg-BG"/>
        </w:rPr>
        <w:t xml:space="preserve"> статистическа, за действията, предприети в съответствие с регламента през предходната календарна година. Тази информация се изпраща на Комисията до 31 март всяка година. В тази връзка е предвиден текст, в който да бъде разписан този ангажимент за ГДБОП, в качеството й на компетентен национален орган. </w:t>
      </w:r>
    </w:p>
    <w:p w14:paraId="71EDBB46" w14:textId="4AF6F480"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Регламент (ЕС) 2019/817 и Регламент (ЕС) 2019/818</w:t>
      </w:r>
      <w:r w:rsidR="00F32A93">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също имат пряко приложение в националното законодателство от съответните дати, които ще бъдат определени от Комисията във </w:t>
      </w:r>
      <w:r w:rsidRPr="000A042B">
        <w:rPr>
          <w:rFonts w:ascii="Arial" w:hAnsi="Arial" w:cs="Arial"/>
          <w:color w:val="000000"/>
          <w:sz w:val="28"/>
          <w:szCs w:val="28"/>
          <w:lang w:val="bg-BG" w:eastAsia="bg-BG"/>
        </w:rPr>
        <w:lastRenderedPageBreak/>
        <w:t xml:space="preserve">връзка с преходните периоди за въвеждане в експлоатация на техническите компоненти на информационните системи. </w:t>
      </w:r>
    </w:p>
    <w:p w14:paraId="48365122" w14:textId="3CA8F121"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За да бъде използван достъп</w:t>
      </w:r>
      <w:r w:rsidR="00D27AD4">
        <w:rPr>
          <w:rFonts w:ascii="Arial" w:hAnsi="Arial" w:cs="Arial"/>
          <w:color w:val="000000"/>
          <w:sz w:val="28"/>
          <w:szCs w:val="28"/>
          <w:lang w:val="bg-BG" w:eastAsia="bg-BG"/>
        </w:rPr>
        <w:t>ът</w:t>
      </w:r>
      <w:r w:rsidRPr="000A042B">
        <w:rPr>
          <w:rFonts w:ascii="Arial" w:hAnsi="Arial" w:cs="Arial"/>
          <w:color w:val="000000"/>
          <w:sz w:val="28"/>
          <w:szCs w:val="28"/>
          <w:lang w:val="bg-BG" w:eastAsia="bg-BG"/>
        </w:rPr>
        <w:t xml:space="preserve"> до ОХДС в съответствие с регламентите - чл. 20 от Регламент (ЕС) 2019/817 и чл. 20 от Регламент (ЕС) 2019/818</w:t>
      </w:r>
      <w:r w:rsidR="00D27AD4">
        <w:rPr>
          <w:rFonts w:ascii="Arial" w:hAnsi="Arial" w:cs="Arial"/>
          <w:color w:val="000000"/>
          <w:sz w:val="28"/>
          <w:szCs w:val="28"/>
          <w:lang w:val="bg-BG" w:eastAsia="bg-BG"/>
        </w:rPr>
        <w:t>,</w:t>
      </w:r>
      <w:r w:rsidRPr="000A042B">
        <w:rPr>
          <w:rFonts w:ascii="Arial" w:hAnsi="Arial" w:cs="Arial"/>
          <w:color w:val="000000"/>
          <w:sz w:val="28"/>
          <w:szCs w:val="28"/>
          <w:lang w:val="bg-BG" w:eastAsia="bg-BG"/>
        </w:rPr>
        <w:t xml:space="preserve"> е необходимо специално овластяване от националното законодателство. </w:t>
      </w:r>
    </w:p>
    <w:p w14:paraId="66D363FC" w14:textId="77777777"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В тази насока, със законопроекта се предлага допълване на полицейските правомощия по чл. 71 от ЗМВР във връзка с действията по идентификация и установяване на самоличността на лицата. </w:t>
      </w:r>
    </w:p>
    <w:p w14:paraId="56AFA432" w14:textId="3087CDFE"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 xml:space="preserve">Директива (ЕС) 2023/977 относно обмена на информация между правоприлагащите органи на държавите членки </w:t>
      </w:r>
      <w:r w:rsidR="00D27AD4">
        <w:rPr>
          <w:rFonts w:ascii="Arial" w:hAnsi="Arial" w:cs="Arial"/>
          <w:color w:val="000000"/>
          <w:sz w:val="28"/>
          <w:szCs w:val="28"/>
          <w:lang w:val="bg-BG" w:eastAsia="bg-BG"/>
        </w:rPr>
        <w:t>(</w:t>
      </w:r>
      <w:r w:rsidR="00F32A93">
        <w:rPr>
          <w:rFonts w:ascii="Arial" w:hAnsi="Arial" w:cs="Arial"/>
          <w:color w:val="000000"/>
          <w:sz w:val="28"/>
          <w:szCs w:val="28"/>
          <w:lang w:val="bg-BG" w:eastAsia="bg-BG"/>
        </w:rPr>
        <w:t>Директива</w:t>
      </w:r>
      <w:r w:rsidR="00D27AD4">
        <w:rPr>
          <w:rFonts w:ascii="Arial" w:hAnsi="Arial" w:cs="Arial"/>
          <w:color w:val="000000"/>
          <w:sz w:val="28"/>
          <w:szCs w:val="28"/>
          <w:lang w:val="bg-BG" w:eastAsia="bg-BG"/>
        </w:rPr>
        <w:t>та)</w:t>
      </w:r>
      <w:r w:rsidR="00F32A93">
        <w:rPr>
          <w:rFonts w:ascii="Arial" w:hAnsi="Arial" w:cs="Arial"/>
          <w:color w:val="000000"/>
          <w:sz w:val="28"/>
          <w:szCs w:val="28"/>
          <w:lang w:val="bg-BG" w:eastAsia="bg-BG"/>
        </w:rPr>
        <w:t xml:space="preserve"> </w:t>
      </w:r>
      <w:r w:rsidRPr="000A042B">
        <w:rPr>
          <w:rFonts w:ascii="Arial" w:hAnsi="Arial" w:cs="Arial"/>
          <w:color w:val="000000"/>
          <w:sz w:val="28"/>
          <w:szCs w:val="28"/>
          <w:lang w:val="bg-BG" w:eastAsia="bg-BG"/>
        </w:rPr>
        <w:t>и за отмяна на Рамково решение 2006/960/ПВР на Съвета представя нови актуализирани правила, които следва да бъдат въведени чрез съответни изменения и допълнения в законовата уредба. За съответствието на законовите разпоредби с Директивата е изготвена сравнителна таблица.</w:t>
      </w:r>
    </w:p>
    <w:p w14:paraId="2B3AF05A" w14:textId="083EA200" w:rsidR="000A042B" w:rsidRPr="000A042B" w:rsidRDefault="000A042B" w:rsidP="000A042B">
      <w:pPr>
        <w:spacing w:before="120" w:line="288" w:lineRule="auto"/>
        <w:ind w:firstLine="1134"/>
        <w:jc w:val="both"/>
        <w:rPr>
          <w:rFonts w:ascii="Arial" w:hAnsi="Arial" w:cs="Arial"/>
          <w:color w:val="000000"/>
          <w:sz w:val="28"/>
          <w:szCs w:val="28"/>
          <w:lang w:val="bg-BG" w:eastAsia="bg-BG"/>
        </w:rPr>
      </w:pPr>
      <w:r w:rsidRPr="000A042B">
        <w:rPr>
          <w:rFonts w:ascii="Arial" w:hAnsi="Arial" w:cs="Arial"/>
          <w:color w:val="000000"/>
          <w:sz w:val="28"/>
          <w:szCs w:val="28"/>
          <w:lang w:val="bg-BG" w:eastAsia="bg-BG"/>
        </w:rPr>
        <w:t>Директива (ЕС) 2019/1158 е въведена в общото трудово законодателство със Закона за изменение и допълнение на Кодекса на труда (ДВ, бр. 62 от 2022 г.) и съобразяването на ЗМВР с вече приетата уредба не налага изготвянето на таблица за съответствие с правото на Европейския съюз.</w:t>
      </w:r>
    </w:p>
    <w:p w14:paraId="289C6048" w14:textId="77777777" w:rsidR="00AD087A" w:rsidRDefault="00AD087A"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59CD4D48" w14:textId="77777777" w:rsidR="00A67E7B" w:rsidRDefault="00A67E7B"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00866074" w14:textId="77777777" w:rsidR="00A67E7B" w:rsidRDefault="00A67E7B"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2A1025E5" w14:textId="77777777" w:rsidR="00A67E7B" w:rsidRPr="00A67E7B" w:rsidRDefault="00A67E7B"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1226746A" w14:textId="77777777" w:rsidR="00AD087A" w:rsidRPr="00A67E7B" w:rsidRDefault="00AD087A"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684CBA35" w14:textId="0041D219" w:rsidR="00AD087A" w:rsidRPr="003C1D16" w:rsidRDefault="003C1D16" w:rsidP="00A67E7B">
      <w:pPr>
        <w:pStyle w:val="ListParagraph"/>
        <w:tabs>
          <w:tab w:val="left" w:pos="709"/>
          <w:tab w:val="left" w:pos="851"/>
        </w:tabs>
        <w:spacing w:after="0" w:line="240" w:lineRule="auto"/>
        <w:ind w:left="0" w:firstLine="1134"/>
        <w:jc w:val="both"/>
        <w:rPr>
          <w:rFonts w:ascii="Times New Roman" w:hAnsi="Times New Roman"/>
          <w:b/>
          <w:sz w:val="24"/>
          <w:szCs w:val="24"/>
        </w:rPr>
      </w:pPr>
      <w:r w:rsidRPr="003C1D16">
        <w:rPr>
          <w:rFonts w:ascii="Times New Roman" w:hAnsi="Times New Roman"/>
          <w:b/>
          <w:sz w:val="24"/>
          <w:szCs w:val="24"/>
        </w:rPr>
        <w:t>АНДРЕЙ ГЮРОВ</w:t>
      </w:r>
    </w:p>
    <w:p w14:paraId="629069D4" w14:textId="3940AAE7" w:rsidR="00AD087A" w:rsidRPr="00BE6EE5" w:rsidRDefault="00AD087A" w:rsidP="004B4A70">
      <w:pPr>
        <w:tabs>
          <w:tab w:val="left" w:pos="1790"/>
        </w:tabs>
        <w:ind w:left="1134"/>
        <w:rPr>
          <w:rFonts w:ascii="Times New Roman" w:hAnsi="Times New Roman"/>
          <w:b/>
          <w:szCs w:val="24"/>
          <w:lang w:val="bg-BG"/>
        </w:rPr>
      </w:pPr>
      <w:bookmarkStart w:id="0" w:name="_Hlk92799938"/>
      <w:r w:rsidRPr="00A67E7B">
        <w:rPr>
          <w:rFonts w:ascii="Times New Roman" w:hAnsi="Times New Roman"/>
          <w:b/>
          <w:szCs w:val="24"/>
        </w:rPr>
        <w:t>МИНИСТЪР-ПРЕДСЕДАТЕЛ</w:t>
      </w:r>
      <w:r w:rsidR="00BE6EE5">
        <w:rPr>
          <w:rFonts w:ascii="Times New Roman" w:hAnsi="Times New Roman"/>
          <w:b/>
          <w:szCs w:val="24"/>
          <w:lang w:val="bg-BG"/>
        </w:rPr>
        <w:t>:</w:t>
      </w:r>
    </w:p>
    <w:bookmarkEnd w:id="0"/>
    <w:p w14:paraId="5938DD67" w14:textId="73532DC8" w:rsidR="00AD087A" w:rsidRPr="00FF6D91" w:rsidRDefault="00EA281E" w:rsidP="004B4A70">
      <w:pPr>
        <w:tabs>
          <w:tab w:val="left" w:pos="1790"/>
        </w:tabs>
        <w:jc w:val="right"/>
        <w:rPr>
          <w:rFonts w:ascii="Times New Roman" w:hAnsi="Times New Roman"/>
          <w:szCs w:val="24"/>
        </w:rPr>
      </w:pPr>
      <w:r>
        <w:rPr>
          <w:rFonts w:ascii="Times New Roman" w:hAnsi="Times New Roman"/>
          <w:szCs w:val="24"/>
        </w:rPr>
        <w:pict w14:anchorId="4D88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8pt;height:96.2pt">
            <v:imagedata r:id="rId7" o:title=""/>
            <o:lock v:ext="edit" ungrouping="t" rotation="t" cropping="t" verticies="t" text="t" grouping="t"/>
            <o:signatureline v:ext="edit" id="{816E61CD-A9F0-436B-A566-7BBA946E27C3}" provid="{00000000-0000-0000-0000-000000000000}" issignatureline="t"/>
          </v:shape>
        </w:pict>
      </w:r>
    </w:p>
    <w:sectPr w:rsidR="00AD087A" w:rsidRPr="00FF6D91"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5D28" w14:textId="77777777" w:rsidR="005E4347" w:rsidRDefault="005E4347">
      <w:r>
        <w:separator/>
      </w:r>
    </w:p>
  </w:endnote>
  <w:endnote w:type="continuationSeparator" w:id="0">
    <w:p w14:paraId="2815C53D" w14:textId="77777777" w:rsidR="005E4347" w:rsidRDefault="005E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bar">
    <w:altName w:val="Bahnschrift Light"/>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77BC" w14:textId="14AC0541" w:rsidR="00AD087A" w:rsidRPr="00A67E7B" w:rsidRDefault="003C1D16" w:rsidP="0052153C">
    <w:pPr>
      <w:jc w:val="right"/>
      <w:rPr>
        <w:rFonts w:ascii="Times New Roman" w:hAnsi="Times New Roman"/>
        <w:caps/>
        <w:sz w:val="16"/>
        <w:szCs w:val="16"/>
        <w:lang w:val="ru-RU"/>
      </w:rPr>
    </w:pPr>
    <w:fldSimple w:instr=" FILENAME  \* MERGEFORMAT ">
      <w:r w:rsidR="006813EE" w:rsidRPr="006813EE">
        <w:rPr>
          <w:rFonts w:ascii="Times New Roman" w:hAnsi="Times New Roman"/>
          <w:caps/>
          <w:noProof/>
          <w:sz w:val="16"/>
          <w:szCs w:val="16"/>
          <w:lang w:val="ru-RU"/>
        </w:rPr>
        <w:t>VA-</w:t>
      </w:r>
      <w:r w:rsidR="006813EE" w:rsidRPr="006813EE">
        <w:rPr>
          <w:rFonts w:ascii="Times New Roman" w:hAnsi="Times New Roman" w:hint="eastAsia"/>
          <w:caps/>
          <w:noProof/>
          <w:sz w:val="16"/>
          <w:szCs w:val="16"/>
          <w:lang w:val="ru-RU"/>
        </w:rPr>
        <w:t>МОТИВИ</w:t>
      </w:r>
      <w:r w:rsidR="006813EE" w:rsidRPr="006813EE">
        <w:rPr>
          <w:rFonts w:ascii="Times New Roman" w:hAnsi="Times New Roman"/>
          <w:caps/>
          <w:noProof/>
          <w:sz w:val="16"/>
          <w:szCs w:val="16"/>
          <w:lang w:val="ru-RU"/>
        </w:rPr>
        <w:t>-.docx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723E" w14:textId="3D601323" w:rsidR="00AD087A" w:rsidRPr="00A67E7B" w:rsidRDefault="003C1D16" w:rsidP="0052153C">
    <w:pPr>
      <w:jc w:val="right"/>
      <w:rPr>
        <w:rFonts w:ascii="Times New Roman" w:hAnsi="Times New Roman"/>
        <w:caps/>
        <w:sz w:val="16"/>
        <w:szCs w:val="16"/>
        <w:lang w:val="ru-RU"/>
      </w:rPr>
    </w:pPr>
    <w:fldSimple w:instr=" FILENAME  \* MERGEFORMAT ">
      <w:r w:rsidR="006813EE" w:rsidRPr="006813EE">
        <w:rPr>
          <w:rFonts w:ascii="Times New Roman" w:hAnsi="Times New Roman"/>
          <w:caps/>
          <w:noProof/>
          <w:sz w:val="16"/>
          <w:szCs w:val="16"/>
          <w:lang w:val="ru-RU"/>
        </w:rPr>
        <w:t>VA-</w:t>
      </w:r>
      <w:r w:rsidR="006813EE" w:rsidRPr="006813EE">
        <w:rPr>
          <w:rFonts w:ascii="Times New Roman" w:hAnsi="Times New Roman" w:hint="eastAsia"/>
          <w:caps/>
          <w:noProof/>
          <w:sz w:val="16"/>
          <w:szCs w:val="16"/>
          <w:lang w:val="ru-RU"/>
        </w:rPr>
        <w:t>МОТИВИ</w:t>
      </w:r>
      <w:r w:rsidR="006813EE" w:rsidRPr="006813EE">
        <w:rPr>
          <w:rFonts w:ascii="Times New Roman" w:hAnsi="Times New Roman"/>
          <w:caps/>
          <w:noProof/>
          <w:sz w:val="16"/>
          <w:szCs w:val="16"/>
          <w:lang w:val="ru-RU"/>
        </w:rPr>
        <w:t>-.docx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C886" w14:textId="77777777" w:rsidR="005E4347" w:rsidRDefault="005E4347">
      <w:r>
        <w:separator/>
      </w:r>
    </w:p>
  </w:footnote>
  <w:footnote w:type="continuationSeparator" w:id="0">
    <w:p w14:paraId="340DE3DE" w14:textId="77777777" w:rsidR="005E4347" w:rsidRDefault="005E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FC9"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37FF0"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8375" w14:textId="77777777" w:rsidR="00AD087A" w:rsidRPr="00A67E7B" w:rsidRDefault="00AD087A">
    <w:pPr>
      <w:pStyle w:val="Header"/>
      <w:framePr w:wrap="around" w:vAnchor="text" w:hAnchor="margin" w:xAlign="center" w:y="1"/>
      <w:rPr>
        <w:rStyle w:val="PageNumber"/>
        <w:rFonts w:ascii="Times New Roman" w:hAnsi="Times New Roman"/>
      </w:rPr>
    </w:pPr>
    <w:r w:rsidRPr="00A67E7B">
      <w:rPr>
        <w:rStyle w:val="PageNumber"/>
        <w:rFonts w:ascii="Times New Roman" w:hAnsi="Times New Roman"/>
      </w:rPr>
      <w:fldChar w:fldCharType="begin"/>
    </w:r>
    <w:r w:rsidRPr="00A67E7B">
      <w:rPr>
        <w:rStyle w:val="PageNumber"/>
        <w:rFonts w:ascii="Times New Roman" w:hAnsi="Times New Roman"/>
      </w:rPr>
      <w:instrText xml:space="preserve">PAGE  </w:instrText>
    </w:r>
    <w:r w:rsidRPr="00A67E7B">
      <w:rPr>
        <w:rStyle w:val="PageNumber"/>
        <w:rFonts w:ascii="Times New Roman" w:hAnsi="Times New Roman"/>
      </w:rPr>
      <w:fldChar w:fldCharType="separate"/>
    </w:r>
    <w:r w:rsidRPr="00A67E7B">
      <w:rPr>
        <w:rStyle w:val="PageNumber"/>
        <w:rFonts w:ascii="Times New Roman" w:hAnsi="Times New Roman"/>
        <w:noProof/>
      </w:rPr>
      <w:t>2</w:t>
    </w:r>
    <w:r w:rsidRPr="00A67E7B">
      <w:rPr>
        <w:rStyle w:val="PageNumber"/>
        <w:rFonts w:ascii="Times New Roman" w:hAnsi="Times New Roman"/>
      </w:rPr>
      <w:fldChar w:fldCharType="end"/>
    </w:r>
  </w:p>
  <w:p w14:paraId="4D6FECFB" w14:textId="77777777" w:rsidR="00AD087A" w:rsidRPr="00A67E7B" w:rsidRDefault="00AD087A">
    <w:pPr>
      <w:pStyle w:val="Header"/>
      <w:rPr>
        <w:rFonts w:ascii="Times New Roman" w:hAnsi="Times New Roman"/>
        <w:lang w:val="bg-BG"/>
      </w:rPr>
    </w:pPr>
  </w:p>
  <w:p w14:paraId="7B1B0B01"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94D6588"/>
    <w:multiLevelType w:val="hybridMultilevel"/>
    <w:tmpl w:val="A1606D94"/>
    <w:lvl w:ilvl="0" w:tplc="3796E1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1404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400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7487D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A4C6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EB33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96578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24C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E6D0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3D09544D"/>
    <w:multiLevelType w:val="multilevel"/>
    <w:tmpl w:val="375E85AA"/>
    <w:lvl w:ilvl="0">
      <w:start w:val="2"/>
      <w:numFmt w:val="decimal"/>
      <w:lvlText w:val="%1."/>
      <w:lvlJc w:val="left"/>
      <w:pPr>
        <w:ind w:left="933"/>
      </w:pPr>
      <w:rPr>
        <w:rFonts w:ascii="Arial" w:eastAsia="Times New Roman" w:hAnsi="Arial" w:cs="Arial" w:hint="default"/>
        <w:b w:val="0"/>
        <w:bCs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13"/>
      </w:pPr>
      <w:rPr>
        <w:rFonts w:ascii="Arial" w:eastAsia="Times New Roman" w:hAnsi="Arial" w:cs="Arial" w:hint="default"/>
        <w:b w:val="0"/>
        <w:bCs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7" w15:restartNumberingAfterBreak="0">
    <w:nsid w:val="57703B21"/>
    <w:multiLevelType w:val="hybridMultilevel"/>
    <w:tmpl w:val="C7D6E11E"/>
    <w:lvl w:ilvl="0" w:tplc="D05A8EFE">
      <w:start w:val="1"/>
      <w:numFmt w:val="decimal"/>
      <w:lvlText w:val="%1."/>
      <w:lvlJc w:val="left"/>
      <w:pPr>
        <w:ind w:left="933"/>
      </w:pPr>
      <w:rPr>
        <w:rFonts w:ascii="Arial" w:eastAsia="Times New Roman" w:hAnsi="Arial" w:cs="Arial" w:hint="default"/>
        <w:b w:val="0"/>
        <w:bCs w:val="0"/>
        <w:i w:val="0"/>
        <w:strike w:val="0"/>
        <w:dstrike w:val="0"/>
        <w:color w:val="000000"/>
        <w:sz w:val="28"/>
        <w:szCs w:val="28"/>
        <w:u w:val="none"/>
        <w:bdr w:val="none" w:sz="0" w:space="0" w:color="auto"/>
        <w:shd w:val="clear" w:color="auto" w:fill="auto"/>
        <w:vertAlign w:val="baseline"/>
      </w:rPr>
    </w:lvl>
    <w:lvl w:ilvl="1" w:tplc="13983008">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FEC805F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274C12F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BF3E1DC0">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B42EFCD8">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AC6C2B02">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5E4E6216">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86108E5E">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8" w15:restartNumberingAfterBreak="0">
    <w:nsid w:val="5E714CC8"/>
    <w:multiLevelType w:val="hybridMultilevel"/>
    <w:tmpl w:val="DEA89436"/>
    <w:lvl w:ilvl="0" w:tplc="5E06AA18">
      <w:start w:val="4"/>
      <w:numFmt w:val="decimal"/>
      <w:lvlText w:val="%1."/>
      <w:lvlJc w:val="left"/>
      <w:pPr>
        <w:ind w:left="933"/>
      </w:pPr>
      <w:rPr>
        <w:rFonts w:ascii="Arial" w:eastAsia="Times New Roman" w:hAnsi="Arial" w:cs="Arial" w:hint="default"/>
        <w:b w:val="0"/>
        <w:bCs w:val="0"/>
        <w:i w:val="0"/>
        <w:strike w:val="0"/>
        <w:dstrike w:val="0"/>
        <w:color w:val="000000"/>
        <w:sz w:val="28"/>
        <w:szCs w:val="28"/>
        <w:u w:val="none" w:color="000000"/>
        <w:bdr w:val="none" w:sz="0" w:space="0" w:color="auto"/>
        <w:shd w:val="clear" w:color="auto" w:fill="auto"/>
        <w:vertAlign w:val="baseline"/>
      </w:rPr>
    </w:lvl>
    <w:lvl w:ilvl="1" w:tplc="499A1550">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8A74C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ECD462">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1E496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3CF856">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3015C0">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5C61B6">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EC6398">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abstractNum w:abstractNumId="10" w15:restartNumberingAfterBreak="0">
    <w:nsid w:val="766E21F6"/>
    <w:multiLevelType w:val="multilevel"/>
    <w:tmpl w:val="B7EA2E7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Arial" w:eastAsia="Times New Roman" w:hAnsi="Arial" w:cs="Arial"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03450270">
    <w:abstractNumId w:val="6"/>
  </w:num>
  <w:num w:numId="2" w16cid:durableId="1518542976">
    <w:abstractNumId w:val="3"/>
  </w:num>
  <w:num w:numId="3" w16cid:durableId="41105145">
    <w:abstractNumId w:val="0"/>
  </w:num>
  <w:num w:numId="4" w16cid:durableId="1565724158">
    <w:abstractNumId w:val="2"/>
  </w:num>
  <w:num w:numId="5" w16cid:durableId="1570577068">
    <w:abstractNumId w:val="9"/>
  </w:num>
  <w:num w:numId="6" w16cid:durableId="1222248790">
    <w:abstractNumId w:val="5"/>
  </w:num>
  <w:num w:numId="7" w16cid:durableId="1980071930">
    <w:abstractNumId w:val="7"/>
  </w:num>
  <w:num w:numId="8" w16cid:durableId="1631665428">
    <w:abstractNumId w:val="1"/>
  </w:num>
  <w:num w:numId="9" w16cid:durableId="16346720">
    <w:abstractNumId w:val="10"/>
  </w:num>
  <w:num w:numId="10" w16cid:durableId="1901282315">
    <w:abstractNumId w:val="4"/>
  </w:num>
  <w:num w:numId="11" w16cid:durableId="1022048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07415"/>
    <w:rsid w:val="000172E4"/>
    <w:rsid w:val="00027D98"/>
    <w:rsid w:val="00040404"/>
    <w:rsid w:val="00046F7D"/>
    <w:rsid w:val="00050D9F"/>
    <w:rsid w:val="00055E5C"/>
    <w:rsid w:val="0006233E"/>
    <w:rsid w:val="00065B09"/>
    <w:rsid w:val="0006697F"/>
    <w:rsid w:val="0006731A"/>
    <w:rsid w:val="00076940"/>
    <w:rsid w:val="00080705"/>
    <w:rsid w:val="000A042B"/>
    <w:rsid w:val="000A7804"/>
    <w:rsid w:val="000B3D48"/>
    <w:rsid w:val="000B3F5C"/>
    <w:rsid w:val="000C37AD"/>
    <w:rsid w:val="000E1E33"/>
    <w:rsid w:val="000F4878"/>
    <w:rsid w:val="000F6735"/>
    <w:rsid w:val="00101719"/>
    <w:rsid w:val="001019D1"/>
    <w:rsid w:val="0011488D"/>
    <w:rsid w:val="00114EA5"/>
    <w:rsid w:val="00147990"/>
    <w:rsid w:val="00152482"/>
    <w:rsid w:val="00165ECF"/>
    <w:rsid w:val="001902BA"/>
    <w:rsid w:val="001B21EF"/>
    <w:rsid w:val="001B311D"/>
    <w:rsid w:val="001C1AA5"/>
    <w:rsid w:val="001C27B2"/>
    <w:rsid w:val="001C623C"/>
    <w:rsid w:val="001C765C"/>
    <w:rsid w:val="001C7C50"/>
    <w:rsid w:val="001D2797"/>
    <w:rsid w:val="001F0C5E"/>
    <w:rsid w:val="001F109F"/>
    <w:rsid w:val="00200362"/>
    <w:rsid w:val="00214940"/>
    <w:rsid w:val="00216BB5"/>
    <w:rsid w:val="00220791"/>
    <w:rsid w:val="00224F7F"/>
    <w:rsid w:val="00234F17"/>
    <w:rsid w:val="002469B9"/>
    <w:rsid w:val="00251D6E"/>
    <w:rsid w:val="002553AB"/>
    <w:rsid w:val="00255B7D"/>
    <w:rsid w:val="00263307"/>
    <w:rsid w:val="00264269"/>
    <w:rsid w:val="002743E4"/>
    <w:rsid w:val="002805FB"/>
    <w:rsid w:val="00287754"/>
    <w:rsid w:val="002C0227"/>
    <w:rsid w:val="002C08C4"/>
    <w:rsid w:val="002C287B"/>
    <w:rsid w:val="002C6AFA"/>
    <w:rsid w:val="002C73BE"/>
    <w:rsid w:val="002D76CB"/>
    <w:rsid w:val="002E08B6"/>
    <w:rsid w:val="00307C98"/>
    <w:rsid w:val="003160E8"/>
    <w:rsid w:val="00322981"/>
    <w:rsid w:val="00327C7B"/>
    <w:rsid w:val="00357B65"/>
    <w:rsid w:val="00361393"/>
    <w:rsid w:val="003902BB"/>
    <w:rsid w:val="003A24FF"/>
    <w:rsid w:val="003A2A0D"/>
    <w:rsid w:val="003A6F92"/>
    <w:rsid w:val="003B1FC8"/>
    <w:rsid w:val="003B62B1"/>
    <w:rsid w:val="003C02E9"/>
    <w:rsid w:val="003C1D16"/>
    <w:rsid w:val="003C496A"/>
    <w:rsid w:val="003D6EE4"/>
    <w:rsid w:val="003E7755"/>
    <w:rsid w:val="003E7829"/>
    <w:rsid w:val="00404A6A"/>
    <w:rsid w:val="00406D09"/>
    <w:rsid w:val="00410B81"/>
    <w:rsid w:val="00413DF6"/>
    <w:rsid w:val="00416062"/>
    <w:rsid w:val="0042458D"/>
    <w:rsid w:val="0043009C"/>
    <w:rsid w:val="004343CF"/>
    <w:rsid w:val="00435CCA"/>
    <w:rsid w:val="004405FE"/>
    <w:rsid w:val="00446581"/>
    <w:rsid w:val="00464EE6"/>
    <w:rsid w:val="00470907"/>
    <w:rsid w:val="00487D19"/>
    <w:rsid w:val="00490227"/>
    <w:rsid w:val="004945E7"/>
    <w:rsid w:val="004B14EC"/>
    <w:rsid w:val="004B4A70"/>
    <w:rsid w:val="004B5B01"/>
    <w:rsid w:val="004C4EC3"/>
    <w:rsid w:val="004C5C6C"/>
    <w:rsid w:val="005033E0"/>
    <w:rsid w:val="005075C6"/>
    <w:rsid w:val="005202D7"/>
    <w:rsid w:val="0052153C"/>
    <w:rsid w:val="00524A62"/>
    <w:rsid w:val="005321AB"/>
    <w:rsid w:val="00532B63"/>
    <w:rsid w:val="005374EB"/>
    <w:rsid w:val="00543CA4"/>
    <w:rsid w:val="00544B67"/>
    <w:rsid w:val="005503AA"/>
    <w:rsid w:val="00557EA5"/>
    <w:rsid w:val="0058543A"/>
    <w:rsid w:val="00590DC5"/>
    <w:rsid w:val="005B7B97"/>
    <w:rsid w:val="005E23BB"/>
    <w:rsid w:val="005E2FAA"/>
    <w:rsid w:val="005E4347"/>
    <w:rsid w:val="00601E7F"/>
    <w:rsid w:val="006112DA"/>
    <w:rsid w:val="006126B0"/>
    <w:rsid w:val="00613152"/>
    <w:rsid w:val="006260C6"/>
    <w:rsid w:val="0063603D"/>
    <w:rsid w:val="006374F1"/>
    <w:rsid w:val="00657E85"/>
    <w:rsid w:val="00680C33"/>
    <w:rsid w:val="006813EE"/>
    <w:rsid w:val="00695542"/>
    <w:rsid w:val="006B00F2"/>
    <w:rsid w:val="006C500F"/>
    <w:rsid w:val="006D149C"/>
    <w:rsid w:val="006D7DBF"/>
    <w:rsid w:val="006E20E3"/>
    <w:rsid w:val="006E7E73"/>
    <w:rsid w:val="006F151B"/>
    <w:rsid w:val="006F4CBD"/>
    <w:rsid w:val="007006FE"/>
    <w:rsid w:val="0071097D"/>
    <w:rsid w:val="007216A1"/>
    <w:rsid w:val="00737F39"/>
    <w:rsid w:val="00755C2D"/>
    <w:rsid w:val="0077303C"/>
    <w:rsid w:val="00775FF6"/>
    <w:rsid w:val="00791C0B"/>
    <w:rsid w:val="007C0969"/>
    <w:rsid w:val="007D0119"/>
    <w:rsid w:val="007E5BD8"/>
    <w:rsid w:val="007F2214"/>
    <w:rsid w:val="00801C3F"/>
    <w:rsid w:val="00803ADB"/>
    <w:rsid w:val="00804255"/>
    <w:rsid w:val="0083405F"/>
    <w:rsid w:val="008424E0"/>
    <w:rsid w:val="008464CC"/>
    <w:rsid w:val="0087096A"/>
    <w:rsid w:val="00874595"/>
    <w:rsid w:val="00881B55"/>
    <w:rsid w:val="008A019C"/>
    <w:rsid w:val="008A0F64"/>
    <w:rsid w:val="008A581D"/>
    <w:rsid w:val="008B02D8"/>
    <w:rsid w:val="008C11C0"/>
    <w:rsid w:val="008E1559"/>
    <w:rsid w:val="008F293A"/>
    <w:rsid w:val="008F7AE5"/>
    <w:rsid w:val="00904DD3"/>
    <w:rsid w:val="00905B61"/>
    <w:rsid w:val="00916222"/>
    <w:rsid w:val="009214E6"/>
    <w:rsid w:val="00932CF8"/>
    <w:rsid w:val="00945FDD"/>
    <w:rsid w:val="0098231F"/>
    <w:rsid w:val="0099021C"/>
    <w:rsid w:val="00990366"/>
    <w:rsid w:val="00994D64"/>
    <w:rsid w:val="009B2C89"/>
    <w:rsid w:val="009B4B81"/>
    <w:rsid w:val="009B68B3"/>
    <w:rsid w:val="009B76A3"/>
    <w:rsid w:val="009D21FD"/>
    <w:rsid w:val="009D7025"/>
    <w:rsid w:val="00A018E4"/>
    <w:rsid w:val="00A02A74"/>
    <w:rsid w:val="00A1054D"/>
    <w:rsid w:val="00A124B9"/>
    <w:rsid w:val="00A14E68"/>
    <w:rsid w:val="00A20C62"/>
    <w:rsid w:val="00A25CC8"/>
    <w:rsid w:val="00A27685"/>
    <w:rsid w:val="00A31E3E"/>
    <w:rsid w:val="00A34F2C"/>
    <w:rsid w:val="00A52257"/>
    <w:rsid w:val="00A57A93"/>
    <w:rsid w:val="00A6158C"/>
    <w:rsid w:val="00A67E7B"/>
    <w:rsid w:val="00A83BB6"/>
    <w:rsid w:val="00A92287"/>
    <w:rsid w:val="00A93DD8"/>
    <w:rsid w:val="00A94298"/>
    <w:rsid w:val="00A94FB3"/>
    <w:rsid w:val="00A95806"/>
    <w:rsid w:val="00A97573"/>
    <w:rsid w:val="00AA1688"/>
    <w:rsid w:val="00AB2D4B"/>
    <w:rsid w:val="00AD087A"/>
    <w:rsid w:val="00AD3749"/>
    <w:rsid w:val="00AF2C6E"/>
    <w:rsid w:val="00B03B72"/>
    <w:rsid w:val="00B10EA3"/>
    <w:rsid w:val="00B1430E"/>
    <w:rsid w:val="00B40CD9"/>
    <w:rsid w:val="00B77163"/>
    <w:rsid w:val="00BB0346"/>
    <w:rsid w:val="00BB0613"/>
    <w:rsid w:val="00BB0DFF"/>
    <w:rsid w:val="00BB1768"/>
    <w:rsid w:val="00BB253E"/>
    <w:rsid w:val="00BB33F7"/>
    <w:rsid w:val="00BB4014"/>
    <w:rsid w:val="00BC287C"/>
    <w:rsid w:val="00BE4C60"/>
    <w:rsid w:val="00BE6590"/>
    <w:rsid w:val="00BE6EE5"/>
    <w:rsid w:val="00C05E74"/>
    <w:rsid w:val="00C11F14"/>
    <w:rsid w:val="00C213CB"/>
    <w:rsid w:val="00C459B8"/>
    <w:rsid w:val="00C46C29"/>
    <w:rsid w:val="00C5560E"/>
    <w:rsid w:val="00C65583"/>
    <w:rsid w:val="00C94123"/>
    <w:rsid w:val="00CA3F1E"/>
    <w:rsid w:val="00CB73D9"/>
    <w:rsid w:val="00CC4E18"/>
    <w:rsid w:val="00CE3631"/>
    <w:rsid w:val="00CF4BBF"/>
    <w:rsid w:val="00CF73BF"/>
    <w:rsid w:val="00D013AB"/>
    <w:rsid w:val="00D1528B"/>
    <w:rsid w:val="00D26731"/>
    <w:rsid w:val="00D27AD4"/>
    <w:rsid w:val="00D34F63"/>
    <w:rsid w:val="00D45791"/>
    <w:rsid w:val="00D573B1"/>
    <w:rsid w:val="00D71501"/>
    <w:rsid w:val="00D80E80"/>
    <w:rsid w:val="00D86E39"/>
    <w:rsid w:val="00D92A8F"/>
    <w:rsid w:val="00D9679C"/>
    <w:rsid w:val="00DC6199"/>
    <w:rsid w:val="00DE1005"/>
    <w:rsid w:val="00DE2D91"/>
    <w:rsid w:val="00DF29A2"/>
    <w:rsid w:val="00E01A69"/>
    <w:rsid w:val="00E07AEE"/>
    <w:rsid w:val="00E17DBD"/>
    <w:rsid w:val="00E27B98"/>
    <w:rsid w:val="00E50D2E"/>
    <w:rsid w:val="00E522CC"/>
    <w:rsid w:val="00E522E9"/>
    <w:rsid w:val="00E5592E"/>
    <w:rsid w:val="00E70618"/>
    <w:rsid w:val="00E713F3"/>
    <w:rsid w:val="00E717E1"/>
    <w:rsid w:val="00E97846"/>
    <w:rsid w:val="00EA281E"/>
    <w:rsid w:val="00EB0E3F"/>
    <w:rsid w:val="00EB0E71"/>
    <w:rsid w:val="00EC3B52"/>
    <w:rsid w:val="00EC40B3"/>
    <w:rsid w:val="00EC5548"/>
    <w:rsid w:val="00ED238C"/>
    <w:rsid w:val="00ED4BAB"/>
    <w:rsid w:val="00EE492F"/>
    <w:rsid w:val="00EE7D4F"/>
    <w:rsid w:val="00F06AAB"/>
    <w:rsid w:val="00F100BC"/>
    <w:rsid w:val="00F141DB"/>
    <w:rsid w:val="00F24630"/>
    <w:rsid w:val="00F32A93"/>
    <w:rsid w:val="00F41459"/>
    <w:rsid w:val="00F44114"/>
    <w:rsid w:val="00F60BBC"/>
    <w:rsid w:val="00F90BFF"/>
    <w:rsid w:val="00F9263A"/>
    <w:rsid w:val="00FA009F"/>
    <w:rsid w:val="00FA1216"/>
    <w:rsid w:val="00FD07EB"/>
    <w:rsid w:val="00FD5C41"/>
    <w:rsid w:val="00FE302E"/>
    <w:rsid w:val="00FE3E77"/>
    <w:rsid w:val="00FF0506"/>
    <w:rsid w:val="00FF6D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0E342B"/>
  <w15:docId w15:val="{8BE8344B-23E7-4A4D-ACAB-24F3B2B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4142</Words>
  <Characters>24403</Characters>
  <Application>Microsoft Office Word</Application>
  <DocSecurity>0</DocSecurity>
  <Lines>203</Lines>
  <Paragraphs>56</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2026-04-30T13:17:00Z</cp:lastPrinted>
  <dcterms:created xsi:type="dcterms:W3CDTF">2026-05-05T10:43:00Z</dcterms:created>
  <dcterms:modified xsi:type="dcterms:W3CDTF">2026-05-05T10:43:00Z</dcterms:modified>
</cp:coreProperties>
</file>