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5B9" w:rsidRPr="00B775CB" w:rsidRDefault="001855B9" w:rsidP="000C4222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before="400" w:after="0" w:line="240" w:lineRule="auto"/>
        <w:outlineLvl w:val="1"/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</w:pPr>
      <w:bookmarkStart w:id="0" w:name="_Toc368991352"/>
      <w:r w:rsidRPr="00B775CB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  <w:t xml:space="preserve">1.18. културно </w:t>
      </w:r>
      <w:r w:rsidR="001C4F77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val="en-US" w:eastAsia="ar-SA"/>
        </w:rPr>
        <w:t xml:space="preserve">- </w:t>
      </w:r>
      <w:r w:rsidRPr="00B775CB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  <w:t>историческо наследство</w:t>
      </w:r>
    </w:p>
    <w:p w:rsidR="001855B9" w:rsidRPr="00B775CB" w:rsidRDefault="00362891" w:rsidP="000C4222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before="400" w:after="0" w:line="240" w:lineRule="auto"/>
        <w:outlineLvl w:val="1"/>
        <w:rPr>
          <w:rFonts w:ascii="Times New Roman" w:eastAsia="Times New Roman" w:hAnsi="Times New Roman" w:cs="Times New Roman"/>
          <w:caps/>
          <w:spacing w:val="15"/>
          <w:sz w:val="24"/>
          <w:szCs w:val="24"/>
          <w:lang w:eastAsia="ar-SA"/>
        </w:rPr>
      </w:pPr>
      <w:r w:rsidRPr="00B775CB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val="en-US" w:eastAsia="ar-SA"/>
        </w:rPr>
        <w:t>1</w:t>
      </w:r>
      <w:r w:rsidR="00686A52" w:rsidRPr="00B775CB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  <w:t>.18.1.1.</w:t>
      </w:r>
      <w:r w:rsidR="00686A52" w:rsidRPr="00C95F50">
        <w:rPr>
          <w:rFonts w:ascii="Times New Roman" w:eastAsia="Times New Roman" w:hAnsi="Times New Roman" w:cs="Times New Roman"/>
          <w:caps/>
          <w:spacing w:val="15"/>
          <w:sz w:val="24"/>
          <w:szCs w:val="24"/>
          <w:lang w:eastAsia="ar-SA"/>
        </w:rPr>
        <w:t xml:space="preserve"> </w:t>
      </w:r>
      <w:bookmarkEnd w:id="0"/>
      <w:r w:rsidR="00B775C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Археологически обекти</w:t>
      </w:r>
      <w:r w:rsidR="00DC1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В утвърдените с решение на Министерски съвет списъци на Министерството на културата, (Регистър на недвижимите паметници на културата. С. 1989 г.) като археологически обекти на територията на парка са включени:</w:t>
      </w:r>
    </w:p>
    <w:p w:rsidR="001855B9" w:rsidRPr="00BC2415" w:rsidRDefault="001855B9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Римска крепост Узун укуш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намира се на 10-15 км южно от град Габрово. Представлява архитектурно-строителен обект датиращ от Античността и Средновековието с регионално значение;</w:t>
      </w:r>
    </w:p>
    <w:p w:rsidR="001855B9" w:rsidRPr="00BC2415" w:rsidRDefault="001855B9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Тракийско светилище в с. Моровеци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исторически обект с регионално значение;</w:t>
      </w:r>
    </w:p>
    <w:p w:rsidR="001855B9" w:rsidRPr="00BC2415" w:rsidRDefault="001855B9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Неолитна пещера „Киликите” в с. Станчев хан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обект с национално значение намиращ се на 2 км югоизточно от селото.</w:t>
      </w:r>
    </w:p>
    <w:p w:rsidR="00362891" w:rsidRPr="00BC2415" w:rsidRDefault="00362891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В посочения по-горе регистър не са включени обекти от периода „България – XV-XVII”. Врезултат на теренни инвентаризации и ан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ализ на архивни и л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итературни източници в рамките на парка и прилежащите територии попадат още: 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Община Габрово:</w:t>
      </w:r>
    </w:p>
    <w:p w:rsidR="00686A52" w:rsidRPr="00DC1ACF" w:rsidRDefault="001855B9" w:rsidP="00DC1ACF">
      <w:pPr>
        <w:pStyle w:val="ListParagraph"/>
        <w:numPr>
          <w:ilvl w:val="0"/>
          <w:numId w:val="6"/>
        </w:numPr>
        <w:shd w:val="clear" w:color="auto" w:fill="FFFFFF" w:themeFill="background1"/>
        <w:rPr>
          <w:szCs w:val="24"/>
          <w:lang w:eastAsia="ar-SA"/>
        </w:rPr>
      </w:pPr>
      <w:r w:rsidRPr="00DC1ACF">
        <w:rPr>
          <w:b/>
          <w:szCs w:val="24"/>
          <w:lang w:eastAsia="ar-SA"/>
        </w:rPr>
        <w:t>Старото трасе на пътя Габрово – вр. „Свети Никола”</w:t>
      </w:r>
      <w:r w:rsidRPr="00DC1ACF">
        <w:rPr>
          <w:szCs w:val="24"/>
          <w:lang w:eastAsia="ar-SA"/>
        </w:rPr>
        <w:t xml:space="preserve"> (старото име на вр. Шипка) (Радецки –Червения завой – Бивака – Узун Укуш – прохода Шипка) Първите доказателства за неговото съществуване фигурират от II в. пр. н. е. </w:t>
      </w:r>
      <w:r w:rsidR="00362891" w:rsidRPr="00DC1ACF">
        <w:rPr>
          <w:szCs w:val="24"/>
          <w:lang w:eastAsia="ar-SA"/>
        </w:rPr>
        <w:t xml:space="preserve">Проходът е изпалзван </w:t>
      </w:r>
      <w:r w:rsidR="001A4886" w:rsidRPr="00DC1ACF">
        <w:rPr>
          <w:szCs w:val="24"/>
          <w:lang w:eastAsia="ar-SA"/>
        </w:rPr>
        <w:t xml:space="preserve">до </w:t>
      </w:r>
      <w:r w:rsidRPr="00DC1ACF">
        <w:rPr>
          <w:szCs w:val="24"/>
          <w:lang w:eastAsia="ar-SA"/>
        </w:rPr>
        <w:t>1934 г. като един от най-важните вътрешнопровинциални пътища, свързващ двата големи римски търговски центъра от север – Дискодурадера (в близост до днешна Гостилица) и от юг – Пизос (в б</w:t>
      </w:r>
      <w:r w:rsidR="00DC1ACF" w:rsidRPr="00DC1ACF">
        <w:rPr>
          <w:szCs w:val="24"/>
          <w:lang w:eastAsia="ar-SA"/>
        </w:rPr>
        <w:t>лизост до днешна Стара Загора);</w:t>
      </w:r>
    </w:p>
    <w:p w:rsidR="001855B9" w:rsidRPr="00DC1ACF" w:rsidRDefault="001855B9" w:rsidP="00DC1ACF">
      <w:pPr>
        <w:pStyle w:val="ListParagraph"/>
        <w:numPr>
          <w:ilvl w:val="0"/>
          <w:numId w:val="6"/>
        </w:numPr>
        <w:shd w:val="clear" w:color="auto" w:fill="FFFFFF" w:themeFill="background1"/>
        <w:rPr>
          <w:b/>
          <w:szCs w:val="24"/>
          <w:lang w:eastAsia="ar-SA"/>
        </w:rPr>
      </w:pPr>
      <w:r w:rsidRPr="00DC1ACF">
        <w:rPr>
          <w:b/>
          <w:szCs w:val="24"/>
          <w:lang w:eastAsia="ar-SA"/>
        </w:rPr>
        <w:t>Първо беклеме (пост на дерветджиите) от стария път Габрово – Шипка</w:t>
      </w:r>
      <w:r w:rsidRPr="00DC1ACF">
        <w:rPr>
          <w:szCs w:val="24"/>
          <w:lang w:eastAsia="ar-SA"/>
        </w:rPr>
        <w:t xml:space="preserve"> - предполагаемо се намира в покрайнините на кв. Радецки, и датира от XV век. В миналото е играел роля на пункт за проверка на документите и митница. Данни за него са открити в </w:t>
      </w:r>
      <w:r w:rsidR="00DC1ACF" w:rsidRPr="00DC1ACF">
        <w:rPr>
          <w:szCs w:val="24"/>
          <w:lang w:eastAsia="ar-SA"/>
        </w:rPr>
        <w:t>руската военна карта от 1879 г.;</w:t>
      </w:r>
    </w:p>
    <w:p w:rsidR="00DC1ACF" w:rsidRPr="00DC1ACF" w:rsidRDefault="001855B9" w:rsidP="00DC1ACF">
      <w:pPr>
        <w:pStyle w:val="ListParagraph"/>
        <w:numPr>
          <w:ilvl w:val="0"/>
          <w:numId w:val="6"/>
        </w:numPr>
        <w:shd w:val="clear" w:color="auto" w:fill="FFFFFF" w:themeFill="background1"/>
        <w:rPr>
          <w:szCs w:val="24"/>
          <w:lang w:eastAsia="ar-SA"/>
        </w:rPr>
      </w:pPr>
      <w:r w:rsidRPr="00DC1ACF">
        <w:rPr>
          <w:b/>
          <w:szCs w:val="24"/>
          <w:lang w:eastAsia="ar-SA"/>
        </w:rPr>
        <w:t>Средновековна крепост „Кабруа”</w:t>
      </w:r>
      <w:r w:rsidRPr="00DC1ACF">
        <w:rPr>
          <w:szCs w:val="24"/>
          <w:lang w:eastAsia="ar-SA"/>
        </w:rPr>
        <w:t xml:space="preserve">, средно турско беклеме от стария път Габрово-Шипка – предполагаемо място м. Бивакът, датировка XII-XIV век. </w:t>
      </w:r>
      <w:r w:rsidR="00686A52" w:rsidRPr="00DC1ACF">
        <w:rPr>
          <w:szCs w:val="24"/>
          <w:lang w:eastAsia="ar-SA"/>
        </w:rPr>
        <w:t>К</w:t>
      </w:r>
      <w:r w:rsidRPr="00DC1ACF">
        <w:rPr>
          <w:szCs w:val="24"/>
          <w:lang w:eastAsia="ar-SA"/>
        </w:rPr>
        <w:t>репостта е била свързана с Габрово, който по това време се е наименувал Кабруа, отк</w:t>
      </w:r>
      <w:r w:rsidR="00DC1ACF" w:rsidRPr="00DC1ACF">
        <w:rPr>
          <w:szCs w:val="24"/>
          <w:lang w:eastAsia="ar-SA"/>
        </w:rPr>
        <w:t>ъдето идва и името им;</w:t>
      </w:r>
    </w:p>
    <w:p w:rsidR="001855B9" w:rsidRPr="00DC1ACF" w:rsidRDefault="001855B9" w:rsidP="00DC1ACF">
      <w:pPr>
        <w:pStyle w:val="ListParagraph"/>
        <w:numPr>
          <w:ilvl w:val="0"/>
          <w:numId w:val="6"/>
        </w:numPr>
        <w:shd w:val="clear" w:color="auto" w:fill="FFFFFF" w:themeFill="background1"/>
        <w:rPr>
          <w:b/>
          <w:szCs w:val="24"/>
          <w:lang w:eastAsia="ar-SA"/>
        </w:rPr>
      </w:pPr>
      <w:r w:rsidRPr="00DC1ACF">
        <w:rPr>
          <w:b/>
          <w:szCs w:val="24"/>
          <w:lang w:eastAsia="ar-SA"/>
        </w:rPr>
        <w:t>Връх Бедек и околностите</w:t>
      </w:r>
      <w:r w:rsidRPr="00DC1ACF">
        <w:rPr>
          <w:szCs w:val="24"/>
          <w:lang w:eastAsia="ar-SA"/>
        </w:rPr>
        <w:t xml:space="preserve"> - през XVII век, местност, през която са преминавали важни стопански пътища, а по-късно район на военни действия</w:t>
      </w:r>
      <w:r w:rsidR="00686A52" w:rsidRPr="00DC1ACF">
        <w:rPr>
          <w:szCs w:val="24"/>
          <w:lang w:eastAsia="ar-SA"/>
        </w:rPr>
        <w:t xml:space="preserve"> по време на кърджалийските размирици 1796-1816 . </w:t>
      </w:r>
      <w:r w:rsidRPr="00DC1ACF">
        <w:rPr>
          <w:szCs w:val="24"/>
          <w:lang w:eastAsia="ar-SA"/>
        </w:rPr>
        <w:t>Това е един от трите прохода от Трявна за Румелия – Кръстец, Столът</w:t>
      </w:r>
      <w:r w:rsidR="000C4222" w:rsidRPr="00DC1ACF">
        <w:rPr>
          <w:szCs w:val="24"/>
          <w:lang w:eastAsia="ar-SA"/>
        </w:rPr>
        <w:t xml:space="preserve"> </w:t>
      </w:r>
      <w:r w:rsidRPr="00DC1ACF">
        <w:rPr>
          <w:szCs w:val="24"/>
          <w:lang w:eastAsia="ar-SA"/>
        </w:rPr>
        <w:t>(Столища) и Бедек</w:t>
      </w:r>
      <w:r w:rsidR="000C4222" w:rsidRPr="00DC1ACF">
        <w:rPr>
          <w:szCs w:val="24"/>
          <w:lang w:eastAsia="ar-SA"/>
        </w:rPr>
        <w:t xml:space="preserve"> </w:t>
      </w:r>
      <w:r w:rsidRPr="00DC1ACF">
        <w:rPr>
          <w:szCs w:val="24"/>
          <w:lang w:eastAsia="ar-SA"/>
        </w:rPr>
        <w:t>(Богомил</w:t>
      </w:r>
      <w:r w:rsidR="00DC1ACF" w:rsidRPr="00DC1ACF">
        <w:rPr>
          <w:szCs w:val="24"/>
          <w:lang w:eastAsia="ar-SA"/>
        </w:rPr>
        <w:t xml:space="preserve"> Даскалов);</w:t>
      </w:r>
    </w:p>
    <w:p w:rsidR="001855B9" w:rsidRPr="00DC1ACF" w:rsidRDefault="001855B9" w:rsidP="00DC1ACF">
      <w:pPr>
        <w:pStyle w:val="ListParagraph"/>
        <w:numPr>
          <w:ilvl w:val="0"/>
          <w:numId w:val="6"/>
        </w:numPr>
        <w:shd w:val="clear" w:color="auto" w:fill="FFFFFF" w:themeFill="background1"/>
        <w:rPr>
          <w:szCs w:val="24"/>
          <w:lang w:eastAsia="ar-SA"/>
        </w:rPr>
      </w:pPr>
      <w:r w:rsidRPr="00DC1ACF">
        <w:rPr>
          <w:b/>
          <w:szCs w:val="24"/>
          <w:lang w:eastAsia="ar-SA"/>
        </w:rPr>
        <w:t>Пещерите в м. Узана и Бузлуджа</w:t>
      </w:r>
      <w:r w:rsidRPr="00DC1ACF">
        <w:rPr>
          <w:szCs w:val="24"/>
          <w:lang w:eastAsia="ar-SA"/>
        </w:rPr>
        <w:t xml:space="preserve"> - вероятно съдържат следи от минали цивилизации, изследването на които би обогатило историята на тези местности.</w:t>
      </w:r>
    </w:p>
    <w:p w:rsidR="00A954E6" w:rsidRDefault="00A954E6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3420" w:rsidRDefault="00686A52" w:rsidP="00A954E6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_Toc368991353"/>
      <w:r w:rsidRPr="00316115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  <w:t xml:space="preserve">1.18.1.2. </w:t>
      </w:r>
      <w:bookmarkEnd w:id="1"/>
      <w:r w:rsidR="00316115" w:rsidRPr="003161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Недвижими култ</w:t>
      </w:r>
      <w:r w:rsidR="001F74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</w:t>
      </w:r>
      <w:r w:rsidR="00316115" w:rsidRPr="003161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рни </w:t>
      </w:r>
      <w:r w:rsidR="004175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центостти с национално значение</w:t>
      </w:r>
      <w:r w:rsidR="00DC1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954E6" w:rsidRDefault="00A954E6" w:rsidP="00A954E6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6A52" w:rsidRDefault="001855B9" w:rsidP="00A954E6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3161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националните регистри на паметниците на културата (след 2008 г. общото понятие „паметници на културата” се заменя с „културни ценности”) с национално зна</w:t>
      </w:r>
      <w:r w:rsidR="00353303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чение в този раздел са включени а</w:t>
      </w:r>
      <w:r w:rsidR="00686A52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рхитектурни и исторически паметници, свързани с територията на ПП „Българка“ - Скривалище – болница и лобно място на Митко Палаузов в м. Осеникова поляна, комплекс Соколовски манастир и АЕК </w:t>
      </w:r>
      <w:r w:rsidR="00353303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„</w:t>
      </w:r>
      <w:r w:rsidR="00686A52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Етъра</w:t>
      </w:r>
      <w:r w:rsidR="00353303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 w:rsidR="00686A52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BB6ADB" w:rsidRPr="00BB6ADB" w:rsidRDefault="00BB6ADB" w:rsidP="00BB6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B6ADB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Пълен списък с архитектурни и исторически паметници попадащи на територията на ПП „Българка“ и прилежащите територии се съдържа в Приложение </w:t>
      </w:r>
      <w:r w:rsidRPr="00BB6AD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1.18-1. </w:t>
      </w:r>
    </w:p>
    <w:p w:rsidR="001855B9" w:rsidRPr="00543420" w:rsidRDefault="00353303" w:rsidP="00BC2415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before="400" w:after="0" w:line="240" w:lineRule="auto"/>
        <w:outlineLvl w:val="1"/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</w:pPr>
      <w:bookmarkStart w:id="2" w:name="_Toc368991354"/>
      <w:r w:rsidRPr="00543420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val="en-US" w:eastAsia="ar-SA"/>
        </w:rPr>
        <w:t>1</w:t>
      </w:r>
      <w:r w:rsidRPr="00543420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  <w:t>.18.1.3.</w:t>
      </w:r>
      <w:bookmarkEnd w:id="2"/>
      <w:r w:rsidR="00543420" w:rsidRPr="0054342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Регионални културни ценности</w:t>
      </w:r>
      <w:r w:rsidR="00DC1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1855B9" w:rsidRPr="00BC2415" w:rsidRDefault="001855B9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 2009 г. регионалните културни ценности са означавани като „паметници на културата от местно значение”. В списъците на </w:t>
      </w:r>
      <w:r w:rsidRPr="00BC241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Националния институт за недвижими паметници на културата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2008 г. са записани 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47 </w:t>
      </w: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недвижими културни ценности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</w:t>
      </w:r>
      <w:r w:rsidR="00B2451E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сгради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B2451E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ансамбъл къщи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фабрика, руско гробище, </w:t>
      </w:r>
      <w:r w:rsidR="00B2451E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римска крепост, 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исторически места</w:t>
      </w:r>
      <w:r w:rsidR="00B2451E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, тепавица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др, от които 4 попадат в границите на ПП </w:t>
      </w:r>
      <w:r w:rsidR="00B2451E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„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Българка</w:t>
      </w:r>
      <w:r w:rsidR="00B2451E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“,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 останалите в прилежащите територии 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(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Община Габрово и Община Трявна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)</w:t>
      </w:r>
      <w:r w:rsidR="00AB1A94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AD0C83" w:rsidRPr="00BC2415" w:rsidRDefault="001855B9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сравнение между регистрираните и наличните обекти, обявени за </w:t>
      </w:r>
      <w:r w:rsidR="00AD0C83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културни ценности се констатира, </w:t>
      </w:r>
      <w:r w:rsidR="00B05685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че в регистрите не са включени важни за района културни ценности, които макар и с местно значение биха могли да бъдат включени в туристически маршрути и да бъдат презентирани за посетителите на парка.</w:t>
      </w:r>
    </w:p>
    <w:p w:rsidR="00AD0C83" w:rsidRPr="00BC2415" w:rsidRDefault="006D1B83" w:rsidP="00BC2415">
      <w:p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Такива културни ценности са: </w:t>
      </w:r>
    </w:p>
    <w:p w:rsidR="001855B9" w:rsidRPr="00BC2415" w:rsidRDefault="001855B9" w:rsidP="00BC2415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rPr>
          <w:szCs w:val="24"/>
          <w:lang w:eastAsia="ar-SA"/>
        </w:rPr>
      </w:pPr>
      <w:r w:rsidRPr="00BC2415">
        <w:rPr>
          <w:szCs w:val="24"/>
          <w:lang w:eastAsia="ar-SA"/>
        </w:rPr>
        <w:t>Талпената къща, която е единствената в региона от Предвъзрождеската епоха в село</w:t>
      </w:r>
      <w:r w:rsidR="00DC1ACF">
        <w:rPr>
          <w:szCs w:val="24"/>
          <w:lang w:eastAsia="ar-SA"/>
        </w:rPr>
        <w:t xml:space="preserve"> Горнова могила, община Габрово;</w:t>
      </w:r>
    </w:p>
    <w:p w:rsidR="001855B9" w:rsidRPr="00BC2415" w:rsidRDefault="00B05685" w:rsidP="00BC2415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rPr>
          <w:szCs w:val="24"/>
          <w:lang w:eastAsia="ar-SA"/>
        </w:rPr>
      </w:pPr>
      <w:r w:rsidRPr="00BC2415">
        <w:rPr>
          <w:szCs w:val="24"/>
          <w:lang w:eastAsia="ar-SA"/>
        </w:rPr>
        <w:t>М</w:t>
      </w:r>
      <w:r w:rsidR="001855B9" w:rsidRPr="00BC2415">
        <w:rPr>
          <w:szCs w:val="24"/>
          <w:lang w:eastAsia="ar-SA"/>
        </w:rPr>
        <w:t>естата на оброчища и черквища, които имат религиозно-историческо значение, свързано първоначално с извършването на обреди с християнско-езически елементи, а в по-късни времена със изграждането върху</w:t>
      </w:r>
      <w:r w:rsidR="00DC1ACF">
        <w:rPr>
          <w:szCs w:val="24"/>
          <w:lang w:eastAsia="ar-SA"/>
        </w:rPr>
        <w:t xml:space="preserve"> тях на гробища, църкви и чешми;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ъоръженията на железопътната линия </w:t>
      </w:r>
      <w:r w:rsidR="00C0583F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„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Плачковци – Кръстец – Дулово</w:t>
      </w:r>
      <w:r w:rsidR="00C0583F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“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, които са материални свидетелства за индустриализацията на България и са свързани с жизнено важни промени в близките до тях селища по отношение на трудова заетост, търговия с Юга и генер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>ална промяна на начина на живот;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градите и съоръженията на Българско акционерно минно дружество (намират се в Плачковци и по-точно във фирма Петрургия), които заедно с минните съоръжения са материални следи за дейности, които променят коренно начина на живот, бита и пом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>инъка на близките до тях селища;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градите на летовищата, вилите и оздравителните училища в околностите на Плачковци, Соколски манастир и Зелено дърво, които са материални следи от създаването и развитието на един нов за региона поминък, свързан с развитието на курортното и почивно дело в България и превръщането особено на Плачковци и Трявна в едни от 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>най-добрите курорти на страната;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Н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адгробни паметници, къщи и обузначителни знаци, свързани с българското опълчение, особено в историческите зони на Зелено дърво, Узана, Бузлуджа, църковните дворове в Нейковци, Трявна, гробищата на Зелено дърво и Торбалъжи. Следите от събитията, които бележат този важен дял от българската история са в основата за доказване ролята на българите в своето освобождение. На територията на България няма такова място, което да се отличава с подобна концентрация на места на събития и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личности;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М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емориалните и надгробни паметници, плочи и чешми-паметници на загиналите във войните от 1885, 1912-13, 1915-1918 и 1944-45. В последните десетилетия паметта към загиналите герои за обединението на българския народ отново се връща към онази традиция, която е била характерна за поколенията връстници на войните. Близо 10% от всички войници изгубват живота си за България, като близките на загиналите изразяват 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почитта си чрез паметниците, които изграждат със собствени средства и които поддържат през 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годините;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елски чешми, особено тези с ктиторски надписи, каквито се намират в село Баевци, кв. Радецки, чешма „Дядо Георги”. Те маркират пътищата за движението на стадата и са резултат от безплатния труд на местното население. Освещаването им с православен ритуал ги подрежда сред най-важните обществени съоръжения, особено когато ги свързва и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местата на оброци и черквища;</w:t>
      </w:r>
    </w:p>
    <w:p w:rsidR="001855B9" w:rsidRPr="00BC2415" w:rsidRDefault="006D1B83" w:rsidP="00BC2415">
      <w:pPr>
        <w:numPr>
          <w:ilvl w:val="0"/>
          <w:numId w:val="3"/>
        </w:numPr>
        <w:shd w:val="clear" w:color="auto" w:fill="FFFFFF" w:themeFill="background1"/>
        <w:tabs>
          <w:tab w:val="left" w:pos="851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расетата на Големия друм (Големият друм започвал от някогашния римски град Нове (близо до Свищов), преминавал покрай с. Гостилица (Търновско) и оттам през Габрово и Шипченския проход към Августа Траяна (Стара Загора), Адрианопол (Одрин) и столицата на Източната Римска империя – Константинопол), Малкия друм (Малкият друм също започвал от Нове, след което преминавал през селата Овча могила и Бутово, гр. Павликени, селата Добромирка и Кози рог, габровския квартал „Падалото” и в самото Габрово и се сливал с Големия друм.), Верейския път (пътят свързващ Северна и Южна България), пътят през Тревненския проход. Това са материални следи, както от човешка дейност, така и от стопанска и военна. Осъществявана в продължение на векове дава отражение върху развитието на поминъка на населението в непосредствена близост до тях. Днес те са места за различни видове, особено приключенски туризъм и са част от най-известните туристически м</w:t>
      </w:r>
      <w:r w:rsidR="00DC1ACF">
        <w:rPr>
          <w:rFonts w:ascii="Times New Roman" w:eastAsia="Times New Roman" w:hAnsi="Times New Roman" w:cs="Times New Roman"/>
          <w:sz w:val="24"/>
          <w:szCs w:val="24"/>
          <w:lang w:eastAsia="ar-SA"/>
        </w:rPr>
        <w:t>аршрути в Средна Стара планина;</w:t>
      </w:r>
    </w:p>
    <w:p w:rsidR="00B96AF0" w:rsidRPr="00BC2415" w:rsidRDefault="001855B9" w:rsidP="00BC2415">
      <w:pPr>
        <w:pStyle w:val="ListParagraph"/>
        <w:numPr>
          <w:ilvl w:val="0"/>
          <w:numId w:val="3"/>
        </w:numPr>
        <w:shd w:val="clear" w:color="auto" w:fill="FFFFFF" w:themeFill="background1"/>
      </w:pPr>
      <w:r w:rsidRPr="00BC2415">
        <w:t>Границата между Княжество България и Източна Румелия и българските мит</w:t>
      </w:r>
      <w:r w:rsidR="00B96AF0" w:rsidRPr="00BC2415">
        <w:t>ници.</w:t>
      </w:r>
    </w:p>
    <w:p w:rsidR="001855B9" w:rsidRPr="00BC2415" w:rsidRDefault="001855B9" w:rsidP="00BC2415">
      <w:pPr>
        <w:pStyle w:val="ListParagraph"/>
        <w:shd w:val="clear" w:color="auto" w:fill="FFFFFF" w:themeFill="background1"/>
        <w:ind w:left="720"/>
        <w:rPr>
          <w:i/>
        </w:rPr>
      </w:pPr>
      <w:r w:rsidRPr="00BC2415">
        <w:rPr>
          <w:i/>
        </w:rPr>
        <w:t>Съгласно протокола от Берлинския конгрес от 1879 г., за определяне границите на Княжество България и Източна Румелия граничната линия по онази част от Стара планина, която е в парк „Българка” минава по бърдото на Коджа Балкан (превода от френски 1879 г, а по-късните варианти вододела).</w:t>
      </w:r>
    </w:p>
    <w:p w:rsidR="001855B9" w:rsidRDefault="001855B9" w:rsidP="00BC2415">
      <w:pPr>
        <w:shd w:val="clear" w:color="auto" w:fill="FFFFFF" w:themeFill="background1"/>
        <w:suppressAutoHyphens/>
        <w:spacing w:before="120"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BC2415">
        <w:rPr>
          <w:rFonts w:ascii="Times New Roman" w:eastAsia="Times New Roman" w:hAnsi="Times New Roman" w:cs="Times New Roman"/>
          <w:sz w:val="24"/>
          <w:lang w:bidi="en-US"/>
        </w:rPr>
        <w:t>В историята на българските митници такива има в Габрово и Трявна. Габровската е била в сградата, където днес е сграда</w:t>
      </w:r>
      <w:r w:rsidR="00B96AF0" w:rsidRPr="00BC2415">
        <w:rPr>
          <w:rFonts w:ascii="Times New Roman" w:eastAsia="Times New Roman" w:hAnsi="Times New Roman" w:cs="Times New Roman"/>
          <w:sz w:val="24"/>
          <w:lang w:bidi="en-US"/>
        </w:rPr>
        <w:t xml:space="preserve"> на Хесапчиеви на Шиваров мост и </w:t>
      </w:r>
      <w:r w:rsidRPr="00BC2415">
        <w:rPr>
          <w:rFonts w:ascii="Times New Roman" w:eastAsia="Times New Roman" w:hAnsi="Times New Roman" w:cs="Times New Roman"/>
          <w:sz w:val="24"/>
          <w:lang w:bidi="en-US"/>
        </w:rPr>
        <w:t>тренировъчното игрище на стадион Христо Ботев срещу бившето кино „Буря”, а в Трявна в западния край на стария град. За митнически пунктове се споменават първото беклеме до Радецки, с. Джуровци (дн. Престой). Има данни за разрушена мемориална плоча на поляната в м. „Бузлуджа”. Митнически пунктове е имало на седловината между върховете Св. Никола и Шипка, Червен бряг и Джуровци, а митници в Габрово и Трявна. Те действат в периода 1880 -1885 г.</w:t>
      </w:r>
    </w:p>
    <w:p w:rsidR="00457409" w:rsidRPr="001F74B0" w:rsidRDefault="00457409" w:rsidP="00457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F74B0">
        <w:rPr>
          <w:rFonts w:ascii="Times New Roman" w:hAnsi="Times New Roman" w:cs="Times New Roman"/>
          <w:i/>
          <w:sz w:val="24"/>
          <w:szCs w:val="24"/>
        </w:rPr>
        <w:t xml:space="preserve">Пълен списък на </w:t>
      </w:r>
      <w:r w:rsidRPr="001F74B0">
        <w:rPr>
          <w:rFonts w:ascii="Times New Roman" w:hAnsi="Times New Roman" w:cs="Times New Roman"/>
          <w:bCs/>
          <w:i/>
          <w:sz w:val="24"/>
          <w:szCs w:val="24"/>
        </w:rPr>
        <w:t>недвижими</w:t>
      </w:r>
      <w:r w:rsidR="00A954E6">
        <w:rPr>
          <w:rFonts w:ascii="Times New Roman" w:hAnsi="Times New Roman" w:cs="Times New Roman"/>
          <w:bCs/>
          <w:i/>
          <w:sz w:val="24"/>
          <w:szCs w:val="24"/>
        </w:rPr>
        <w:t>те</w:t>
      </w:r>
      <w:r w:rsidRPr="001F74B0">
        <w:rPr>
          <w:rFonts w:ascii="Times New Roman" w:hAnsi="Times New Roman" w:cs="Times New Roman"/>
          <w:bCs/>
          <w:i/>
          <w:sz w:val="24"/>
          <w:szCs w:val="24"/>
        </w:rPr>
        <w:t xml:space="preserve"> културни ценности в община Габрово </w:t>
      </w:r>
      <w:r w:rsidRPr="001F74B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 община Трявна </w:t>
      </w:r>
      <w:r w:rsidRPr="001F74B0">
        <w:rPr>
          <w:rFonts w:ascii="Times New Roman" w:hAnsi="Times New Roman" w:cs="Times New Roman"/>
          <w:bCs/>
          <w:i/>
          <w:sz w:val="24"/>
          <w:szCs w:val="24"/>
        </w:rPr>
        <w:t xml:space="preserve">се съдържа в Приложение </w:t>
      </w:r>
      <w:r w:rsidRPr="001F74B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1.18-2. </w:t>
      </w:r>
    </w:p>
    <w:p w:rsidR="001855B9" w:rsidRPr="00CF6203" w:rsidRDefault="00B96AF0" w:rsidP="00BC2415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before="400" w:after="0" w:line="240" w:lineRule="auto"/>
        <w:ind w:left="860" w:hanging="576"/>
        <w:outlineLvl w:val="1"/>
        <w:rPr>
          <w:rFonts w:ascii="Cambria" w:eastAsia="Times New Roman" w:hAnsi="Cambria" w:cs="Cambria"/>
          <w:b/>
          <w:caps/>
          <w:color w:val="632423"/>
          <w:spacing w:val="15"/>
          <w:sz w:val="24"/>
          <w:szCs w:val="24"/>
          <w:lang w:eastAsia="ar-SA"/>
        </w:rPr>
      </w:pPr>
      <w:bookmarkStart w:id="3" w:name="_Toc368991355"/>
      <w:r w:rsidRPr="00CF6203">
        <w:rPr>
          <w:rFonts w:ascii="Times New Roman" w:eastAsia="Times New Roman" w:hAnsi="Times New Roman" w:cs="Times New Roman"/>
          <w:b/>
          <w:sz w:val="24"/>
          <w:lang w:bidi="en-US"/>
        </w:rPr>
        <w:t xml:space="preserve">1.18.1.4. </w:t>
      </w:r>
      <w:bookmarkEnd w:id="3"/>
      <w:r w:rsidR="00CF6203" w:rsidRPr="00CF62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  <w:r w:rsidR="00A954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вижими</w:t>
      </w:r>
      <w:r w:rsidR="00CF6203" w:rsidRPr="00CF62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културни ценности</w:t>
      </w:r>
      <w:r w:rsidR="004175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1855B9" w:rsidRPr="00BC2415" w:rsidRDefault="00B96AF0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вижимите културни ценности (паметници на културата) са концентрирани основно в </w:t>
      </w:r>
      <w:r w:rsidR="00B05685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прилежащите на парка територии - 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градските центрове и най-вече Габрово. За Габровска община е характерно развитието на темите за борбата срещу капитализма и работническо движение, докато за тревненската фокусът пада върху национално-освободителни борби. Тук влизат скулптурните фигури и композиции на национални и местни исторически личности, които могат да бъдат видени главно по мостовете и паметниците. Според проучване на арх. Маргарита Коева от 1987 г. в тази категория влизат 170 скулптури, пана, релефи и други форми на монументалната украса. Преобладава</w:t>
      </w:r>
      <w:r w:rsidR="00B05685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 изработките от камък и бронз. 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теренното проучване се констатира, че повечето от бронзовите културни ценности не са на местата си, а каменните са в лошо състояние. 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BC2415">
        <w:rPr>
          <w:rFonts w:ascii="Times New Roman" w:eastAsia="Times New Roman" w:hAnsi="Times New Roman" w:cs="Times New Roman"/>
          <w:sz w:val="24"/>
          <w:lang w:bidi="en-US"/>
        </w:rPr>
        <w:lastRenderedPageBreak/>
        <w:t>За гр. Трявна такова място богато на паметници на културата се явява паркът „Петко Славейков”. Там могат да бъдат видени около 140 пана, скулптори, художествени паметници и барелефи, измежду които скулпторите на Славейков, Даскалов, Петър Генчев, барелефи на героини от поезията на Славейков. Те всичките са включени в посоченото по-горе изследване. В него е описано, че повечето от тях са дърворезби, част от интериора на производствените предприятия. След приватизацията им, повечето от тях са унищожени.</w:t>
      </w:r>
    </w:p>
    <w:p w:rsidR="00205A0F" w:rsidRPr="00CF6203" w:rsidRDefault="00B96AF0" w:rsidP="00CF6203">
      <w:pPr>
        <w:numPr>
          <w:ilvl w:val="1"/>
          <w:numId w:val="0"/>
        </w:numPr>
        <w:shd w:val="clear" w:color="auto" w:fill="FFFFFF" w:themeFill="background1"/>
        <w:tabs>
          <w:tab w:val="num" w:pos="0"/>
        </w:tabs>
        <w:suppressAutoHyphens/>
        <w:spacing w:before="400" w:after="0" w:line="240" w:lineRule="auto"/>
        <w:outlineLvl w:val="1"/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</w:pPr>
      <w:r w:rsidRPr="00CF6203">
        <w:rPr>
          <w:rFonts w:ascii="Times New Roman" w:eastAsia="Times New Roman" w:hAnsi="Times New Roman" w:cs="Times New Roman"/>
          <w:b/>
          <w:caps/>
          <w:spacing w:val="15"/>
          <w:sz w:val="24"/>
          <w:szCs w:val="24"/>
          <w:lang w:eastAsia="ar-SA"/>
        </w:rPr>
        <w:t xml:space="preserve">1.18.1.5. </w:t>
      </w:r>
      <w:r w:rsidR="00CF6203" w:rsidRPr="00CF6203">
        <w:rPr>
          <w:rFonts w:ascii="Times New Roman" w:eastAsia="Times New Roman" w:hAnsi="Times New Roman" w:cs="Times New Roman"/>
          <w:b/>
          <w:sz w:val="24"/>
          <w:lang w:bidi="en-US"/>
        </w:rPr>
        <w:t>Национален парк-музей „Шипка-Бузлуджа”</w:t>
      </w:r>
      <w:r w:rsidR="004175DA">
        <w:rPr>
          <w:rFonts w:ascii="Times New Roman" w:eastAsia="Times New Roman" w:hAnsi="Times New Roman" w:cs="Times New Roman"/>
          <w:b/>
          <w:sz w:val="24"/>
          <w:lang w:bidi="en-US"/>
        </w:rPr>
        <w:t>.</w:t>
      </w:r>
    </w:p>
    <w:p w:rsidR="00205A0F" w:rsidRPr="00BC2415" w:rsidRDefault="00205A0F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BC2415">
        <w:rPr>
          <w:rFonts w:ascii="Times New Roman" w:eastAsia="Times New Roman" w:hAnsi="Times New Roman" w:cs="Times New Roman"/>
          <w:sz w:val="24"/>
          <w:lang w:bidi="en-US"/>
        </w:rPr>
        <w:t>Обявен с Разпореждане № 71/17.11.1978 г. на Бюрото на Министерски съвет за исторически и архитектурен резерват с граници на резервата и на охранителната зона към него/ДВ 97/1978 г./. С протокол от 15.06.1998 г. на Междуведомствена комисия, назначена със Заповед № РД-09-263/09.06.1998 г. на министъра на културата и одобрен от него, границите са актуализирани въз основа на лесоустройствени карти за горско стопанство-Казанлък от 1991 г. и за горско стопанство-Габрово от 1995г.</w:t>
      </w:r>
      <w:r w:rsidR="00B05685" w:rsidRPr="00BC2415">
        <w:rPr>
          <w:rFonts w:ascii="Times New Roman" w:eastAsia="Times New Roman" w:hAnsi="Times New Roman" w:cs="Times New Roman"/>
          <w:sz w:val="24"/>
          <w:lang w:bidi="en-US"/>
        </w:rPr>
        <w:t xml:space="preserve"> Част от резервата и охранителната зона попадат в границите на ПП „Българка“</w:t>
      </w:r>
      <w:r w:rsidR="00F37E99" w:rsidRPr="00BC2415">
        <w:rPr>
          <w:rFonts w:ascii="Times New Roman" w:eastAsia="Times New Roman" w:hAnsi="Times New Roman" w:cs="Times New Roman"/>
          <w:sz w:val="24"/>
          <w:lang w:bidi="en-US"/>
        </w:rPr>
        <w:t>, поради тази причина той е разгледан тук, а не в т.1.17.</w:t>
      </w:r>
    </w:p>
    <w:p w:rsidR="00205A0F" w:rsidRDefault="00205A0F" w:rsidP="00BC2415">
      <w:pPr>
        <w:shd w:val="clear" w:color="auto" w:fill="FFFFFF" w:themeFill="background1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  <w:r w:rsidRPr="00BC2415">
        <w:rPr>
          <w:rFonts w:ascii="Times New Roman" w:eastAsia="Times New Roman" w:hAnsi="Times New Roman" w:cs="Times New Roman"/>
          <w:sz w:val="24"/>
          <w:lang w:bidi="en-US"/>
        </w:rPr>
        <w:t>Културно- историческата стойност на резервата се определя преди всичко от значимите военни операции на това място и величавата битка на руските войски, под командването на ген. Ф.Ф.Радецки и българското опълчение, под командването на ген. Н.Г.Столетов с османската армия, предвождана от Сюлейман паша, състояла се през м. август и септември 1877г. по време на Руско –Турската война. Резерватът е осеян с множество паметници и паметни знаци, посветени на тези събития, с висока историческа, архите</w:t>
      </w:r>
      <w:r w:rsidR="00B05685" w:rsidRPr="00BC2415">
        <w:rPr>
          <w:rFonts w:ascii="Times New Roman" w:eastAsia="Times New Roman" w:hAnsi="Times New Roman" w:cs="Times New Roman"/>
          <w:sz w:val="24"/>
          <w:lang w:bidi="en-US"/>
        </w:rPr>
        <w:t>ктурна и художествена стойност.</w:t>
      </w:r>
    </w:p>
    <w:p w:rsidR="00432674" w:rsidRPr="00F947ED" w:rsidRDefault="00432674" w:rsidP="00432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947ED">
        <w:rPr>
          <w:rFonts w:ascii="Times New Roman" w:hAnsi="Times New Roman" w:cs="Times New Roman"/>
          <w:i/>
          <w:sz w:val="24"/>
          <w:szCs w:val="24"/>
        </w:rPr>
        <w:t xml:space="preserve">Пълен списък на </w:t>
      </w:r>
      <w:r w:rsidRPr="00F947ED">
        <w:rPr>
          <w:rFonts w:ascii="Times New Roman" w:hAnsi="Times New Roman" w:cs="Times New Roman"/>
          <w:bCs/>
          <w:i/>
          <w:sz w:val="24"/>
          <w:szCs w:val="24"/>
        </w:rPr>
        <w:t xml:space="preserve">единичните културни ценности в исторически и архитектурен резерват „Национален парк –музей „Шипка –Бузлуджа“се съдържа в Приложение </w:t>
      </w:r>
      <w:r w:rsidRPr="00F947E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1.18-3. </w:t>
      </w:r>
    </w:p>
    <w:p w:rsidR="00D70186" w:rsidRPr="00BC2415" w:rsidRDefault="00D70186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CF6203" w:rsidRDefault="00D70186" w:rsidP="00A954E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1.18.</w:t>
      </w:r>
      <w:r w:rsidR="003E27A9" w:rsidRPr="00BC2415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Pr="00BC2415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 Местни традиции, обичаи и занаяти</w:t>
      </w:r>
      <w:r w:rsidR="004175D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</w:t>
      </w:r>
      <w:r w:rsidRPr="00BC2415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</w:p>
    <w:p w:rsidR="00A954E6" w:rsidRPr="00BC2415" w:rsidRDefault="00A954E6" w:rsidP="00A954E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1855B9" w:rsidRPr="00BC2415" w:rsidRDefault="00BA5B27" w:rsidP="00A954E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r w:rsidR="001855B9"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границите на ПП „Българка” могат да се посочат следните по-важни запазени местни традиции, обичаи, занаяти и др. като част от нематериалното културно наследство</w:t>
      </w:r>
      <w:bookmarkStart w:id="4" w:name="_Toc368991361"/>
      <w:r w:rsidR="001855B9"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региона: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Pr="00BC2415">
        <w:rPr>
          <w:rFonts w:ascii="Times New Roman" w:eastAsia="Calibri" w:hAnsi="Times New Roman" w:cs="Times New Roman"/>
          <w:sz w:val="24"/>
          <w:szCs w:val="24"/>
        </w:rPr>
        <w:t>Сред</w:t>
      </w:r>
      <w:r w:rsidRPr="00BC2415">
        <w:rPr>
          <w:rFonts w:ascii="Times New Roman" w:eastAsia="Calibri" w:hAnsi="Times New Roman" w:cs="Times New Roman"/>
          <w:b/>
          <w:sz w:val="24"/>
          <w:szCs w:val="24"/>
        </w:rPr>
        <w:t xml:space="preserve"> местните поминъци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 се открояват овцевъдството, </w:t>
      </w:r>
      <w:r w:rsidRPr="00BC2415">
        <w:rPr>
          <w:rFonts w:ascii="Times New Roman" w:eastAsia="Calibri" w:hAnsi="Times New Roman" w:cs="Times New Roman"/>
          <w:bCs/>
          <w:sz w:val="24"/>
          <w:szCs w:val="24"/>
        </w:rPr>
        <w:t>джелепчийството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End w:id="4"/>
      <w:r w:rsidRPr="00BC2415">
        <w:rPr>
          <w:rFonts w:ascii="Times New Roman" w:eastAsia="Calibri" w:hAnsi="Times New Roman" w:cs="Times New Roman"/>
          <w:sz w:val="24"/>
          <w:szCs w:val="24"/>
        </w:rPr>
        <w:t>дърводобивът, бегликчийството, горянството, кираджийството и овощарството. Гурбетчийството за мъжете е свързано с дюлгерството (строителството), а за жените с ходенето на жътва (руманя, романя). Пред ХІХ в. габровци участват активно в търговията на Османската империя – най-доходоносна е продажбата на коприна, бубено семе, гайтани, обработени кожи, ножарски и дървени изделия. След Освобождението и възстановяването на българската държавност в Габрово се полагат основите на българската индустрия. Синовете на габровските индустриалци се обучават в чужбина, което довежда до европеизация на промишлеността в този край.</w:t>
      </w:r>
    </w:p>
    <w:p w:rsidR="00BA5B27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/>
          <w:sz w:val="24"/>
          <w:szCs w:val="24"/>
        </w:rPr>
        <w:t>2. Местните занаяти</w:t>
      </w:r>
      <w:r w:rsidR="006103F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са съхранени в най-голяма степен в работилниците на 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>Архитекурно-етнографския комплекс „Етър”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,но тази традиция се поддържа и от отделни местни майстори, както и от читалищата, музеите и институциите в региона: 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>НЧ „Априлов-Палаузов” и НЧ „Габрово 2002” в гр. Габрово, НЧ „Искра 1954” в с. Лютаци, НЧ „Светлина 1927” в с. Жълтеш, специализирания музей в Трявна, НЧ „Пенчо Славейков 1871” в гр. Трявна, НЧ „Пробуда 1924” в с. Плачковци, НЧ „ Белновръх 1921” в с. Станчев хан, НЧ „Димитър Благоев” в гр. Мъглиж (с музейна сбирка)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sz w:val="24"/>
          <w:szCs w:val="24"/>
        </w:rPr>
        <w:t>На територията на ПП „Българка” са съществували (или още съществуват) следните занаяти: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lastRenderedPageBreak/>
        <w:t>Абаджийство (шиене на горно мъжко облекло и на г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 xml:space="preserve">ащи-потури, елеци, салтамарки, кожуси и пр.) 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– постепенно се преминава към шиенето и на женско горно облекло, което е пречина за появата на нов занаят – </w:t>
      </w: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терзийство. </w:t>
      </w:r>
      <w:r w:rsidRPr="00BC2415">
        <w:rPr>
          <w:rFonts w:ascii="Times New Roman" w:eastAsia="Calibri" w:hAnsi="Times New Roman" w:cs="Times New Roman"/>
          <w:sz w:val="24"/>
          <w:szCs w:val="24"/>
        </w:rPr>
        <w:t>Терзиите са не само занаятчии, но и търговци;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>Панталонджийство (шивачество)</w:t>
      </w:r>
      <w:r w:rsidRPr="00BC2415">
        <w:rPr>
          <w:rFonts w:ascii="Times New Roman" w:eastAsia="Calibri" w:hAnsi="Times New Roman" w:cs="Times New Roman"/>
          <w:sz w:val="24"/>
          <w:szCs w:val="24"/>
        </w:rPr>
        <w:t>– основен поминък в Габрово, добре развит занаят и в днешни дни в региона. Исторически началото му се датира към 1862 г., когато габровецът Димитър Дечков отваря първия дюкян за опънати мъжки горни (над бельо) дрехи, с които се заменят старите потури;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Кожарство (обработка на сурови кожи) и кожухарство (обработка на кожи и изработване на дрехи от кожи) </w:t>
      </w:r>
      <w:r w:rsidRPr="00BC2415">
        <w:rPr>
          <w:rFonts w:ascii="Times New Roman" w:eastAsia="Calibri" w:hAnsi="Times New Roman" w:cs="Times New Roman"/>
          <w:bCs/>
          <w:sz w:val="24"/>
          <w:szCs w:val="24"/>
        </w:rPr>
        <w:t>– особено развити през ХІХ в.;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Обущарство (папукчийство, чехларство) </w:t>
      </w:r>
      <w:r w:rsidRPr="00BC2415">
        <w:rPr>
          <w:rFonts w:ascii="Times New Roman" w:eastAsia="Calibri" w:hAnsi="Times New Roman" w:cs="Times New Roman"/>
          <w:bCs/>
          <w:sz w:val="24"/>
          <w:szCs w:val="24"/>
        </w:rPr>
        <w:t xml:space="preserve">– </w:t>
      </w:r>
      <w:r w:rsidRPr="00BC2415">
        <w:rPr>
          <w:rFonts w:ascii="Times New Roman" w:eastAsia="Calibri" w:hAnsi="Times New Roman" w:cs="Times New Roman"/>
          <w:sz w:val="24"/>
          <w:szCs w:val="24"/>
        </w:rPr>
        <w:t>един от най-добре организираните в еснаф занаяти през ХІХ и началото на ХХ в.;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Дюлгерството </w:t>
      </w:r>
      <w:r w:rsidRPr="00BC2415">
        <w:rPr>
          <w:rFonts w:ascii="Times New Roman" w:eastAsia="Calibri" w:hAnsi="Times New Roman" w:cs="Times New Roman"/>
          <w:bCs/>
          <w:sz w:val="24"/>
          <w:szCs w:val="24"/>
        </w:rPr>
        <w:t xml:space="preserve">запада при новите форми на строителство, но </w:t>
      </w: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>дърводелството,</w:t>
      </w:r>
      <w:r w:rsidRPr="00BC2415">
        <w:rPr>
          <w:rFonts w:ascii="Times New Roman" w:eastAsia="Calibri" w:hAnsi="Times New Roman" w:cs="Times New Roman"/>
          <w:bCs/>
          <w:sz w:val="24"/>
          <w:szCs w:val="24"/>
        </w:rPr>
        <w:t xml:space="preserve"> п</w:t>
      </w:r>
      <w:r w:rsidRPr="00BC2415">
        <w:rPr>
          <w:rFonts w:ascii="Times New Roman" w:eastAsia="Calibri" w:hAnsi="Times New Roman" w:cs="Times New Roman"/>
          <w:sz w:val="24"/>
          <w:szCs w:val="24"/>
        </w:rPr>
        <w:t>рактикувано във всички селища на територията на ПП „Българка”, е жизнено и в днешни дни;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Дограмаджийството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макар и видоизменено, се практикува и днес;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Куюмджийството </w:t>
      </w:r>
      <w:r w:rsidRPr="00BC2415">
        <w:rPr>
          <w:rFonts w:ascii="Times New Roman" w:eastAsia="Calibri" w:hAnsi="Times New Roman" w:cs="Times New Roman"/>
          <w:bCs/>
          <w:sz w:val="24"/>
          <w:szCs w:val="24"/>
        </w:rPr>
        <w:t>е познато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 още от първата половина на XVIII в. Занаятът прогресивно се развива до Освобождението, но след това бавно започва да запада. Днес е част от възстановената традиция;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Казанджийство – </w:t>
      </w:r>
      <w:r w:rsidRPr="00BC2415">
        <w:rPr>
          <w:rFonts w:ascii="Times New Roman" w:eastAsia="Calibri" w:hAnsi="Times New Roman" w:cs="Times New Roman"/>
          <w:sz w:val="24"/>
          <w:szCs w:val="24"/>
        </w:rPr>
        <w:t>казани са изработвани главно за приготвянето на ракия и сапун, но са правени също и сахани, тенджери, медници, тигани, тави, тепсии, кафеничета и др. Днес се практикува в АЕК „Етър“;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Грънчарството </w:t>
      </w:r>
      <w:r w:rsidRPr="00BC2415">
        <w:rPr>
          <w:rFonts w:ascii="Times New Roman" w:eastAsia="Calibri" w:hAnsi="Times New Roman" w:cs="Times New Roman"/>
          <w:sz w:val="24"/>
          <w:szCs w:val="24"/>
        </w:rPr>
        <w:t>е единственият занаят, който не е претърпял промени. Техниката от началото на XIX век се е запазила до днес. Габровските грънчари са изработвали стомни, гърнета, гювечи, делви, канчета, паници, тенджери, светилници, кандилници, саксии, кюнци, тухли за печки и др.;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>Мутафчийство (обработка на козина от кози)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Pr="00BC2415">
        <w:rPr>
          <w:rFonts w:ascii="Times New Roman" w:eastAsia="Calibri" w:hAnsi="Times New Roman" w:cs="Times New Roman"/>
          <w:sz w:val="24"/>
          <w:szCs w:val="24"/>
        </w:rPr>
        <w:t>Трявна се определя като един от важните центрове на мутафчийството в Северна България. На много места занаятът замира в края на XIX век, докато Трявна е едно от средищата, в които той, макар и с променена организация, продължава развитието си до 60-те години на ХХ в.;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Някои занаяти имат регионална употреба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територията на ПП „Българка” – напр. 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стругарство 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се практикува в с. Чарково; 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кошничарство – </w:t>
      </w: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в 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кв. Водици на Габрово; 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железарство – </w:t>
      </w: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в с. 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Нова махала, в Габрово и в отделни работилници във всички селища на територията на парка; 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гайтанджийство</w:t>
      </w: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се п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рактикува в Габрово, Етъра, Чарково; 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тепавичарство</w:t>
      </w: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се е п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рактикувало в Етъра, Чарково, Ябълка, Шумели; 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бояджийство (багрене) </w:t>
      </w: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като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спомагателен занаят към гайтанджийството, се е практикувало в Габрово, Етъра, Чарково, Трявна;</w:t>
      </w:r>
      <w:r w:rsidRPr="00BC241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сапунджийство </w:t>
      </w:r>
      <w:r w:rsidRPr="00BC2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се е п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рактикувало във всички по-големи селища: Трявна, Плачковци, Станчев хан, Нейковци, но най-много в Габрово. Съществува като домашен занаят и в наши дни;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sz w:val="24"/>
          <w:szCs w:val="24"/>
        </w:rPr>
        <w:t xml:space="preserve">Интересна практика е тази, свързана със </w:t>
      </w: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>сушене на плодове</w:t>
      </w:r>
      <w:r w:rsidRPr="00BC2415">
        <w:rPr>
          <w:rFonts w:ascii="Times New Roman" w:eastAsia="Calibri" w:hAnsi="Times New Roman" w:cs="Times New Roman"/>
          <w:sz w:val="24"/>
          <w:szCs w:val="24"/>
        </w:rPr>
        <w:t>. Единствените запазени пещи, предназначени за сушене на плодове, са в Брежници и в АЕК „Етър”. Те са уникални на територията на парка и са сред единиците запазени в страната.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2415">
        <w:rPr>
          <w:rFonts w:ascii="Times New Roman" w:eastAsia="Times New Roman" w:hAnsi="Times New Roman" w:cs="Times New Roman"/>
          <w:bCs/>
          <w:sz w:val="24"/>
          <w:szCs w:val="24"/>
        </w:rPr>
        <w:t>Голяма част от посочените занаяти днес основно са „приютени” в АЕК „Етър”, където функционират работилници на различни видове майстори и могат да се наблюдават техниките на работа и творчество.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5" w:name="_Toc368991366"/>
      <w:r w:rsidRPr="00BC24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BC2415">
        <w:rPr>
          <w:rFonts w:ascii="Times New Roman" w:eastAsia="Times New Roman" w:hAnsi="Times New Roman" w:cs="Times New Roman"/>
          <w:bCs/>
          <w:sz w:val="24"/>
          <w:szCs w:val="24"/>
        </w:rPr>
        <w:t>По отношение</w:t>
      </w:r>
      <w:r w:rsidRPr="00BC24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местните художествени занаяти</w:t>
      </w:r>
      <w:bookmarkEnd w:id="5"/>
      <w:r w:rsidR="00A644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2415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особено важни са </w:t>
      </w:r>
      <w:r w:rsidRPr="00BC2415">
        <w:rPr>
          <w:rFonts w:ascii="Times New Roman" w:eastAsia="Times New Roman" w:hAnsi="Times New Roman" w:cs="Times New Roman"/>
          <w:i/>
          <w:sz w:val="24"/>
          <w:szCs w:val="24"/>
        </w:rPr>
        <w:t xml:space="preserve">Тревненската дърворезбарска школа и </w:t>
      </w:r>
      <w:r w:rsidRPr="00BC241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Тревненската художествена школа (за иконопис),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които се утвърждават още от Възраждането, но и до днес остават емблематични за региона;</w:t>
      </w:r>
    </w:p>
    <w:p w:rsidR="001855B9" w:rsidRPr="00BC2415" w:rsidRDefault="001855B9" w:rsidP="00BC2415">
      <w:pPr>
        <w:shd w:val="clear" w:color="auto" w:fill="FFFFFF" w:themeFill="background1"/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6" w:name="_Toc368991363"/>
      <w:r w:rsidRPr="00BC24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4. Традиционните фестивали и събори</w:t>
      </w:r>
      <w:bookmarkEnd w:id="6"/>
      <w:r w:rsidR="004202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територия на ПП „Българка” са един от основните механизми за съхраняване на нематериалното културно наследство. Сред тях са:</w:t>
      </w:r>
    </w:p>
    <w:p w:rsidR="001855B9" w:rsidRPr="00BC2415" w:rsidRDefault="001855B9" w:rsidP="00BC2415">
      <w:pPr>
        <w:shd w:val="clear" w:color="auto" w:fill="FFFFFF" w:themeFill="background1"/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241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Славейкови празници – гр. Трявна (м. май)</w:t>
      </w:r>
      <w:r w:rsidRPr="00BC241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включва конкурс за лирично стихотворение на името на Петко и Пенчо Славейкови, гостувания на фолклорни ансамбли, камерни оркестри, театрални постановки, етнографски изложби, базар на книги, научни конференции, концертни изяви и пр.;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Международен фолклорен фестивал – гр. Трявна (м. юли)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–включва изпълнения пред Даскаловата къща, на площада „Капитан Дядо Никола”, на площада пред Съда и на площада „Пенчо Славейков” на танцьори и музиканти от различни страни (Канада, Колумбия, Мексико, България и др.);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Фолклорен събор „Капитан Дядо Никола” – гр. Трявна (м. август) – 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представят се традиционни форми на българска народна музика, танц и обредност (възстановка на обичаи), участват инструментални групи и състави, танцови формации, групи за автентичен фолклор и индивидуални изпълнители от десетки български читалища;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Събор „На Белица на хорото” – с. Белица (м. юли)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освен фолклорен, съборът играе ролята и на родова среща – приготвя се и се освещава курбан, а на мегдана на селото до късна вечер се извиват хора и се пеят песни;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Събор на връх Бъзовец (последната събота на месец септември)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– провежда се на ЖП спирка Бъзовец в параклиса „Св. София, Вяра, Надежда и Любов”;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Национален фолклорен фестивал „Песни в полите на Балкана” – с. Жълтеш (м. юни) – 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основната му цел е издирване, запазване, популяризиране и предаване на традиционното наследство от песни, танци, обичаи, ритуали, предания, легенди, носии от Балкана и от цяла България;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bidi="en-US"/>
        </w:rPr>
        <w:t xml:space="preserve">Регионален музикално-фолклорен конкурс „Златен славей” – гр. Габрово (м. октомври) – </w:t>
      </w:r>
      <w:r w:rsidRPr="00BC241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bidi="en-US"/>
        </w:rPr>
        <w:t>о</w:t>
      </w:r>
      <w:r w:rsidRPr="00BC24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en-US"/>
        </w:rPr>
        <w:t>сновната идея на конкурса е да се съхранят и популяризират местните фолклорни обичаи, както и да се издирят млади таланти. Участват деца от училища, детски градини и читалища от цялата област;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C241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Карнавал на хумора – гр. Габрово (м. май) – </w:t>
      </w:r>
      <w:r w:rsidRPr="00BC241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включва карнавално шествие и редица съпътстващи</w:t>
      </w:r>
      <w:r w:rsidRPr="00BC241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прояви като изложби на карикатури, графики, рисунки и хумористични фотографии, националното наддумване „Благолаж” (на което участници от цялата страна разказват анекдоти и вицове по предварително зададена от организаторите тема), концертни изяви на известни певци и танцьори и др.;</w:t>
      </w:r>
    </w:p>
    <w:p w:rsidR="001855B9" w:rsidRPr="00BC2415" w:rsidRDefault="001855B9" w:rsidP="00BC2415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2415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 xml:space="preserve">Международен фестивал „Празник на духовната музика” – гр. Габрово (м. октомври) – </w:t>
      </w:r>
      <w:r w:rsidRPr="00BC2415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провежда се </w:t>
      </w:r>
      <w:r w:rsidRPr="00BC241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 14 октомври (Петковден), празникът на Света Петка – покровителката на града, празник на Габрово.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 Ц</w:t>
      </w:r>
      <w:r w:rsidRPr="00BC241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ел на фестивала е представянето и популяризирането на източноправославното пеене (участват и католически и светски хорове). Всяка година във фестивала вземат участие различни църковни и светски хорове от България, Балканите и Европа;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Узана Фест – м. Узана (м. юли) – 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иновативен фестивал на практиките за устойчиво развитие, който показва нагледно как добрите зелени идеи имат приложение. Програмата включва музика, конна езда, изработване на амулети, био дегустации, работилници и демонстрации, 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семинари, вело и пешеходни походи по еко-пътеки, използване на алтернативни енергийни източници и др.;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Първи международен фестивал „България – традиции и култура – Дряново и Трявна – обител на българщината”</w:t>
      </w:r>
      <w:r w:rsidRPr="00BC241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– </w:t>
      </w:r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основната идея на инициативата е да се съхранят живи българските традиции, фолклор и култура сред младото поколение българи, живеещи в чужбина. Преди началото на фестивала в Трявна и Дряновския манастир се организират арт-работилници по дърворезба, тъкачество, грънчарство, иконопис, приложни изкуства и живопис</w:t>
      </w:r>
      <w:bookmarkStart w:id="7" w:name="_Toc368991367"/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D06810" w:rsidRDefault="00D06810" w:rsidP="00BC2415">
      <w:pPr>
        <w:shd w:val="clear" w:color="auto" w:fill="FFFFFF" w:themeFill="background1"/>
        <w:tabs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1855B9" w:rsidRDefault="001855B9" w:rsidP="001F74B0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2415">
        <w:rPr>
          <w:rFonts w:ascii="Times New Roman" w:eastAsia="Calibri" w:hAnsi="Times New Roman" w:cs="Times New Roman"/>
          <w:b/>
          <w:sz w:val="24"/>
          <w:szCs w:val="24"/>
        </w:rPr>
        <w:t>1.18.</w:t>
      </w:r>
      <w:r w:rsidR="003E27A9" w:rsidRPr="00BC2415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4175DA">
        <w:rPr>
          <w:rFonts w:ascii="Times New Roman" w:eastAsia="Calibri" w:hAnsi="Times New Roman" w:cs="Times New Roman"/>
          <w:b/>
          <w:sz w:val="24"/>
          <w:szCs w:val="24"/>
        </w:rPr>
        <w:t>.</w:t>
      </w:r>
      <w:bookmarkStart w:id="8" w:name="_GoBack"/>
      <w:bookmarkEnd w:id="8"/>
      <w:r w:rsidR="00771A7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D70186" w:rsidRPr="00BC2415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BC2415">
        <w:rPr>
          <w:rFonts w:ascii="Times New Roman" w:eastAsia="Calibri" w:hAnsi="Times New Roman" w:cs="Times New Roman"/>
          <w:b/>
          <w:sz w:val="24"/>
          <w:szCs w:val="24"/>
        </w:rPr>
        <w:t>радиционната духовна култура за територията на парка</w:t>
      </w:r>
      <w:r w:rsidR="004175D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F74B0" w:rsidRPr="00BC2415" w:rsidRDefault="001F74B0" w:rsidP="001F74B0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5B9" w:rsidRPr="00BC2415" w:rsidRDefault="001855B9" w:rsidP="001F74B0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9" w:name="_Toc368991368"/>
      <w:bookmarkEnd w:id="7"/>
      <w:r w:rsidRPr="00BC241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Народният мироглед, вярвания и представи</w:t>
      </w:r>
      <w:bookmarkEnd w:id="9"/>
      <w:r w:rsidRPr="00BC241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са все още жизнени в някои от селата в региона.</w:t>
      </w:r>
      <w:bookmarkStart w:id="10" w:name="_Toc368991369"/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От календарната</w:t>
      </w:r>
      <w:bookmarkEnd w:id="10"/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обредност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все още съществуват функциониращи празници: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Богоявление / Водици,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6 януари (храмов празник на църквата в АЕК „Етър”);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Ивановден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7 януари (храмов празник на църквата „Св. Йоан Предтеча” в Габрово; къпане на Ивановците и младоженците в реката);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Атанасовден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18 януари (храмов празник на църквата в с. Жълтеш; прави се общоселски курбан; спазват се определени забрани);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Трифоновден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1 февруари (празник на лозарите, кръчмарите и градинарите; зарязват се лозята); Свети Харалмпи, 10 февруари (познат и като Чуминден);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Власовден / Св. Влас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11 февруари (празник, посветен на воловете; правят се и се раздават обредни хлябове; спазват се забрани); Подвижните календарни празници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Великденски заговезни – Месни и Сирни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(правят се обредни трапези, празнични огньове и кукерски игри, обичай „хамкане”); Тодоровден / Конски Великден (правят се обредни хлябове и надбягване с коне – „кушии”; спазват се забрани);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Баба Марта,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 март (палене и прескачане на огъня; изработване и кичене с мартеници);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Свети четиридесет мъченици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9 март (обредно гонене на змии и гущери с палене на огън и прескачане; спазване на забрани);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Благовещение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25 март (обредно гонене на змии, гущери, бълхи чрез палене на огън, прескачане и произвеждане на шум чрез удряне на тенекии, маши или ръжени; спазват се забрани);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Лазаровден и Връбница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предпоследната събота и неделя преди Великден (обичай Лазаруване и поменални обреди; обичай „кумичене”);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Великден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; </w:t>
      </w:r>
      <w:r w:rsidRPr="00BC241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Гергьовден</w:t>
      </w:r>
      <w:r w:rsidRPr="00BC241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 6 май (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патронен празник на храма „Св. Георги” и на текстилната фабрика в Трявна, отслужване на тържествена литургия и панихида за загиналите във войните тревненци);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Еньовден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24 юни (събиране на лековити билки; напяване на пръстените – Енюва буля);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Петровден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29 юни (прави се обредна трапеза, приготвя се традиционното ястие „бял мъж”);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Павловден,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30 юни (почита се за предпазване от огън (пожар), от гръм и отчасти от градушка);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Св. Покропий,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7 юли(празник на пчеларите);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Горещници,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15, 16 и 17 юли (не се работи нищо в полето, не се жъне, не се копае и т.н.; на третия ден се празнува Св. Марина, покровителка на сеитбите);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Илинден,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20 юли;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Успение на Света Богородица – Голяма Богородица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15 август (храмов празник на Соколския манастир);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Кръстовден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14 септември (започва </w:t>
      </w:r>
      <w:r w:rsidRPr="00BC241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гроздобер; прави се обреден хляб);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Петковден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14 октомври (празник на град Габрово); </w:t>
      </w:r>
      <w:r w:rsidRPr="00BC241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Димитровден</w:t>
      </w:r>
      <w:r w:rsidRPr="00BC241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 26 октомври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(храмов празник на църквата в кв. Етъра);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Голяма/Архангелска Задушница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първата събота на ноември;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Архангеловден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8 ноември (в Трявна на този ден е започвал традиционният тревненски сбор);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Андреевден,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30 ноември (в Тревненско празникът е почитан за предпазване от мечки);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Света Варвара, Свети Сава и Свети Никола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4, 5, 6 декември (във всеки дом се приготвя „рибник” – печен в тесто шаран); </w:t>
      </w: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Игнажден</w:t>
      </w:r>
      <w:bookmarkStart w:id="11" w:name="_Toc368991370"/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>, 20 декември.</w:t>
      </w:r>
    </w:p>
    <w:p w:rsidR="001855B9" w:rsidRPr="00BC2415" w:rsidRDefault="001855B9" w:rsidP="00BC2415">
      <w:pPr>
        <w:shd w:val="clear" w:color="auto" w:fill="FFFFFF" w:themeFill="background1"/>
        <w:suppressAutoHyphens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семейната</w:t>
      </w:r>
      <w:bookmarkEnd w:id="11"/>
      <w:r w:rsidRPr="00BC24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обредност </w:t>
      </w:r>
      <w:r w:rsidRPr="00BC2415">
        <w:rPr>
          <w:rFonts w:ascii="Times New Roman" w:eastAsia="Times New Roman" w:hAnsi="Times New Roman" w:cs="Times New Roman"/>
          <w:bCs/>
          <w:iCs/>
          <w:sz w:val="24"/>
          <w:szCs w:val="24"/>
        </w:rPr>
        <w:t>съществуват традиционни знания, свързани с раждане и родилна обредност, сватба и смърт (погребални и поменни обичаи).</w:t>
      </w:r>
      <w:bookmarkStart w:id="12" w:name="_Toc368991371"/>
    </w:p>
    <w:p w:rsidR="001855B9" w:rsidRPr="00BC2415" w:rsidRDefault="001855B9" w:rsidP="00BC2415">
      <w:pPr>
        <w:shd w:val="clear" w:color="auto" w:fill="FFFFFF" w:themeFill="background1"/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Един от най-съхранените дялове от нематериалното културно наследство на територията на ПП „Българка” е 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>народната песен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. Това се отнася и за други устно разпространявани жанрове като 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>приказки, предания, легенди, пословици и поговорки</w:t>
      </w:r>
      <w:bookmarkEnd w:id="12"/>
      <w:r w:rsidRPr="00BC241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Познати предания и легенди от региона са: </w:t>
      </w:r>
      <w:r w:rsidRPr="00BC2415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Легенда за името на град Плачковци, Легенда за Мъглиж,Легенда за Вонеща вода (Габрово), 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>Л</w:t>
      </w:r>
      <w:r w:rsidRPr="00BC2415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>егенда за Мара хайдутка,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t xml:space="preserve"> Легендата за Крали Марко, Легендата за русалските гробища, </w:t>
      </w:r>
      <w:r w:rsidRPr="00BC241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Легенда за Царева ливада, Тревненско, Легенда за Малуша, Легенда за Крали Марко – Марков стол (легенда за местността Узана)</w:t>
      </w:r>
      <w:r w:rsidRPr="00BC2415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  <w:bookmarkStart w:id="13" w:name="_Toc368991375"/>
    </w:p>
    <w:p w:rsidR="001855B9" w:rsidRPr="00BC2415" w:rsidRDefault="001855B9" w:rsidP="00BC2415">
      <w:pPr>
        <w:shd w:val="clear" w:color="auto" w:fill="FFFFFF" w:themeFill="background1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415">
        <w:rPr>
          <w:rFonts w:ascii="Times New Roman" w:eastAsia="Calibri" w:hAnsi="Times New Roman" w:cs="Times New Roman"/>
          <w:sz w:val="24"/>
          <w:szCs w:val="24"/>
        </w:rPr>
        <w:t>Знанието за</w:t>
      </w:r>
      <w:r w:rsidRPr="00BC2415">
        <w:rPr>
          <w:rFonts w:ascii="Times New Roman" w:eastAsia="Calibri" w:hAnsi="Times New Roman" w:cs="Times New Roman"/>
          <w:b/>
          <w:sz w:val="24"/>
          <w:szCs w:val="24"/>
        </w:rPr>
        <w:t xml:space="preserve"> традиционна народна медицина </w:t>
      </w:r>
      <w:r w:rsidRPr="00BC2415">
        <w:rPr>
          <w:rFonts w:ascii="Times New Roman" w:eastAsia="Calibri" w:hAnsi="Times New Roman" w:cs="Times New Roman"/>
          <w:sz w:val="24"/>
          <w:szCs w:val="24"/>
        </w:rPr>
        <w:t>на територията на ПП „Българка” се изразява в активното ползване на редица народни рецепти</w:t>
      </w:r>
      <w:bookmarkEnd w:id="13"/>
      <w:r w:rsidRPr="00BC24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03D49" w:rsidRDefault="001855B9" w:rsidP="00BC2415">
      <w:pPr>
        <w:shd w:val="clear" w:color="auto" w:fill="FFFFFF" w:themeFill="background1"/>
        <w:suppressAutoHyphens/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4" w:name="_Toc368991377"/>
      <w:r w:rsidRPr="00BC2415">
        <w:rPr>
          <w:rFonts w:ascii="Times New Roman" w:eastAsia="Times New Roman" w:hAnsi="Times New Roman" w:cs="Times New Roman"/>
          <w:b/>
          <w:bCs/>
          <w:sz w:val="24"/>
          <w:szCs w:val="24"/>
        </w:rPr>
        <w:t>Традиционн</w:t>
      </w:r>
      <w:bookmarkEnd w:id="14"/>
      <w:r w:rsidRPr="00BC2415">
        <w:rPr>
          <w:rFonts w:ascii="Times New Roman" w:eastAsia="Times New Roman" w:hAnsi="Times New Roman" w:cs="Times New Roman"/>
          <w:b/>
          <w:bCs/>
          <w:sz w:val="24"/>
          <w:szCs w:val="24"/>
        </w:rPr>
        <w:t>ата кулинария</w:t>
      </w:r>
      <w:r w:rsidRPr="00BC2415">
        <w:rPr>
          <w:rFonts w:ascii="Times New Roman" w:eastAsia="Times New Roman" w:hAnsi="Times New Roman" w:cs="Times New Roman"/>
          <w:bCs/>
          <w:sz w:val="24"/>
          <w:szCs w:val="24"/>
        </w:rPr>
        <w:t xml:space="preserve"> е особено жизнен дял от фолклорната култура. Сред традиционните храни са: </w:t>
      </w:r>
      <w:r w:rsidRPr="00BC2415">
        <w:rPr>
          <w:rFonts w:ascii="Times New Roman" w:eastAsia="Times New Roman" w:hAnsi="Times New Roman" w:cs="Times New Roman"/>
          <w:bCs/>
          <w:i/>
          <w:sz w:val="24"/>
          <w:szCs w:val="24"/>
        </w:rPr>
        <w:t>Тревненска гъбена чорба, Тревненски таратор, Габровски пестил, Габровски симид, Габровски щирник (зелена вита баница)</w:t>
      </w:r>
      <w:r w:rsidRPr="00BC241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</w:t>
      </w:r>
    </w:p>
    <w:p w:rsidR="00AD31AB" w:rsidRDefault="00AD31AB" w:rsidP="00BC2415">
      <w:pPr>
        <w:shd w:val="clear" w:color="auto" w:fill="FFFFFF" w:themeFill="background1"/>
        <w:suppressAutoHyphens/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D31AB" w:rsidRDefault="00AD31AB" w:rsidP="00BC2415">
      <w:pPr>
        <w:shd w:val="clear" w:color="auto" w:fill="FFFFFF" w:themeFill="background1"/>
        <w:suppressAutoHyphens/>
        <w:spacing w:after="0"/>
        <w:jc w:val="both"/>
        <w:outlineLvl w:val="2"/>
      </w:pPr>
    </w:p>
    <w:sectPr w:rsidR="00AD31AB" w:rsidSect="00373BB5">
      <w:headerReference w:type="default" r:id="rId7"/>
      <w:footerReference w:type="default" r:id="rId8"/>
      <w:pgSz w:w="11906" w:h="16838"/>
      <w:pgMar w:top="968" w:right="566" w:bottom="1417" w:left="1134" w:header="567" w:footer="850" w:gutter="0"/>
      <w:pgNumType w:start="2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904" w:rsidRDefault="009F0904" w:rsidP="00CA1680">
      <w:pPr>
        <w:spacing w:after="0" w:line="240" w:lineRule="auto"/>
      </w:pPr>
      <w:r>
        <w:separator/>
      </w:r>
    </w:p>
  </w:endnote>
  <w:endnote w:type="continuationSeparator" w:id="0">
    <w:p w:rsidR="009F0904" w:rsidRDefault="009F0904" w:rsidP="00CA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680" w:rsidRDefault="00CA1680" w:rsidP="00CA1680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75DA">
      <w:rPr>
        <w:rStyle w:val="PageNumber"/>
        <w:noProof/>
      </w:rPr>
      <w:t>222</w:t>
    </w:r>
    <w:r>
      <w:rPr>
        <w:rStyle w:val="PageNumber"/>
      </w:rPr>
      <w:fldChar w:fldCharType="end"/>
    </w:r>
  </w:p>
  <w:p w:rsidR="00CA1680" w:rsidRPr="00CA1680" w:rsidRDefault="00CA1680" w:rsidP="00CA1680">
    <w:pPr>
      <w:pStyle w:val="Footer"/>
      <w:ind w:right="360"/>
      <w:rPr>
        <w:lang w:val="en-US"/>
      </w:rPr>
    </w:pPr>
    <w:r>
      <w:rPr>
        <w:noProof/>
        <w:lang w:eastAsia="bg-BG" w:bidi="ar-SA"/>
      </w:rPr>
      <w:drawing>
        <wp:anchor distT="0" distB="0" distL="114300" distR="114300" simplePos="0" relativeHeight="251642880" behindDoc="1" locked="0" layoutInCell="1" allowOverlap="1" wp14:anchorId="483C551A" wp14:editId="4D999E09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 w:bidi="ar-SA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0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8D227F" id="Straight Connector 3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" strokecolor="#969696" strokeweight="3pt">
              <v:stroke linestyle="thinThin"/>
            </v:lin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904" w:rsidRDefault="009F0904" w:rsidP="00CA1680">
      <w:pPr>
        <w:spacing w:after="0" w:line="240" w:lineRule="auto"/>
      </w:pPr>
      <w:r>
        <w:separator/>
      </w:r>
    </w:p>
  </w:footnote>
  <w:footnote w:type="continuationSeparator" w:id="0">
    <w:p w:rsidR="009F0904" w:rsidRDefault="009F0904" w:rsidP="00CA1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680" w:rsidRPr="003D5E65" w:rsidRDefault="00CA1680" w:rsidP="00CA1680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71552" behindDoc="0" locked="0" layoutInCell="1" allowOverlap="1" wp14:anchorId="14232E26" wp14:editId="24AE27DF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CA1680" w:rsidRPr="00CA1680" w:rsidRDefault="00CA1680" w:rsidP="00CA1680">
    <w:pPr>
      <w:pStyle w:val="Header"/>
    </w:pPr>
    <w:r>
      <w:rPr>
        <w:noProof/>
        <w:lang w:eastAsia="bg-BG" w:bidi="ar-SA"/>
      </w:rPr>
      <mc:AlternateContent>
        <mc:Choice Requires="wps">
          <w:drawing>
            <wp:anchor distT="4294967295" distB="4294967295" distL="114300" distR="114300" simplePos="0" relativeHeight="25168588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6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D642E3" id="Straight Connector 1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EmnQJ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 w15:restartNumberingAfterBreak="0">
    <w:nsid w:val="0000000A"/>
    <w:multiLevelType w:val="singleLevel"/>
    <w:tmpl w:val="0000000A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9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" w15:restartNumberingAfterBreak="0">
    <w:nsid w:val="0000000C"/>
    <w:multiLevelType w:val="singleLevel"/>
    <w:tmpl w:val="0000000C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 w15:restartNumberingAfterBreak="0">
    <w:nsid w:val="0000000D"/>
    <w:multiLevelType w:val="singleLevel"/>
    <w:tmpl w:val="0000000D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2" w15:restartNumberingAfterBreak="0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 w15:restartNumberingAfterBreak="0">
    <w:nsid w:val="0000000F"/>
    <w:multiLevelType w:val="singleLevel"/>
    <w:tmpl w:val="0000000F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4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</w:rPr>
    </w:lvl>
  </w:abstractNum>
  <w:abstractNum w:abstractNumId="15" w15:restartNumberingAfterBreak="0">
    <w:nsid w:val="245474AB"/>
    <w:multiLevelType w:val="hybridMultilevel"/>
    <w:tmpl w:val="1B5A92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A1071"/>
    <w:multiLevelType w:val="multilevel"/>
    <w:tmpl w:val="28A0F7D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BE358BF"/>
    <w:multiLevelType w:val="hybridMultilevel"/>
    <w:tmpl w:val="B15CB872"/>
    <w:lvl w:ilvl="0" w:tplc="000000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6"/>
  </w:num>
  <w:num w:numId="5">
    <w:abstractNumId w:val="17"/>
  </w:num>
  <w:num w:numId="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B9"/>
    <w:rsid w:val="0003300A"/>
    <w:rsid w:val="000B06A4"/>
    <w:rsid w:val="000C4222"/>
    <w:rsid w:val="0013764D"/>
    <w:rsid w:val="001855B9"/>
    <w:rsid w:val="001A4886"/>
    <w:rsid w:val="001B3E70"/>
    <w:rsid w:val="001B6CB5"/>
    <w:rsid w:val="001C4F77"/>
    <w:rsid w:val="001F74B0"/>
    <w:rsid w:val="002020E2"/>
    <w:rsid w:val="00205A0F"/>
    <w:rsid w:val="00210D82"/>
    <w:rsid w:val="002357B8"/>
    <w:rsid w:val="00316115"/>
    <w:rsid w:val="00353303"/>
    <w:rsid w:val="00362891"/>
    <w:rsid w:val="00373BB5"/>
    <w:rsid w:val="003C3767"/>
    <w:rsid w:val="003E27A9"/>
    <w:rsid w:val="00403D49"/>
    <w:rsid w:val="004175DA"/>
    <w:rsid w:val="0042025D"/>
    <w:rsid w:val="00432674"/>
    <w:rsid w:val="00457409"/>
    <w:rsid w:val="004C3E4B"/>
    <w:rsid w:val="004D723F"/>
    <w:rsid w:val="00543420"/>
    <w:rsid w:val="006103F9"/>
    <w:rsid w:val="00651681"/>
    <w:rsid w:val="00686A52"/>
    <w:rsid w:val="006D1B83"/>
    <w:rsid w:val="00771A76"/>
    <w:rsid w:val="007C0A02"/>
    <w:rsid w:val="00803A94"/>
    <w:rsid w:val="0085201B"/>
    <w:rsid w:val="008B613D"/>
    <w:rsid w:val="009F0904"/>
    <w:rsid w:val="00A4460A"/>
    <w:rsid w:val="00A644ED"/>
    <w:rsid w:val="00A954E6"/>
    <w:rsid w:val="00AB1A94"/>
    <w:rsid w:val="00AD0C83"/>
    <w:rsid w:val="00AD31AB"/>
    <w:rsid w:val="00B05685"/>
    <w:rsid w:val="00B178D5"/>
    <w:rsid w:val="00B2451E"/>
    <w:rsid w:val="00B775CB"/>
    <w:rsid w:val="00B96AF0"/>
    <w:rsid w:val="00BA5B27"/>
    <w:rsid w:val="00BB6ADB"/>
    <w:rsid w:val="00BC2415"/>
    <w:rsid w:val="00BF1200"/>
    <w:rsid w:val="00C0583F"/>
    <w:rsid w:val="00C136DC"/>
    <w:rsid w:val="00C31762"/>
    <w:rsid w:val="00C95F50"/>
    <w:rsid w:val="00CA1680"/>
    <w:rsid w:val="00CC0A0C"/>
    <w:rsid w:val="00CF6203"/>
    <w:rsid w:val="00D06810"/>
    <w:rsid w:val="00D103F2"/>
    <w:rsid w:val="00D70186"/>
    <w:rsid w:val="00D722E7"/>
    <w:rsid w:val="00DB68CC"/>
    <w:rsid w:val="00DC1ACF"/>
    <w:rsid w:val="00DC3FD9"/>
    <w:rsid w:val="00DD4DDF"/>
    <w:rsid w:val="00DE330B"/>
    <w:rsid w:val="00E756FB"/>
    <w:rsid w:val="00ED4188"/>
    <w:rsid w:val="00ED573F"/>
    <w:rsid w:val="00F37E99"/>
    <w:rsid w:val="00F947ED"/>
    <w:rsid w:val="00FB1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A014141-E2C2-4F4E-B658-55CFBEBF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55B9"/>
    <w:pPr>
      <w:suppressAutoHyphens/>
      <w:spacing w:before="400" w:after="0" w:line="240" w:lineRule="auto"/>
      <w:jc w:val="center"/>
      <w:outlineLvl w:val="0"/>
    </w:pPr>
    <w:rPr>
      <w:rFonts w:ascii="Cambria" w:eastAsia="Times New Roman" w:hAnsi="Cambria" w:cs="Cambria"/>
      <w:caps/>
      <w:color w:val="632423"/>
      <w:spacing w:val="20"/>
      <w:sz w:val="28"/>
      <w:szCs w:val="28"/>
      <w:lang w:val="x-none" w:eastAsia="ar-SA"/>
    </w:rPr>
  </w:style>
  <w:style w:type="paragraph" w:styleId="Heading2">
    <w:name w:val="heading 2"/>
    <w:basedOn w:val="Normal"/>
    <w:next w:val="Normal"/>
    <w:link w:val="Heading2Char"/>
    <w:qFormat/>
    <w:rsid w:val="001855B9"/>
    <w:pPr>
      <w:numPr>
        <w:ilvl w:val="1"/>
        <w:numId w:val="1"/>
      </w:numPr>
      <w:suppressAutoHyphens/>
      <w:spacing w:before="400" w:after="0" w:line="240" w:lineRule="auto"/>
      <w:jc w:val="center"/>
      <w:outlineLvl w:val="1"/>
    </w:pPr>
    <w:rPr>
      <w:rFonts w:ascii="Cambria" w:eastAsia="Times New Roman" w:hAnsi="Cambria" w:cs="Cambria"/>
      <w:caps/>
      <w:color w:val="632423"/>
      <w:spacing w:val="15"/>
      <w:sz w:val="24"/>
      <w:szCs w:val="24"/>
      <w:lang w:val="x-none" w:eastAsia="ar-SA"/>
    </w:rPr>
  </w:style>
  <w:style w:type="paragraph" w:styleId="Heading3">
    <w:name w:val="heading 3"/>
    <w:basedOn w:val="Normal"/>
    <w:next w:val="Normal"/>
    <w:link w:val="Heading3Char"/>
    <w:qFormat/>
    <w:rsid w:val="001855B9"/>
    <w:pPr>
      <w:numPr>
        <w:ilvl w:val="2"/>
        <w:numId w:val="1"/>
      </w:numPr>
      <w:suppressAutoHyphens/>
      <w:spacing w:before="300" w:after="0" w:line="240" w:lineRule="auto"/>
      <w:jc w:val="center"/>
      <w:outlineLvl w:val="2"/>
    </w:pPr>
    <w:rPr>
      <w:rFonts w:ascii="Cambria" w:eastAsia="Times New Roman" w:hAnsi="Cambria" w:cs="Cambria"/>
      <w:caps/>
      <w:color w:val="622423"/>
      <w:sz w:val="24"/>
      <w:szCs w:val="24"/>
      <w:lang w:val="x-none" w:eastAsia="ar-SA"/>
    </w:rPr>
  </w:style>
  <w:style w:type="paragraph" w:styleId="Heading4">
    <w:name w:val="heading 4"/>
    <w:basedOn w:val="Normal"/>
    <w:next w:val="Normal"/>
    <w:link w:val="Heading4Char"/>
    <w:qFormat/>
    <w:rsid w:val="001855B9"/>
    <w:pPr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Cambria" w:eastAsia="Times New Roman" w:hAnsi="Cambria" w:cs="Cambria"/>
      <w:caps/>
      <w:color w:val="622423"/>
      <w:spacing w:val="10"/>
      <w:sz w:val="20"/>
      <w:szCs w:val="20"/>
      <w:lang w:val="x-none" w:eastAsia="ar-SA"/>
    </w:rPr>
  </w:style>
  <w:style w:type="paragraph" w:styleId="Heading5">
    <w:name w:val="heading 5"/>
    <w:basedOn w:val="Normal"/>
    <w:next w:val="Normal"/>
    <w:link w:val="Heading5Char"/>
    <w:qFormat/>
    <w:rsid w:val="001855B9"/>
    <w:pPr>
      <w:numPr>
        <w:ilvl w:val="4"/>
        <w:numId w:val="1"/>
      </w:numPr>
      <w:suppressAutoHyphens/>
      <w:spacing w:before="320" w:after="120" w:line="240" w:lineRule="auto"/>
      <w:jc w:val="center"/>
      <w:outlineLvl w:val="4"/>
    </w:pPr>
    <w:rPr>
      <w:rFonts w:ascii="Cambria" w:eastAsia="Times New Roman" w:hAnsi="Cambria" w:cs="Cambria"/>
      <w:caps/>
      <w:color w:val="622423"/>
      <w:spacing w:val="10"/>
      <w:sz w:val="20"/>
      <w:szCs w:val="20"/>
      <w:lang w:val="x-none" w:eastAsia="ar-SA"/>
    </w:rPr>
  </w:style>
  <w:style w:type="paragraph" w:styleId="Heading6">
    <w:name w:val="heading 6"/>
    <w:basedOn w:val="Normal"/>
    <w:next w:val="Normal"/>
    <w:link w:val="Heading6Char"/>
    <w:qFormat/>
    <w:rsid w:val="001855B9"/>
    <w:pPr>
      <w:numPr>
        <w:ilvl w:val="5"/>
        <w:numId w:val="1"/>
      </w:numPr>
      <w:suppressAutoHyphens/>
      <w:spacing w:before="120" w:after="120" w:line="240" w:lineRule="auto"/>
      <w:jc w:val="center"/>
      <w:outlineLvl w:val="5"/>
    </w:pPr>
    <w:rPr>
      <w:rFonts w:ascii="Cambria" w:eastAsia="Times New Roman" w:hAnsi="Cambria" w:cs="Cambria"/>
      <w:caps/>
      <w:color w:val="943634"/>
      <w:spacing w:val="10"/>
      <w:sz w:val="20"/>
      <w:szCs w:val="20"/>
      <w:lang w:val="x-none" w:eastAsia="ar-SA"/>
    </w:rPr>
  </w:style>
  <w:style w:type="paragraph" w:styleId="Heading7">
    <w:name w:val="heading 7"/>
    <w:basedOn w:val="Normal"/>
    <w:next w:val="Normal"/>
    <w:link w:val="Heading7Char"/>
    <w:qFormat/>
    <w:rsid w:val="001855B9"/>
    <w:pPr>
      <w:numPr>
        <w:ilvl w:val="6"/>
        <w:numId w:val="1"/>
      </w:numPr>
      <w:suppressAutoHyphens/>
      <w:spacing w:before="120" w:after="120" w:line="240" w:lineRule="auto"/>
      <w:jc w:val="center"/>
      <w:outlineLvl w:val="6"/>
    </w:pPr>
    <w:rPr>
      <w:rFonts w:ascii="Cambria" w:eastAsia="Times New Roman" w:hAnsi="Cambria" w:cs="Cambria"/>
      <w:i/>
      <w:iCs/>
      <w:caps/>
      <w:color w:val="943634"/>
      <w:spacing w:val="10"/>
      <w:sz w:val="20"/>
      <w:szCs w:val="20"/>
      <w:lang w:val="x-none" w:eastAsia="ar-SA"/>
    </w:rPr>
  </w:style>
  <w:style w:type="paragraph" w:styleId="Heading8">
    <w:name w:val="heading 8"/>
    <w:basedOn w:val="Normal"/>
    <w:next w:val="Normal"/>
    <w:link w:val="Heading8Char"/>
    <w:qFormat/>
    <w:rsid w:val="001855B9"/>
    <w:pPr>
      <w:numPr>
        <w:ilvl w:val="7"/>
        <w:numId w:val="1"/>
      </w:numPr>
      <w:suppressAutoHyphens/>
      <w:spacing w:before="120" w:after="120" w:line="240" w:lineRule="auto"/>
      <w:jc w:val="center"/>
      <w:outlineLvl w:val="7"/>
    </w:pPr>
    <w:rPr>
      <w:rFonts w:ascii="Cambria" w:eastAsia="Times New Roman" w:hAnsi="Cambria" w:cs="Cambria"/>
      <w:caps/>
      <w:spacing w:val="10"/>
      <w:sz w:val="20"/>
      <w:szCs w:val="20"/>
      <w:lang w:val="x-none" w:eastAsia="ar-SA"/>
    </w:rPr>
  </w:style>
  <w:style w:type="paragraph" w:styleId="Heading9">
    <w:name w:val="heading 9"/>
    <w:basedOn w:val="Normal"/>
    <w:next w:val="Normal"/>
    <w:link w:val="Heading9Char"/>
    <w:qFormat/>
    <w:rsid w:val="001855B9"/>
    <w:pPr>
      <w:numPr>
        <w:ilvl w:val="8"/>
        <w:numId w:val="1"/>
      </w:numPr>
      <w:suppressAutoHyphens/>
      <w:spacing w:before="120" w:after="120" w:line="240" w:lineRule="auto"/>
      <w:jc w:val="center"/>
      <w:outlineLvl w:val="8"/>
    </w:pPr>
    <w:rPr>
      <w:rFonts w:ascii="Cambria" w:eastAsia="Times New Roman" w:hAnsi="Cambria" w:cs="Cambria"/>
      <w:i/>
      <w:iCs/>
      <w:caps/>
      <w:spacing w:val="10"/>
      <w:sz w:val="20"/>
      <w:szCs w:val="20"/>
      <w:lang w:val="x-none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5B9"/>
    <w:rPr>
      <w:rFonts w:ascii="Cambria" w:eastAsia="Times New Roman" w:hAnsi="Cambria" w:cs="Cambria"/>
      <w:caps/>
      <w:color w:val="632423"/>
      <w:spacing w:val="20"/>
      <w:sz w:val="28"/>
      <w:szCs w:val="28"/>
      <w:lang w:val="x-none" w:eastAsia="ar-SA"/>
    </w:rPr>
  </w:style>
  <w:style w:type="character" w:customStyle="1" w:styleId="Heading2Char">
    <w:name w:val="Heading 2 Char"/>
    <w:basedOn w:val="DefaultParagraphFont"/>
    <w:link w:val="Heading2"/>
    <w:rsid w:val="001855B9"/>
    <w:rPr>
      <w:rFonts w:ascii="Cambria" w:eastAsia="Times New Roman" w:hAnsi="Cambria" w:cs="Cambria"/>
      <w:caps/>
      <w:color w:val="632423"/>
      <w:spacing w:val="15"/>
      <w:sz w:val="24"/>
      <w:szCs w:val="24"/>
      <w:lang w:val="x-none" w:eastAsia="ar-SA"/>
    </w:rPr>
  </w:style>
  <w:style w:type="character" w:customStyle="1" w:styleId="Heading3Char">
    <w:name w:val="Heading 3 Char"/>
    <w:basedOn w:val="DefaultParagraphFont"/>
    <w:link w:val="Heading3"/>
    <w:rsid w:val="001855B9"/>
    <w:rPr>
      <w:rFonts w:ascii="Cambria" w:eastAsia="Times New Roman" w:hAnsi="Cambria" w:cs="Cambria"/>
      <w:caps/>
      <w:color w:val="622423"/>
      <w:sz w:val="24"/>
      <w:szCs w:val="24"/>
      <w:lang w:val="x-none" w:eastAsia="ar-SA"/>
    </w:rPr>
  </w:style>
  <w:style w:type="character" w:customStyle="1" w:styleId="Heading4Char">
    <w:name w:val="Heading 4 Char"/>
    <w:basedOn w:val="DefaultParagraphFont"/>
    <w:link w:val="Heading4"/>
    <w:rsid w:val="001855B9"/>
    <w:rPr>
      <w:rFonts w:ascii="Cambria" w:eastAsia="Times New Roman" w:hAnsi="Cambria" w:cs="Cambria"/>
      <w:caps/>
      <w:color w:val="622423"/>
      <w:spacing w:val="10"/>
      <w:sz w:val="20"/>
      <w:szCs w:val="20"/>
      <w:lang w:val="x-none" w:eastAsia="ar-SA"/>
    </w:rPr>
  </w:style>
  <w:style w:type="character" w:customStyle="1" w:styleId="Heading5Char">
    <w:name w:val="Heading 5 Char"/>
    <w:basedOn w:val="DefaultParagraphFont"/>
    <w:link w:val="Heading5"/>
    <w:rsid w:val="001855B9"/>
    <w:rPr>
      <w:rFonts w:ascii="Cambria" w:eastAsia="Times New Roman" w:hAnsi="Cambria" w:cs="Cambria"/>
      <w:caps/>
      <w:color w:val="622423"/>
      <w:spacing w:val="10"/>
      <w:sz w:val="20"/>
      <w:szCs w:val="20"/>
      <w:lang w:val="x-none" w:eastAsia="ar-SA"/>
    </w:rPr>
  </w:style>
  <w:style w:type="character" w:customStyle="1" w:styleId="Heading6Char">
    <w:name w:val="Heading 6 Char"/>
    <w:basedOn w:val="DefaultParagraphFont"/>
    <w:link w:val="Heading6"/>
    <w:rsid w:val="001855B9"/>
    <w:rPr>
      <w:rFonts w:ascii="Cambria" w:eastAsia="Times New Roman" w:hAnsi="Cambria" w:cs="Cambria"/>
      <w:caps/>
      <w:color w:val="943634"/>
      <w:spacing w:val="10"/>
      <w:sz w:val="20"/>
      <w:szCs w:val="20"/>
      <w:lang w:val="x-none" w:eastAsia="ar-SA"/>
    </w:rPr>
  </w:style>
  <w:style w:type="character" w:customStyle="1" w:styleId="Heading7Char">
    <w:name w:val="Heading 7 Char"/>
    <w:basedOn w:val="DefaultParagraphFont"/>
    <w:link w:val="Heading7"/>
    <w:rsid w:val="001855B9"/>
    <w:rPr>
      <w:rFonts w:ascii="Cambria" w:eastAsia="Times New Roman" w:hAnsi="Cambria" w:cs="Cambria"/>
      <w:i/>
      <w:iCs/>
      <w:caps/>
      <w:color w:val="943634"/>
      <w:spacing w:val="10"/>
      <w:sz w:val="20"/>
      <w:szCs w:val="20"/>
      <w:lang w:val="x-none" w:eastAsia="ar-SA"/>
    </w:rPr>
  </w:style>
  <w:style w:type="character" w:customStyle="1" w:styleId="Heading8Char">
    <w:name w:val="Heading 8 Char"/>
    <w:basedOn w:val="DefaultParagraphFont"/>
    <w:link w:val="Heading8"/>
    <w:rsid w:val="001855B9"/>
    <w:rPr>
      <w:rFonts w:ascii="Cambria" w:eastAsia="Times New Roman" w:hAnsi="Cambria" w:cs="Cambria"/>
      <w:caps/>
      <w:spacing w:val="10"/>
      <w:sz w:val="20"/>
      <w:szCs w:val="20"/>
      <w:lang w:val="x-none" w:eastAsia="ar-SA"/>
    </w:rPr>
  </w:style>
  <w:style w:type="character" w:customStyle="1" w:styleId="Heading9Char">
    <w:name w:val="Heading 9 Char"/>
    <w:basedOn w:val="DefaultParagraphFont"/>
    <w:link w:val="Heading9"/>
    <w:rsid w:val="001855B9"/>
    <w:rPr>
      <w:rFonts w:ascii="Cambria" w:eastAsia="Times New Roman" w:hAnsi="Cambria" w:cs="Cambria"/>
      <w:i/>
      <w:iCs/>
      <w:caps/>
      <w:spacing w:val="10"/>
      <w:sz w:val="20"/>
      <w:szCs w:val="20"/>
      <w:lang w:val="x-none" w:eastAsia="ar-SA"/>
    </w:rPr>
  </w:style>
  <w:style w:type="numbering" w:customStyle="1" w:styleId="NoList1">
    <w:name w:val="No List1"/>
    <w:next w:val="NoList"/>
    <w:semiHidden/>
    <w:rsid w:val="001855B9"/>
  </w:style>
  <w:style w:type="character" w:customStyle="1" w:styleId="WW8Num1z0">
    <w:name w:val="WW8Num1z0"/>
    <w:rsid w:val="001855B9"/>
    <w:rPr>
      <w:rFonts w:ascii="Symbol" w:hAnsi="Symbol" w:cs="Symbol"/>
    </w:rPr>
  </w:style>
  <w:style w:type="character" w:customStyle="1" w:styleId="WW8Num1z1">
    <w:name w:val="WW8Num1z1"/>
    <w:rsid w:val="001855B9"/>
    <w:rPr>
      <w:rFonts w:ascii="OpenSymbol" w:hAnsi="OpenSymbol" w:cs="OpenSymbol"/>
    </w:rPr>
  </w:style>
  <w:style w:type="character" w:customStyle="1" w:styleId="WW8Num2z0">
    <w:name w:val="WW8Num2z0"/>
    <w:rsid w:val="001855B9"/>
    <w:rPr>
      <w:rFonts w:ascii="Symbol" w:hAnsi="Symbol" w:cs="Symbol"/>
    </w:rPr>
  </w:style>
  <w:style w:type="character" w:customStyle="1" w:styleId="WW8Num2z1">
    <w:name w:val="WW8Num2z1"/>
    <w:rsid w:val="001855B9"/>
    <w:rPr>
      <w:rFonts w:ascii="OpenSymbol" w:hAnsi="OpenSymbol" w:cs="OpenSymbol"/>
    </w:rPr>
  </w:style>
  <w:style w:type="character" w:customStyle="1" w:styleId="WW8Num3z0">
    <w:name w:val="WW8Num3z0"/>
    <w:rsid w:val="001855B9"/>
    <w:rPr>
      <w:rFonts w:ascii="Times New Roman" w:hAnsi="Times New Roman" w:cs="Times New Roman"/>
    </w:rPr>
  </w:style>
  <w:style w:type="character" w:customStyle="1" w:styleId="WW8Num3z1">
    <w:name w:val="WW8Num3z1"/>
    <w:rsid w:val="001855B9"/>
    <w:rPr>
      <w:rFonts w:ascii="Symbol" w:hAnsi="Symbol" w:cs="Symbol"/>
    </w:rPr>
  </w:style>
  <w:style w:type="character" w:customStyle="1" w:styleId="WW8Num3z2">
    <w:name w:val="WW8Num3z2"/>
    <w:rsid w:val="001855B9"/>
    <w:rPr>
      <w:rFonts w:ascii="Wingdings" w:hAnsi="Wingdings" w:cs="Wingdings"/>
    </w:rPr>
  </w:style>
  <w:style w:type="character" w:customStyle="1" w:styleId="WW8Num3z4">
    <w:name w:val="WW8Num3z4"/>
    <w:rsid w:val="001855B9"/>
    <w:rPr>
      <w:rFonts w:ascii="Courier New" w:hAnsi="Courier New" w:cs="Courier New"/>
    </w:rPr>
  </w:style>
  <w:style w:type="character" w:customStyle="1" w:styleId="WW8Num4z0">
    <w:name w:val="WW8Num4z0"/>
    <w:rsid w:val="001855B9"/>
    <w:rPr>
      <w:rFonts w:ascii="Symbol" w:hAnsi="Symbol" w:cs="Symbol"/>
    </w:rPr>
  </w:style>
  <w:style w:type="character" w:customStyle="1" w:styleId="WW8Num4z2">
    <w:name w:val="WW8Num4z2"/>
    <w:rsid w:val="001855B9"/>
    <w:rPr>
      <w:rFonts w:ascii="Wingdings" w:hAnsi="Wingdings" w:cs="Wingdings"/>
    </w:rPr>
  </w:style>
  <w:style w:type="character" w:customStyle="1" w:styleId="WW8Num4z4">
    <w:name w:val="WW8Num4z4"/>
    <w:rsid w:val="001855B9"/>
    <w:rPr>
      <w:rFonts w:ascii="Courier New" w:hAnsi="Courier New" w:cs="Courier New"/>
    </w:rPr>
  </w:style>
  <w:style w:type="character" w:customStyle="1" w:styleId="WW8Num5z0">
    <w:name w:val="WW8Num5z0"/>
    <w:rsid w:val="001855B9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855B9"/>
    <w:rPr>
      <w:rFonts w:ascii="Courier New" w:hAnsi="Courier New" w:cs="Courier New"/>
    </w:rPr>
  </w:style>
  <w:style w:type="character" w:customStyle="1" w:styleId="WW8Num5z2">
    <w:name w:val="WW8Num5z2"/>
    <w:rsid w:val="001855B9"/>
    <w:rPr>
      <w:rFonts w:ascii="Wingdings" w:hAnsi="Wingdings" w:cs="Wingdings"/>
    </w:rPr>
  </w:style>
  <w:style w:type="character" w:customStyle="1" w:styleId="WW8Num5z3">
    <w:name w:val="WW8Num5z3"/>
    <w:rsid w:val="001855B9"/>
    <w:rPr>
      <w:rFonts w:ascii="Symbol" w:hAnsi="Symbol" w:cs="Symbol"/>
    </w:rPr>
  </w:style>
  <w:style w:type="character" w:customStyle="1" w:styleId="WW8Num6z0">
    <w:name w:val="WW8Num6z0"/>
    <w:rsid w:val="001855B9"/>
    <w:rPr>
      <w:rFonts w:ascii="Symbol" w:hAnsi="Symbol" w:cs="Symbol"/>
    </w:rPr>
  </w:style>
  <w:style w:type="character" w:customStyle="1" w:styleId="WW8Num6z1">
    <w:name w:val="WW8Num6z1"/>
    <w:rsid w:val="001855B9"/>
    <w:rPr>
      <w:rFonts w:ascii="Courier New" w:hAnsi="Courier New" w:cs="Courier New"/>
    </w:rPr>
  </w:style>
  <w:style w:type="character" w:customStyle="1" w:styleId="WW8Num6z2">
    <w:name w:val="WW8Num6z2"/>
    <w:rsid w:val="001855B9"/>
    <w:rPr>
      <w:rFonts w:ascii="Wingdings" w:hAnsi="Wingdings" w:cs="Wingdings"/>
    </w:rPr>
  </w:style>
  <w:style w:type="character" w:customStyle="1" w:styleId="WW8Num7z0">
    <w:name w:val="WW8Num7z0"/>
    <w:rsid w:val="001855B9"/>
    <w:rPr>
      <w:rFonts w:ascii="Symbol" w:hAnsi="Symbol" w:cs="Symbol"/>
    </w:rPr>
  </w:style>
  <w:style w:type="character" w:customStyle="1" w:styleId="WW8Num7z1">
    <w:name w:val="WW8Num7z1"/>
    <w:rsid w:val="001855B9"/>
    <w:rPr>
      <w:rFonts w:ascii="Courier New" w:hAnsi="Courier New" w:cs="Courier New"/>
    </w:rPr>
  </w:style>
  <w:style w:type="character" w:customStyle="1" w:styleId="WW8Num7z2">
    <w:name w:val="WW8Num7z2"/>
    <w:rsid w:val="001855B9"/>
    <w:rPr>
      <w:rFonts w:ascii="Wingdings" w:hAnsi="Wingdings" w:cs="Wingdings"/>
    </w:rPr>
  </w:style>
  <w:style w:type="character" w:customStyle="1" w:styleId="WW8Num9z0">
    <w:name w:val="WW8Num9z0"/>
    <w:rsid w:val="001855B9"/>
    <w:rPr>
      <w:rFonts w:ascii="Symbol" w:hAnsi="Symbol" w:cs="Symbol"/>
    </w:rPr>
  </w:style>
  <w:style w:type="character" w:customStyle="1" w:styleId="WW8Num9z1">
    <w:name w:val="WW8Num9z1"/>
    <w:rsid w:val="001855B9"/>
    <w:rPr>
      <w:rFonts w:ascii="Courier New" w:hAnsi="Courier New" w:cs="Courier New"/>
    </w:rPr>
  </w:style>
  <w:style w:type="character" w:customStyle="1" w:styleId="WW8Num9z2">
    <w:name w:val="WW8Num9z2"/>
    <w:rsid w:val="001855B9"/>
    <w:rPr>
      <w:rFonts w:ascii="Wingdings" w:hAnsi="Wingdings" w:cs="Wingdings"/>
    </w:rPr>
  </w:style>
  <w:style w:type="character" w:customStyle="1" w:styleId="WW8Num10z0">
    <w:name w:val="WW8Num10z0"/>
    <w:rsid w:val="001855B9"/>
    <w:rPr>
      <w:rFonts w:ascii="Symbol" w:hAnsi="Symbol" w:cs="Symbol"/>
    </w:rPr>
  </w:style>
  <w:style w:type="character" w:customStyle="1" w:styleId="WW8Num10z1">
    <w:name w:val="WW8Num10z1"/>
    <w:rsid w:val="001855B9"/>
    <w:rPr>
      <w:rFonts w:ascii="Courier New" w:hAnsi="Courier New" w:cs="Courier New"/>
    </w:rPr>
  </w:style>
  <w:style w:type="character" w:customStyle="1" w:styleId="WW8Num10z2">
    <w:name w:val="WW8Num10z2"/>
    <w:rsid w:val="001855B9"/>
    <w:rPr>
      <w:rFonts w:ascii="Wingdings" w:hAnsi="Wingdings" w:cs="Wingdings"/>
    </w:rPr>
  </w:style>
  <w:style w:type="character" w:customStyle="1" w:styleId="WW8Num11z0">
    <w:name w:val="WW8Num11z0"/>
    <w:rsid w:val="001855B9"/>
    <w:rPr>
      <w:rFonts w:ascii="Symbol" w:hAnsi="Symbol" w:cs="Symbol"/>
    </w:rPr>
  </w:style>
  <w:style w:type="character" w:customStyle="1" w:styleId="WW8Num11z1">
    <w:name w:val="WW8Num11z1"/>
    <w:rsid w:val="001855B9"/>
    <w:rPr>
      <w:rFonts w:ascii="Courier New" w:hAnsi="Courier New" w:cs="Courier New"/>
    </w:rPr>
  </w:style>
  <w:style w:type="character" w:customStyle="1" w:styleId="WW8Num11z2">
    <w:name w:val="WW8Num11z2"/>
    <w:rsid w:val="001855B9"/>
    <w:rPr>
      <w:rFonts w:ascii="Wingdings" w:hAnsi="Wingdings" w:cs="Wingdings"/>
    </w:rPr>
  </w:style>
  <w:style w:type="character" w:customStyle="1" w:styleId="WW8Num12z0">
    <w:name w:val="WW8Num12z0"/>
    <w:rsid w:val="001855B9"/>
    <w:rPr>
      <w:rFonts w:ascii="Symbol" w:hAnsi="Symbol" w:cs="Symbol"/>
    </w:rPr>
  </w:style>
  <w:style w:type="character" w:customStyle="1" w:styleId="WW8Num12z1">
    <w:name w:val="WW8Num12z1"/>
    <w:rsid w:val="001855B9"/>
    <w:rPr>
      <w:rFonts w:ascii="Courier New" w:hAnsi="Courier New" w:cs="Courier New"/>
    </w:rPr>
  </w:style>
  <w:style w:type="character" w:customStyle="1" w:styleId="WW8Num12z2">
    <w:name w:val="WW8Num12z2"/>
    <w:rsid w:val="001855B9"/>
    <w:rPr>
      <w:rFonts w:ascii="Wingdings" w:hAnsi="Wingdings" w:cs="Wingdings"/>
    </w:rPr>
  </w:style>
  <w:style w:type="character" w:customStyle="1" w:styleId="WW8Num14z0">
    <w:name w:val="WW8Num14z0"/>
    <w:rsid w:val="001855B9"/>
    <w:rPr>
      <w:rFonts w:ascii="Symbol" w:hAnsi="Symbol" w:cs="Symbol"/>
    </w:rPr>
  </w:style>
  <w:style w:type="character" w:customStyle="1" w:styleId="WW8Num14z1">
    <w:name w:val="WW8Num14z1"/>
    <w:rsid w:val="001855B9"/>
    <w:rPr>
      <w:rFonts w:ascii="Courier New" w:hAnsi="Courier New" w:cs="Courier New"/>
    </w:rPr>
  </w:style>
  <w:style w:type="character" w:customStyle="1" w:styleId="WW8Num14z2">
    <w:name w:val="WW8Num14z2"/>
    <w:rsid w:val="001855B9"/>
    <w:rPr>
      <w:rFonts w:ascii="Wingdings" w:hAnsi="Wingdings" w:cs="Wingdings"/>
    </w:rPr>
  </w:style>
  <w:style w:type="character" w:customStyle="1" w:styleId="WW8Num15z0">
    <w:name w:val="WW8Num15z0"/>
    <w:rsid w:val="001855B9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1855B9"/>
    <w:rPr>
      <w:rFonts w:ascii="Courier New" w:hAnsi="Courier New" w:cs="Courier New"/>
    </w:rPr>
  </w:style>
  <w:style w:type="character" w:customStyle="1" w:styleId="WW8Num15z2">
    <w:name w:val="WW8Num15z2"/>
    <w:rsid w:val="001855B9"/>
    <w:rPr>
      <w:rFonts w:ascii="Wingdings" w:hAnsi="Wingdings" w:cs="Wingdings"/>
    </w:rPr>
  </w:style>
  <w:style w:type="character" w:customStyle="1" w:styleId="WW8Num15z3">
    <w:name w:val="WW8Num15z3"/>
    <w:rsid w:val="001855B9"/>
    <w:rPr>
      <w:rFonts w:ascii="Symbol" w:hAnsi="Symbol" w:cs="Symbol"/>
    </w:rPr>
  </w:style>
  <w:style w:type="character" w:customStyle="1" w:styleId="WW8Num17z0">
    <w:name w:val="WW8Num17z0"/>
    <w:rsid w:val="001855B9"/>
    <w:rPr>
      <w:rFonts w:ascii="Times New Roman" w:eastAsia="Times New Roman" w:hAnsi="Times New Roman" w:cs="Times New Roman"/>
      <w:b/>
      <w:bCs/>
    </w:rPr>
  </w:style>
  <w:style w:type="character" w:customStyle="1" w:styleId="WW8Num17z1">
    <w:name w:val="WW8Num17z1"/>
    <w:rsid w:val="001855B9"/>
    <w:rPr>
      <w:rFonts w:ascii="Symbol" w:hAnsi="Symbol" w:cs="Symbol"/>
      <w:b/>
      <w:bCs/>
    </w:rPr>
  </w:style>
  <w:style w:type="character" w:customStyle="1" w:styleId="WW8Num17z2">
    <w:name w:val="WW8Num17z2"/>
    <w:rsid w:val="001855B9"/>
    <w:rPr>
      <w:rFonts w:ascii="Wingdings" w:hAnsi="Wingdings" w:cs="Wingdings"/>
      <w:b/>
      <w:bCs/>
    </w:rPr>
  </w:style>
  <w:style w:type="character" w:customStyle="1" w:styleId="WW8Num17z3">
    <w:name w:val="WW8Num17z3"/>
    <w:rsid w:val="001855B9"/>
    <w:rPr>
      <w:rFonts w:ascii="Symbol" w:hAnsi="Symbol" w:cs="Symbol"/>
    </w:rPr>
  </w:style>
  <w:style w:type="character" w:customStyle="1" w:styleId="WW8Num17z4">
    <w:name w:val="WW8Num17z4"/>
    <w:rsid w:val="001855B9"/>
    <w:rPr>
      <w:rFonts w:ascii="Courier New" w:hAnsi="Courier New" w:cs="Courier New"/>
    </w:rPr>
  </w:style>
  <w:style w:type="character" w:customStyle="1" w:styleId="WW8Num17z5">
    <w:name w:val="WW8Num17z5"/>
    <w:rsid w:val="001855B9"/>
    <w:rPr>
      <w:rFonts w:ascii="Wingdings" w:hAnsi="Wingdings" w:cs="Wingdings"/>
    </w:rPr>
  </w:style>
  <w:style w:type="character" w:customStyle="1" w:styleId="WW8Num18z0">
    <w:name w:val="WW8Num18z0"/>
    <w:rsid w:val="001855B9"/>
    <w:rPr>
      <w:rFonts w:ascii="Symbol" w:hAnsi="Symbol" w:cs="Symbol"/>
    </w:rPr>
  </w:style>
  <w:style w:type="character" w:customStyle="1" w:styleId="WW8Num18z1">
    <w:name w:val="WW8Num18z1"/>
    <w:rsid w:val="001855B9"/>
    <w:rPr>
      <w:rFonts w:ascii="Courier New" w:hAnsi="Courier New" w:cs="Courier New"/>
    </w:rPr>
  </w:style>
  <w:style w:type="character" w:customStyle="1" w:styleId="WW8Num18z2">
    <w:name w:val="WW8Num18z2"/>
    <w:rsid w:val="001855B9"/>
    <w:rPr>
      <w:rFonts w:ascii="Wingdings" w:hAnsi="Wingdings" w:cs="Wingdings"/>
    </w:rPr>
  </w:style>
  <w:style w:type="character" w:customStyle="1" w:styleId="WW8Num19z0">
    <w:name w:val="WW8Num19z0"/>
    <w:rsid w:val="001855B9"/>
    <w:rPr>
      <w:rFonts w:ascii="Symbol" w:hAnsi="Symbol" w:cs="Symbol"/>
    </w:rPr>
  </w:style>
  <w:style w:type="character" w:customStyle="1" w:styleId="WW8Num19z1">
    <w:name w:val="WW8Num19z1"/>
    <w:rsid w:val="001855B9"/>
    <w:rPr>
      <w:rFonts w:ascii="Courier New" w:hAnsi="Courier New" w:cs="Courier New"/>
    </w:rPr>
  </w:style>
  <w:style w:type="character" w:customStyle="1" w:styleId="WW8Num19z2">
    <w:name w:val="WW8Num19z2"/>
    <w:rsid w:val="001855B9"/>
    <w:rPr>
      <w:rFonts w:ascii="Wingdings" w:hAnsi="Wingdings" w:cs="Wingdings"/>
    </w:rPr>
  </w:style>
  <w:style w:type="character" w:customStyle="1" w:styleId="WW8Num20z0">
    <w:name w:val="WW8Num20z0"/>
    <w:rsid w:val="001855B9"/>
    <w:rPr>
      <w:rFonts w:ascii="Symbol" w:hAnsi="Symbol" w:cs="Symbol"/>
    </w:rPr>
  </w:style>
  <w:style w:type="character" w:customStyle="1" w:styleId="WW8Num20z1">
    <w:name w:val="WW8Num20z1"/>
    <w:rsid w:val="001855B9"/>
    <w:rPr>
      <w:rFonts w:ascii="Courier New" w:hAnsi="Courier New" w:cs="Courier New"/>
    </w:rPr>
  </w:style>
  <w:style w:type="character" w:customStyle="1" w:styleId="WW8Num20z2">
    <w:name w:val="WW8Num20z2"/>
    <w:rsid w:val="001855B9"/>
    <w:rPr>
      <w:rFonts w:ascii="Wingdings" w:hAnsi="Wingdings" w:cs="Wingdings"/>
    </w:rPr>
  </w:style>
  <w:style w:type="character" w:customStyle="1" w:styleId="WW8Num23z0">
    <w:name w:val="WW8Num23z0"/>
    <w:rsid w:val="001855B9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1855B9"/>
    <w:rPr>
      <w:rFonts w:ascii="Courier New" w:hAnsi="Courier New" w:cs="Courier New"/>
    </w:rPr>
  </w:style>
  <w:style w:type="character" w:customStyle="1" w:styleId="WW8Num23z2">
    <w:name w:val="WW8Num23z2"/>
    <w:rsid w:val="001855B9"/>
    <w:rPr>
      <w:rFonts w:ascii="Wingdings" w:hAnsi="Wingdings" w:cs="Wingdings"/>
    </w:rPr>
  </w:style>
  <w:style w:type="character" w:customStyle="1" w:styleId="WW8Num23z3">
    <w:name w:val="WW8Num23z3"/>
    <w:rsid w:val="001855B9"/>
    <w:rPr>
      <w:rFonts w:ascii="Symbol" w:hAnsi="Symbol" w:cs="Symbol"/>
    </w:rPr>
  </w:style>
  <w:style w:type="character" w:customStyle="1" w:styleId="WW8Num24z0">
    <w:name w:val="WW8Num24z0"/>
    <w:rsid w:val="001855B9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1855B9"/>
    <w:rPr>
      <w:rFonts w:ascii="Courier New" w:hAnsi="Courier New" w:cs="Courier New"/>
    </w:rPr>
  </w:style>
  <w:style w:type="character" w:customStyle="1" w:styleId="WW8Num24z2">
    <w:name w:val="WW8Num24z2"/>
    <w:rsid w:val="001855B9"/>
    <w:rPr>
      <w:rFonts w:ascii="Wingdings" w:hAnsi="Wingdings" w:cs="Wingdings"/>
    </w:rPr>
  </w:style>
  <w:style w:type="character" w:customStyle="1" w:styleId="WW8Num24z3">
    <w:name w:val="WW8Num24z3"/>
    <w:rsid w:val="001855B9"/>
    <w:rPr>
      <w:rFonts w:ascii="Symbol" w:hAnsi="Symbol" w:cs="Symbol"/>
    </w:rPr>
  </w:style>
  <w:style w:type="character" w:customStyle="1" w:styleId="WW8Num25z0">
    <w:name w:val="WW8Num25z0"/>
    <w:rsid w:val="001855B9"/>
    <w:rPr>
      <w:rFonts w:ascii="Symbol" w:hAnsi="Symbol" w:cs="Symbol"/>
    </w:rPr>
  </w:style>
  <w:style w:type="character" w:customStyle="1" w:styleId="WW8Num25z1">
    <w:name w:val="WW8Num25z1"/>
    <w:rsid w:val="001855B9"/>
    <w:rPr>
      <w:rFonts w:ascii="Courier New" w:hAnsi="Courier New" w:cs="Courier New"/>
    </w:rPr>
  </w:style>
  <w:style w:type="character" w:customStyle="1" w:styleId="WW8Num25z2">
    <w:name w:val="WW8Num25z2"/>
    <w:rsid w:val="001855B9"/>
    <w:rPr>
      <w:rFonts w:ascii="Wingdings" w:hAnsi="Wingdings" w:cs="Wingdings"/>
    </w:rPr>
  </w:style>
  <w:style w:type="character" w:customStyle="1" w:styleId="WW8Num26z0">
    <w:name w:val="WW8Num26z0"/>
    <w:rsid w:val="001855B9"/>
    <w:rPr>
      <w:rFonts w:ascii="Symbol" w:hAnsi="Symbol" w:cs="Symbol"/>
    </w:rPr>
  </w:style>
  <w:style w:type="character" w:customStyle="1" w:styleId="WW8Num26z1">
    <w:name w:val="WW8Num26z1"/>
    <w:rsid w:val="001855B9"/>
    <w:rPr>
      <w:rFonts w:ascii="Courier New" w:hAnsi="Courier New" w:cs="Courier New"/>
    </w:rPr>
  </w:style>
  <w:style w:type="character" w:customStyle="1" w:styleId="WW8Num26z2">
    <w:name w:val="WW8Num26z2"/>
    <w:rsid w:val="001855B9"/>
    <w:rPr>
      <w:rFonts w:ascii="Wingdings" w:hAnsi="Wingdings" w:cs="Wingdings"/>
    </w:rPr>
  </w:style>
  <w:style w:type="character" w:customStyle="1" w:styleId="WW8Num27z0">
    <w:name w:val="WW8Num27z0"/>
    <w:rsid w:val="001855B9"/>
    <w:rPr>
      <w:rFonts w:ascii="Symbol" w:hAnsi="Symbol" w:cs="Symbol"/>
    </w:rPr>
  </w:style>
  <w:style w:type="character" w:customStyle="1" w:styleId="WW8Num27z1">
    <w:name w:val="WW8Num27z1"/>
    <w:rsid w:val="001855B9"/>
    <w:rPr>
      <w:rFonts w:ascii="Courier New" w:hAnsi="Courier New" w:cs="Courier New"/>
    </w:rPr>
  </w:style>
  <w:style w:type="character" w:customStyle="1" w:styleId="WW8Num27z2">
    <w:name w:val="WW8Num27z2"/>
    <w:rsid w:val="001855B9"/>
    <w:rPr>
      <w:rFonts w:ascii="Wingdings" w:hAnsi="Wingdings" w:cs="Wingdings"/>
    </w:rPr>
  </w:style>
  <w:style w:type="character" w:customStyle="1" w:styleId="WW8Num28z0">
    <w:name w:val="WW8Num28z0"/>
    <w:rsid w:val="001855B9"/>
    <w:rPr>
      <w:rFonts w:ascii="Symbol" w:hAnsi="Symbol" w:cs="Symbol"/>
    </w:rPr>
  </w:style>
  <w:style w:type="character" w:customStyle="1" w:styleId="WW8Num28z1">
    <w:name w:val="WW8Num28z1"/>
    <w:rsid w:val="001855B9"/>
    <w:rPr>
      <w:rFonts w:ascii="Courier New" w:hAnsi="Courier New" w:cs="Courier New"/>
    </w:rPr>
  </w:style>
  <w:style w:type="character" w:customStyle="1" w:styleId="WW8Num28z2">
    <w:name w:val="WW8Num28z2"/>
    <w:rsid w:val="001855B9"/>
    <w:rPr>
      <w:rFonts w:ascii="Wingdings" w:hAnsi="Wingdings" w:cs="Wingdings"/>
    </w:rPr>
  </w:style>
  <w:style w:type="character" w:customStyle="1" w:styleId="WW8Num30z0">
    <w:name w:val="WW8Num30z0"/>
    <w:rsid w:val="001855B9"/>
    <w:rPr>
      <w:rFonts w:ascii="Symbol" w:hAnsi="Symbol" w:cs="Symbol"/>
      <w:b/>
      <w:bCs/>
    </w:rPr>
  </w:style>
  <w:style w:type="character" w:customStyle="1" w:styleId="WW8Num30z2">
    <w:name w:val="WW8Num30z2"/>
    <w:rsid w:val="001855B9"/>
    <w:rPr>
      <w:rFonts w:ascii="Wingdings" w:hAnsi="Wingdings" w:cs="Wingdings"/>
      <w:b/>
      <w:bCs/>
    </w:rPr>
  </w:style>
  <w:style w:type="character" w:customStyle="1" w:styleId="WW8Num30z3">
    <w:name w:val="WW8Num30z3"/>
    <w:rsid w:val="001855B9"/>
    <w:rPr>
      <w:rFonts w:ascii="Symbol" w:hAnsi="Symbol" w:cs="Symbol"/>
    </w:rPr>
  </w:style>
  <w:style w:type="character" w:customStyle="1" w:styleId="WW8Num30z4">
    <w:name w:val="WW8Num30z4"/>
    <w:rsid w:val="001855B9"/>
    <w:rPr>
      <w:rFonts w:ascii="Courier New" w:hAnsi="Courier New" w:cs="Courier New"/>
    </w:rPr>
  </w:style>
  <w:style w:type="character" w:customStyle="1" w:styleId="WW8Num30z5">
    <w:name w:val="WW8Num30z5"/>
    <w:rsid w:val="001855B9"/>
    <w:rPr>
      <w:rFonts w:ascii="Wingdings" w:hAnsi="Wingdings" w:cs="Wingdings"/>
    </w:rPr>
  </w:style>
  <w:style w:type="character" w:customStyle="1" w:styleId="1">
    <w:name w:val="Шрифт на абзаца по подразбиране1"/>
    <w:rsid w:val="001855B9"/>
  </w:style>
  <w:style w:type="character" w:customStyle="1" w:styleId="15">
    <w:name w:val="Знак Знак15"/>
    <w:rsid w:val="001855B9"/>
    <w:rPr>
      <w:caps/>
      <w:color w:val="632423"/>
      <w:spacing w:val="20"/>
      <w:sz w:val="28"/>
      <w:szCs w:val="28"/>
    </w:rPr>
  </w:style>
  <w:style w:type="character" w:customStyle="1" w:styleId="14">
    <w:name w:val="Знак Знак14"/>
    <w:rsid w:val="001855B9"/>
    <w:rPr>
      <w:caps/>
      <w:color w:val="632423"/>
      <w:spacing w:val="15"/>
      <w:sz w:val="24"/>
      <w:szCs w:val="24"/>
    </w:rPr>
  </w:style>
  <w:style w:type="character" w:customStyle="1" w:styleId="13">
    <w:name w:val="Знак Знак13"/>
    <w:rsid w:val="001855B9"/>
    <w:rPr>
      <w:caps/>
      <w:color w:val="622423"/>
      <w:sz w:val="24"/>
      <w:szCs w:val="24"/>
    </w:rPr>
  </w:style>
  <w:style w:type="character" w:customStyle="1" w:styleId="12">
    <w:name w:val="Знак Знак12"/>
    <w:rsid w:val="001855B9"/>
    <w:rPr>
      <w:caps/>
      <w:color w:val="622423"/>
      <w:spacing w:val="10"/>
    </w:rPr>
  </w:style>
  <w:style w:type="character" w:customStyle="1" w:styleId="11">
    <w:name w:val="Знак Знак11"/>
    <w:rsid w:val="001855B9"/>
    <w:rPr>
      <w:caps/>
      <w:color w:val="622423"/>
      <w:spacing w:val="10"/>
    </w:rPr>
  </w:style>
  <w:style w:type="character" w:customStyle="1" w:styleId="10">
    <w:name w:val="Знак Знак10"/>
    <w:rsid w:val="001855B9"/>
    <w:rPr>
      <w:caps/>
      <w:color w:val="943634"/>
      <w:spacing w:val="10"/>
    </w:rPr>
  </w:style>
  <w:style w:type="character" w:customStyle="1" w:styleId="9">
    <w:name w:val="Знак Знак9"/>
    <w:rsid w:val="001855B9"/>
    <w:rPr>
      <w:i/>
      <w:iCs/>
      <w:caps/>
      <w:color w:val="943634"/>
      <w:spacing w:val="10"/>
    </w:rPr>
  </w:style>
  <w:style w:type="character" w:customStyle="1" w:styleId="8">
    <w:name w:val="Знак Знак8"/>
    <w:rsid w:val="001855B9"/>
    <w:rPr>
      <w:caps/>
      <w:spacing w:val="10"/>
      <w:sz w:val="20"/>
      <w:szCs w:val="20"/>
    </w:rPr>
  </w:style>
  <w:style w:type="character" w:customStyle="1" w:styleId="7">
    <w:name w:val="Знак Знак7"/>
    <w:rsid w:val="001855B9"/>
    <w:rPr>
      <w:i/>
      <w:iCs/>
      <w:caps/>
      <w:spacing w:val="10"/>
      <w:sz w:val="20"/>
      <w:szCs w:val="20"/>
    </w:rPr>
  </w:style>
  <w:style w:type="character" w:customStyle="1" w:styleId="6">
    <w:name w:val="Знак Знак6"/>
    <w:rsid w:val="001855B9"/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5">
    <w:name w:val="Знак Знак5"/>
    <w:rsid w:val="001855B9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qFormat/>
    <w:rsid w:val="001855B9"/>
    <w:rPr>
      <w:b/>
      <w:bCs/>
      <w:color w:val="943634"/>
      <w:spacing w:val="5"/>
    </w:rPr>
  </w:style>
  <w:style w:type="character" w:styleId="Emphasis">
    <w:name w:val="Emphasis"/>
    <w:qFormat/>
    <w:rsid w:val="001855B9"/>
    <w:rPr>
      <w:caps/>
      <w:spacing w:val="5"/>
      <w:sz w:val="20"/>
      <w:szCs w:val="20"/>
    </w:rPr>
  </w:style>
  <w:style w:type="character" w:customStyle="1" w:styleId="NoSpacingChar">
    <w:name w:val="No Spacing Char"/>
    <w:basedOn w:val="1"/>
    <w:rsid w:val="001855B9"/>
  </w:style>
  <w:style w:type="character" w:customStyle="1" w:styleId="QuoteChar">
    <w:name w:val="Quote Char"/>
    <w:rsid w:val="001855B9"/>
    <w:rPr>
      <w:rFonts w:eastAsia="Times New Roman" w:cs="Times New Roman"/>
      <w:i/>
      <w:iCs/>
    </w:rPr>
  </w:style>
  <w:style w:type="character" w:customStyle="1" w:styleId="IntenseQuoteChar">
    <w:name w:val="Intense Quote Char"/>
    <w:rsid w:val="001855B9"/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SubtleEmphasis1">
    <w:name w:val="Subtle Emphasis1"/>
    <w:rsid w:val="001855B9"/>
    <w:rPr>
      <w:i/>
      <w:iCs/>
    </w:rPr>
  </w:style>
  <w:style w:type="character" w:customStyle="1" w:styleId="IntenseEmphasis1">
    <w:name w:val="Intense Emphasis1"/>
    <w:rsid w:val="001855B9"/>
    <w:rPr>
      <w:i/>
      <w:iCs/>
      <w:caps/>
      <w:spacing w:val="10"/>
      <w:sz w:val="20"/>
      <w:szCs w:val="20"/>
    </w:rPr>
  </w:style>
  <w:style w:type="character" w:customStyle="1" w:styleId="SubtleReference1">
    <w:name w:val="Subtle Reference1"/>
    <w:rsid w:val="001855B9"/>
    <w:rPr>
      <w:rFonts w:ascii="Calibri" w:eastAsia="Times New Roman" w:hAnsi="Calibri" w:cs="Times New Roman"/>
      <w:i/>
      <w:iCs/>
      <w:color w:val="622423"/>
    </w:rPr>
  </w:style>
  <w:style w:type="character" w:customStyle="1" w:styleId="IntenseReference1">
    <w:name w:val="Intense Reference1"/>
    <w:rsid w:val="001855B9"/>
    <w:rPr>
      <w:rFonts w:ascii="Calibri" w:eastAsia="Times New Roman" w:hAnsi="Calibri" w:cs="Times New Roman"/>
      <w:b/>
      <w:bCs/>
      <w:i/>
      <w:iCs/>
      <w:color w:val="622423"/>
    </w:rPr>
  </w:style>
  <w:style w:type="character" w:customStyle="1" w:styleId="BookTitle1">
    <w:name w:val="Book Title1"/>
    <w:rsid w:val="001855B9"/>
    <w:rPr>
      <w:caps/>
      <w:color w:val="622423"/>
      <w:spacing w:val="5"/>
    </w:rPr>
  </w:style>
  <w:style w:type="character" w:customStyle="1" w:styleId="4">
    <w:name w:val="Знак Знак4"/>
    <w:basedOn w:val="1"/>
    <w:rsid w:val="001855B9"/>
  </w:style>
  <w:style w:type="character" w:customStyle="1" w:styleId="3">
    <w:name w:val="Знак Знак3"/>
    <w:basedOn w:val="1"/>
    <w:rsid w:val="001855B9"/>
  </w:style>
  <w:style w:type="character" w:styleId="Hyperlink">
    <w:name w:val="Hyperlink"/>
    <w:rsid w:val="001855B9"/>
    <w:rPr>
      <w:color w:val="0000FF"/>
      <w:u w:val="single"/>
    </w:rPr>
  </w:style>
  <w:style w:type="character" w:customStyle="1" w:styleId="2">
    <w:name w:val="Знак Знак2"/>
    <w:rsid w:val="001855B9"/>
    <w:rPr>
      <w:rFonts w:ascii="Tahoma" w:hAnsi="Tahoma" w:cs="Tahoma"/>
      <w:sz w:val="16"/>
      <w:szCs w:val="16"/>
    </w:rPr>
  </w:style>
  <w:style w:type="character" w:customStyle="1" w:styleId="CharChar">
    <w:name w:val="Char Char Знак Знак"/>
    <w:rsid w:val="001855B9"/>
    <w:rPr>
      <w:rFonts w:ascii="Times New Roman" w:eastAsia="Times New Roman" w:hAnsi="Times New Roman" w:cs="Times New Roman"/>
      <w:sz w:val="24"/>
      <w:szCs w:val="24"/>
      <w:lang w:val="bg-BG" w:eastAsia="ar-SA" w:bidi="ar-SA"/>
    </w:rPr>
  </w:style>
  <w:style w:type="character" w:customStyle="1" w:styleId="16">
    <w:name w:val="Препратка към коментар1"/>
    <w:rsid w:val="001855B9"/>
    <w:rPr>
      <w:sz w:val="16"/>
      <w:szCs w:val="16"/>
    </w:rPr>
  </w:style>
  <w:style w:type="character" w:customStyle="1" w:styleId="17">
    <w:name w:val="Знак Знак1"/>
    <w:rsid w:val="001855B9"/>
    <w:rPr>
      <w:rFonts w:ascii="Times New Roman" w:hAnsi="Times New Roman" w:cs="Times New Roman"/>
      <w:sz w:val="20"/>
      <w:szCs w:val="20"/>
      <w:lang w:val="bg-BG"/>
    </w:rPr>
  </w:style>
  <w:style w:type="character" w:customStyle="1" w:styleId="a">
    <w:name w:val="Знак Знак"/>
    <w:rsid w:val="001855B9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apple-converted-space">
    <w:name w:val="apple-converted-space"/>
    <w:basedOn w:val="1"/>
    <w:rsid w:val="001855B9"/>
  </w:style>
  <w:style w:type="character" w:customStyle="1" w:styleId="Bullets">
    <w:name w:val="Bullets"/>
    <w:rsid w:val="001855B9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1855B9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Mangal"/>
      <w:sz w:val="28"/>
      <w:szCs w:val="28"/>
      <w:lang w:bidi="en-US"/>
    </w:rPr>
  </w:style>
  <w:style w:type="paragraph" w:styleId="BodyText">
    <w:name w:val="Body Text"/>
    <w:basedOn w:val="Normal"/>
    <w:link w:val="BodyTextChar"/>
    <w:rsid w:val="001855B9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1855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">
    <w:name w:val="List"/>
    <w:basedOn w:val="BodyText"/>
    <w:rsid w:val="001855B9"/>
    <w:rPr>
      <w:rFonts w:cs="Mangal"/>
    </w:rPr>
  </w:style>
  <w:style w:type="paragraph" w:customStyle="1" w:styleId="Caption1">
    <w:name w:val="Caption1"/>
    <w:basedOn w:val="Normal"/>
    <w:rsid w:val="001855B9"/>
    <w:pPr>
      <w:suppressLineNumbers/>
      <w:suppressAutoHyphens/>
      <w:spacing w:before="120" w:after="120" w:line="240" w:lineRule="auto"/>
      <w:jc w:val="both"/>
    </w:pPr>
    <w:rPr>
      <w:rFonts w:ascii="Times New Roman" w:eastAsia="Times New Roman" w:hAnsi="Times New Roman" w:cs="Mangal"/>
      <w:i/>
      <w:iCs/>
      <w:sz w:val="24"/>
      <w:szCs w:val="24"/>
      <w:lang w:bidi="en-US"/>
    </w:rPr>
  </w:style>
  <w:style w:type="paragraph" w:customStyle="1" w:styleId="Index">
    <w:name w:val="Index"/>
    <w:basedOn w:val="Normal"/>
    <w:rsid w:val="001855B9"/>
    <w:pPr>
      <w:suppressLineNumbers/>
      <w:suppressAutoHyphens/>
      <w:spacing w:before="120" w:after="0" w:line="240" w:lineRule="auto"/>
      <w:jc w:val="both"/>
    </w:pPr>
    <w:rPr>
      <w:rFonts w:ascii="Times New Roman" w:eastAsia="Times New Roman" w:hAnsi="Times New Roman" w:cs="Mangal"/>
      <w:sz w:val="24"/>
      <w:lang w:bidi="en-US"/>
    </w:rPr>
  </w:style>
  <w:style w:type="paragraph" w:customStyle="1" w:styleId="18">
    <w:name w:val="Надпис1"/>
    <w:basedOn w:val="Normal"/>
    <w:next w:val="Normal"/>
    <w:rsid w:val="001855B9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aps/>
      <w:spacing w:val="10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qFormat/>
    <w:rsid w:val="001855B9"/>
    <w:pPr>
      <w:suppressAutoHyphens/>
      <w:spacing w:before="500" w:after="300" w:line="240" w:lineRule="auto"/>
      <w:jc w:val="center"/>
    </w:pPr>
    <w:rPr>
      <w:rFonts w:ascii="Cambria" w:eastAsia="Times New Roman" w:hAnsi="Cambria" w:cs="Cambria"/>
      <w:caps/>
      <w:color w:val="632423"/>
      <w:spacing w:val="50"/>
      <w:sz w:val="44"/>
      <w:szCs w:val="44"/>
      <w:lang w:val="x-none" w:eastAsia="ar-SA"/>
    </w:rPr>
  </w:style>
  <w:style w:type="character" w:customStyle="1" w:styleId="TitleChar">
    <w:name w:val="Title Char"/>
    <w:basedOn w:val="DefaultParagraphFont"/>
    <w:link w:val="Title"/>
    <w:rsid w:val="001855B9"/>
    <w:rPr>
      <w:rFonts w:ascii="Cambria" w:eastAsia="Times New Roman" w:hAnsi="Cambria" w:cs="Cambria"/>
      <w:caps/>
      <w:color w:val="632423"/>
      <w:spacing w:val="50"/>
      <w:sz w:val="44"/>
      <w:szCs w:val="44"/>
      <w:lang w:val="x-none" w:eastAsia="ar-SA"/>
    </w:rPr>
  </w:style>
  <w:style w:type="paragraph" w:styleId="Subtitle">
    <w:name w:val="Subtitle"/>
    <w:basedOn w:val="Normal"/>
    <w:next w:val="Normal"/>
    <w:link w:val="SubtitleChar"/>
    <w:qFormat/>
    <w:rsid w:val="001855B9"/>
    <w:pPr>
      <w:suppressAutoHyphens/>
      <w:spacing w:before="120" w:after="560" w:line="240" w:lineRule="auto"/>
      <w:jc w:val="center"/>
    </w:pPr>
    <w:rPr>
      <w:rFonts w:ascii="Cambria" w:eastAsia="Times New Roman" w:hAnsi="Cambria" w:cs="Cambria"/>
      <w:caps/>
      <w:spacing w:val="20"/>
      <w:sz w:val="18"/>
      <w:szCs w:val="18"/>
      <w:lang w:val="x-none" w:eastAsia="ar-SA"/>
    </w:rPr>
  </w:style>
  <w:style w:type="character" w:customStyle="1" w:styleId="SubtitleChar">
    <w:name w:val="Subtitle Char"/>
    <w:basedOn w:val="DefaultParagraphFont"/>
    <w:link w:val="Subtitle"/>
    <w:rsid w:val="001855B9"/>
    <w:rPr>
      <w:rFonts w:ascii="Cambria" w:eastAsia="Times New Roman" w:hAnsi="Cambria" w:cs="Cambria"/>
      <w:caps/>
      <w:spacing w:val="20"/>
      <w:sz w:val="18"/>
      <w:szCs w:val="18"/>
      <w:lang w:val="x-none" w:eastAsia="ar-SA"/>
    </w:rPr>
  </w:style>
  <w:style w:type="paragraph" w:customStyle="1" w:styleId="NoSpacing1">
    <w:name w:val="No Spacing1"/>
    <w:basedOn w:val="Normal"/>
    <w:rsid w:val="001855B9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lang w:bidi="en-US"/>
    </w:rPr>
  </w:style>
  <w:style w:type="paragraph" w:customStyle="1" w:styleId="ListParagraph1">
    <w:name w:val="List Paragraph1"/>
    <w:basedOn w:val="Normal"/>
    <w:rsid w:val="001855B9"/>
    <w:pPr>
      <w:suppressAutoHyphens/>
      <w:spacing w:before="120"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lang w:bidi="en-US"/>
    </w:rPr>
  </w:style>
  <w:style w:type="paragraph" w:customStyle="1" w:styleId="Quote1">
    <w:name w:val="Quote1"/>
    <w:basedOn w:val="Normal"/>
    <w:next w:val="Normal"/>
    <w:rsid w:val="001855B9"/>
    <w:pPr>
      <w:suppressAutoHyphens/>
      <w:spacing w:before="120" w:after="0" w:line="240" w:lineRule="auto"/>
      <w:jc w:val="both"/>
    </w:pPr>
    <w:rPr>
      <w:rFonts w:ascii="Cambria" w:eastAsia="Times New Roman" w:hAnsi="Cambria" w:cs="Cambria"/>
      <w:i/>
      <w:iCs/>
      <w:sz w:val="20"/>
      <w:szCs w:val="20"/>
      <w:lang w:val="x-none" w:eastAsia="ar-SA"/>
    </w:rPr>
  </w:style>
  <w:style w:type="paragraph" w:customStyle="1" w:styleId="IntenseQuote1">
    <w:name w:val="Intense Quote1"/>
    <w:basedOn w:val="Normal"/>
    <w:next w:val="Normal"/>
    <w:rsid w:val="001855B9"/>
    <w:pPr>
      <w:suppressAutoHyphens/>
      <w:spacing w:before="160" w:after="0" w:line="300" w:lineRule="auto"/>
      <w:ind w:left="1440" w:right="1440"/>
      <w:jc w:val="both"/>
    </w:pPr>
    <w:rPr>
      <w:rFonts w:ascii="Cambria" w:eastAsia="Times New Roman" w:hAnsi="Cambria" w:cs="Cambria"/>
      <w:caps/>
      <w:color w:val="622423"/>
      <w:spacing w:val="5"/>
      <w:sz w:val="20"/>
      <w:szCs w:val="20"/>
      <w:lang w:val="x-none" w:eastAsia="ar-SA"/>
    </w:rPr>
  </w:style>
  <w:style w:type="paragraph" w:customStyle="1" w:styleId="TOCHeading1">
    <w:name w:val="TOC Heading1"/>
    <w:basedOn w:val="Heading1"/>
    <w:next w:val="Normal"/>
    <w:rsid w:val="001855B9"/>
  </w:style>
  <w:style w:type="paragraph" w:styleId="Header">
    <w:name w:val="header"/>
    <w:basedOn w:val="Normal"/>
    <w:link w:val="HeaderChar"/>
    <w:uiPriority w:val="99"/>
    <w:rsid w:val="001855B9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1855B9"/>
    <w:rPr>
      <w:rFonts w:ascii="Times New Roman" w:eastAsia="Times New Roman" w:hAnsi="Times New Roman" w:cs="Times New Roman"/>
      <w:sz w:val="24"/>
      <w:lang w:bidi="en-US"/>
    </w:rPr>
  </w:style>
  <w:style w:type="paragraph" w:styleId="Footer">
    <w:name w:val="footer"/>
    <w:basedOn w:val="Normal"/>
    <w:link w:val="FooterChar"/>
    <w:rsid w:val="001855B9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1855B9"/>
    <w:rPr>
      <w:rFonts w:ascii="Times New Roman" w:eastAsia="Times New Roman" w:hAnsi="Times New Roman" w:cs="Times New Roman"/>
      <w:sz w:val="24"/>
      <w:lang w:bidi="en-US"/>
    </w:rPr>
  </w:style>
  <w:style w:type="paragraph" w:styleId="TOC1">
    <w:name w:val="toc 1"/>
    <w:basedOn w:val="Normal"/>
    <w:next w:val="Normal"/>
    <w:uiPriority w:val="39"/>
    <w:rsid w:val="001855B9"/>
    <w:pPr>
      <w:suppressAutoHyphens/>
      <w:spacing w:before="120" w:after="100" w:line="240" w:lineRule="auto"/>
      <w:jc w:val="both"/>
    </w:pPr>
    <w:rPr>
      <w:rFonts w:ascii="Times New Roman" w:eastAsia="Times New Roman" w:hAnsi="Times New Roman" w:cs="Times New Roman"/>
      <w:sz w:val="24"/>
      <w:lang w:bidi="en-US"/>
    </w:rPr>
  </w:style>
  <w:style w:type="paragraph" w:styleId="BalloonText">
    <w:name w:val="Balloon Text"/>
    <w:basedOn w:val="Normal"/>
    <w:link w:val="BalloonTextChar"/>
    <w:rsid w:val="001855B9"/>
    <w:pPr>
      <w:suppressAutoHyphens/>
      <w:spacing w:before="120" w:after="0" w:line="240" w:lineRule="auto"/>
      <w:jc w:val="both"/>
    </w:pPr>
    <w:rPr>
      <w:rFonts w:ascii="Tahoma" w:eastAsia="Times New Roman" w:hAnsi="Tahoma" w:cs="Tahoma"/>
      <w:sz w:val="16"/>
      <w:szCs w:val="16"/>
      <w:lang w:val="x-none" w:eastAsia="ar-SA"/>
    </w:rPr>
  </w:style>
  <w:style w:type="character" w:customStyle="1" w:styleId="BalloonTextChar">
    <w:name w:val="Balloon Text Char"/>
    <w:basedOn w:val="DefaultParagraphFont"/>
    <w:link w:val="BalloonText"/>
    <w:rsid w:val="001855B9"/>
    <w:rPr>
      <w:rFonts w:ascii="Tahoma" w:eastAsia="Times New Roman" w:hAnsi="Tahoma" w:cs="Tahoma"/>
      <w:sz w:val="16"/>
      <w:szCs w:val="16"/>
      <w:lang w:val="x-none" w:eastAsia="ar-SA"/>
    </w:rPr>
  </w:style>
  <w:style w:type="paragraph" w:styleId="TOC2">
    <w:name w:val="toc 2"/>
    <w:basedOn w:val="Normal"/>
    <w:next w:val="Normal"/>
    <w:uiPriority w:val="39"/>
    <w:rsid w:val="001855B9"/>
    <w:pPr>
      <w:suppressAutoHyphens/>
      <w:spacing w:before="120" w:after="100" w:line="240" w:lineRule="auto"/>
      <w:ind w:left="240"/>
      <w:jc w:val="both"/>
    </w:pPr>
    <w:rPr>
      <w:rFonts w:ascii="Times New Roman" w:eastAsia="Times New Roman" w:hAnsi="Times New Roman" w:cs="Times New Roman"/>
      <w:sz w:val="24"/>
      <w:lang w:bidi="en-US"/>
    </w:rPr>
  </w:style>
  <w:style w:type="paragraph" w:styleId="TOC3">
    <w:name w:val="toc 3"/>
    <w:basedOn w:val="Normal"/>
    <w:next w:val="Normal"/>
    <w:uiPriority w:val="39"/>
    <w:rsid w:val="001855B9"/>
    <w:pPr>
      <w:suppressAutoHyphens/>
      <w:spacing w:before="120" w:after="100" w:line="240" w:lineRule="auto"/>
      <w:ind w:left="480"/>
      <w:jc w:val="both"/>
    </w:pPr>
    <w:rPr>
      <w:rFonts w:ascii="Times New Roman" w:eastAsia="Times New Roman" w:hAnsi="Times New Roman" w:cs="Times New Roman"/>
      <w:sz w:val="24"/>
      <w:lang w:bidi="en-US"/>
    </w:rPr>
  </w:style>
  <w:style w:type="paragraph" w:customStyle="1" w:styleId="19">
    <w:name w:val="Текст на коментар1"/>
    <w:basedOn w:val="Normal"/>
    <w:rsid w:val="001855B9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55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55B9"/>
    <w:rPr>
      <w:sz w:val="20"/>
      <w:szCs w:val="20"/>
    </w:rPr>
  </w:style>
  <w:style w:type="paragraph" w:styleId="CommentSubject">
    <w:name w:val="annotation subject"/>
    <w:basedOn w:val="19"/>
    <w:next w:val="19"/>
    <w:link w:val="CommentSubjectChar"/>
    <w:rsid w:val="001855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B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Web">
    <w:name w:val="Normal (Web)"/>
    <w:basedOn w:val="Normal"/>
    <w:rsid w:val="001855B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a">
    <w:name w:val="Без разредка1"/>
    <w:rsid w:val="001855B9"/>
    <w:pPr>
      <w:suppressAutoHyphens/>
    </w:pPr>
    <w:rPr>
      <w:rFonts w:ascii="Calibri" w:eastAsia="Calibri" w:hAnsi="Calibri" w:cs="Calibri"/>
      <w:sz w:val="24"/>
      <w:szCs w:val="24"/>
      <w:lang w:val="en-US" w:eastAsia="ar-SA"/>
    </w:rPr>
  </w:style>
  <w:style w:type="paragraph" w:styleId="TOC4">
    <w:name w:val="toc 4"/>
    <w:basedOn w:val="Index"/>
    <w:rsid w:val="001855B9"/>
    <w:pPr>
      <w:tabs>
        <w:tab w:val="right" w:leader="dot" w:pos="8789"/>
      </w:tabs>
      <w:ind w:left="849"/>
    </w:pPr>
  </w:style>
  <w:style w:type="paragraph" w:styleId="TOC5">
    <w:name w:val="toc 5"/>
    <w:basedOn w:val="Index"/>
    <w:rsid w:val="001855B9"/>
    <w:pPr>
      <w:tabs>
        <w:tab w:val="right" w:leader="dot" w:pos="8506"/>
      </w:tabs>
      <w:ind w:left="1132"/>
    </w:pPr>
  </w:style>
  <w:style w:type="paragraph" w:styleId="TOC6">
    <w:name w:val="toc 6"/>
    <w:basedOn w:val="Index"/>
    <w:rsid w:val="001855B9"/>
    <w:pPr>
      <w:tabs>
        <w:tab w:val="right" w:leader="dot" w:pos="8223"/>
      </w:tabs>
      <w:ind w:left="1415"/>
    </w:pPr>
  </w:style>
  <w:style w:type="paragraph" w:styleId="TOC7">
    <w:name w:val="toc 7"/>
    <w:basedOn w:val="Index"/>
    <w:rsid w:val="001855B9"/>
    <w:pPr>
      <w:tabs>
        <w:tab w:val="right" w:leader="dot" w:pos="7940"/>
      </w:tabs>
      <w:ind w:left="1698"/>
    </w:pPr>
  </w:style>
  <w:style w:type="paragraph" w:styleId="TOC8">
    <w:name w:val="toc 8"/>
    <w:basedOn w:val="Index"/>
    <w:rsid w:val="001855B9"/>
    <w:pPr>
      <w:tabs>
        <w:tab w:val="right" w:leader="dot" w:pos="7657"/>
      </w:tabs>
      <w:ind w:left="1981"/>
    </w:pPr>
  </w:style>
  <w:style w:type="paragraph" w:styleId="TOC9">
    <w:name w:val="toc 9"/>
    <w:basedOn w:val="Index"/>
    <w:rsid w:val="001855B9"/>
    <w:pPr>
      <w:tabs>
        <w:tab w:val="right" w:leader="dot" w:pos="7374"/>
      </w:tabs>
      <w:ind w:left="2264"/>
    </w:pPr>
  </w:style>
  <w:style w:type="paragraph" w:customStyle="1" w:styleId="Contents10">
    <w:name w:val="Contents 10"/>
    <w:basedOn w:val="Index"/>
    <w:rsid w:val="001855B9"/>
    <w:pPr>
      <w:tabs>
        <w:tab w:val="right" w:leader="dot" w:pos="7091"/>
      </w:tabs>
      <w:ind w:left="2547"/>
    </w:pPr>
  </w:style>
  <w:style w:type="paragraph" w:customStyle="1" w:styleId="TableContents">
    <w:name w:val="Table Contents"/>
    <w:basedOn w:val="Normal"/>
    <w:rsid w:val="001855B9"/>
    <w:pPr>
      <w:suppressLineNumbers/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lang w:bidi="en-US"/>
    </w:rPr>
  </w:style>
  <w:style w:type="paragraph" w:customStyle="1" w:styleId="TableHeading">
    <w:name w:val="Table Heading"/>
    <w:basedOn w:val="TableContents"/>
    <w:rsid w:val="001855B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1855B9"/>
  </w:style>
  <w:style w:type="paragraph" w:styleId="ListParagraph">
    <w:name w:val="List Paragraph"/>
    <w:basedOn w:val="Normal"/>
    <w:uiPriority w:val="34"/>
    <w:qFormat/>
    <w:rsid w:val="001855B9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lang w:bidi="en-US"/>
    </w:rPr>
  </w:style>
  <w:style w:type="character" w:styleId="PageNumber">
    <w:name w:val="page number"/>
    <w:basedOn w:val="DefaultParagraphFont"/>
    <w:rsid w:val="00CA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8</cp:revision>
  <dcterms:created xsi:type="dcterms:W3CDTF">2014-02-26T11:53:00Z</dcterms:created>
  <dcterms:modified xsi:type="dcterms:W3CDTF">2016-08-04T10:21:00Z</dcterms:modified>
</cp:coreProperties>
</file>