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ED1" w:rsidRPr="00422ED1" w:rsidRDefault="00422ED1" w:rsidP="00422ED1">
      <w:pPr>
        <w:rPr>
          <w:rFonts w:ascii="Times New Roman" w:hAnsi="Times New Roman" w:cs="Times New Roman"/>
          <w:b/>
          <w:sz w:val="28"/>
          <w:szCs w:val="28"/>
        </w:rPr>
      </w:pPr>
      <w:r w:rsidRPr="00422ED1">
        <w:rPr>
          <w:rFonts w:ascii="Times New Roman" w:hAnsi="Times New Roman" w:cs="Times New Roman"/>
          <w:b/>
          <w:sz w:val="28"/>
          <w:szCs w:val="28"/>
        </w:rPr>
        <w:t>ВТОРА ОЦЕНКА</w:t>
      </w:r>
    </w:p>
    <w:p w:rsidR="00745D60" w:rsidRPr="00422ED1" w:rsidRDefault="004E5343">
      <w:pPr>
        <w:rPr>
          <w:rFonts w:ascii="Times New Roman" w:hAnsi="Times New Roman" w:cs="Times New Roman"/>
          <w:b/>
          <w:sz w:val="24"/>
          <w:szCs w:val="24"/>
        </w:rPr>
      </w:pPr>
      <w:r w:rsidRPr="00422ED1">
        <w:rPr>
          <w:rFonts w:ascii="Times New Roman" w:hAnsi="Times New Roman" w:cs="Times New Roman"/>
          <w:b/>
          <w:sz w:val="24"/>
          <w:szCs w:val="24"/>
        </w:rPr>
        <w:t xml:space="preserve">2.3 </w:t>
      </w:r>
      <w:r w:rsidR="00422ED1">
        <w:rPr>
          <w:rFonts w:ascii="Times New Roman" w:hAnsi="Times New Roman" w:cs="Times New Roman"/>
          <w:b/>
          <w:sz w:val="24"/>
          <w:szCs w:val="24"/>
        </w:rPr>
        <w:t>ЕФЕКТ И ОГРАНИЧЕНИЯ ВЪРХУ ДЪЛГОСРОЧНИТЕ ЦЕЛИ</w:t>
      </w:r>
    </w:p>
    <w:p w:rsidR="004E5343" w:rsidRPr="00422ED1" w:rsidRDefault="004E5343">
      <w:pPr>
        <w:rPr>
          <w:rFonts w:ascii="Times New Roman" w:hAnsi="Times New Roman" w:cs="Times New Roman"/>
          <w:sz w:val="24"/>
          <w:szCs w:val="24"/>
        </w:rPr>
      </w:pPr>
      <w:r w:rsidRPr="00422ED1">
        <w:rPr>
          <w:rFonts w:ascii="Times New Roman" w:hAnsi="Times New Roman" w:cs="Times New Roman"/>
          <w:sz w:val="24"/>
          <w:szCs w:val="24"/>
        </w:rPr>
        <w:t>Настоящата оценка цели да установи доколко констатираните тенденции, процеси, заплахи или ограничения могат да повли</w:t>
      </w:r>
      <w:r w:rsidR="00E21110" w:rsidRPr="00422ED1">
        <w:rPr>
          <w:rFonts w:ascii="Times New Roman" w:hAnsi="Times New Roman" w:cs="Times New Roman"/>
          <w:sz w:val="24"/>
          <w:szCs w:val="24"/>
        </w:rPr>
        <w:t>я</w:t>
      </w:r>
      <w:r w:rsidRPr="00422ED1">
        <w:rPr>
          <w:rFonts w:ascii="Times New Roman" w:hAnsi="Times New Roman" w:cs="Times New Roman"/>
          <w:sz w:val="24"/>
          <w:szCs w:val="24"/>
        </w:rPr>
        <w:t>ят върху постигането на целите на плана. За нуждите на оценката всеки фактор е оценен на три нива на влияние:</w:t>
      </w:r>
    </w:p>
    <w:p w:rsidR="004E5343" w:rsidRPr="00422ED1" w:rsidRDefault="004E534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422ED1">
        <w:rPr>
          <w:rFonts w:ascii="Times New Roman" w:hAnsi="Times New Roman" w:cs="Times New Roman"/>
          <w:sz w:val="24"/>
          <w:szCs w:val="24"/>
        </w:rPr>
        <w:t xml:space="preserve">Степен на влияние - </w:t>
      </w:r>
      <w:r w:rsidRPr="0042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незначително, средно или значително</w:t>
      </w:r>
    </w:p>
    <w:p w:rsidR="004E5343" w:rsidRPr="00422ED1" w:rsidRDefault="004E534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422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Период на въздействие</w:t>
      </w:r>
      <w:r w:rsidRPr="0042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- потенциално или съществуващо</w:t>
      </w:r>
    </w:p>
    <w:p w:rsidR="004E5343" w:rsidRPr="00422ED1" w:rsidRDefault="004E5343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422ED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 xml:space="preserve">Разпространение </w:t>
      </w:r>
      <w:r w:rsidRPr="00422ED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– локално или повсеместно</w:t>
      </w:r>
    </w:p>
    <w:p w:rsidR="007446E5" w:rsidRPr="00422ED1" w:rsidRDefault="007446E5">
      <w:pPr>
        <w:rPr>
          <w:rFonts w:ascii="Times New Roman" w:hAnsi="Times New Roman" w:cs="Times New Roman"/>
          <w:i/>
          <w:sz w:val="24"/>
          <w:szCs w:val="24"/>
        </w:rPr>
      </w:pPr>
      <w:r w:rsidRPr="00422ED1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lang w:eastAsia="bg-BG"/>
        </w:rPr>
        <w:t>Таблица 47.</w:t>
      </w:r>
      <w:r w:rsidRPr="00422ED1">
        <w:rPr>
          <w:rFonts w:ascii="Times New Roman" w:hAnsi="Times New Roman" w:cs="Times New Roman"/>
          <w:i/>
          <w:sz w:val="24"/>
          <w:szCs w:val="24"/>
        </w:rPr>
        <w:t xml:space="preserve"> Ефект на ограниченията върху </w:t>
      </w:r>
      <w:r w:rsidR="002735E3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22ED1">
        <w:rPr>
          <w:rFonts w:ascii="Times New Roman" w:hAnsi="Times New Roman" w:cs="Times New Roman"/>
          <w:i/>
          <w:sz w:val="24"/>
          <w:szCs w:val="24"/>
        </w:rPr>
        <w:t>дългосрочните цели.</w:t>
      </w:r>
    </w:p>
    <w:tbl>
      <w:tblPr>
        <w:tblW w:w="10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3579"/>
        <w:gridCol w:w="2761"/>
      </w:tblGrid>
      <w:tr w:rsidR="004E5343" w:rsidRPr="00422ED1" w:rsidTr="00422ED1">
        <w:trPr>
          <w:trHeight w:val="1173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Констатирани заплахи и ограничения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5343" w:rsidRPr="00422ED1" w:rsidRDefault="004E5343" w:rsidP="004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Оценка на влиянието - незначително, средно или значително, потенциално или съществуващо, локално или повсеместно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4E5343" w:rsidRPr="00422ED1" w:rsidRDefault="004E5343" w:rsidP="004E53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Оценка на възможноста за преодоляване им от ДПП "Българка" в този период на планиране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Тенденции от естествен характер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Климатични и геоморфологични фактори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22ED1">
        <w:trPr>
          <w:trHeight w:val="2489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Общо засушаване и повишаване на средните температури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Невъзможно. Необходимо е да се изгради представителна за района на парка метеорологична станция. Това е необходимо условие за доброто управление на защитената територия в бъдеще, както и за успешното й адаптиране към евентуалните промени в климата</w:t>
            </w:r>
            <w:r w:rsidR="002735E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.</w:t>
            </w:r>
          </w:p>
        </w:tc>
      </w:tr>
      <w:tr w:rsidR="004E5343" w:rsidRPr="00422ED1" w:rsidTr="00422ED1">
        <w:trPr>
          <w:trHeight w:val="37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Голяма честота на интензивни валежи и градушки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Средно, потенциално,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Невъзможно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Екологични фактори – сукцесии и др.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22ED1">
        <w:trPr>
          <w:trHeight w:val="114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Изоставяне на традиционните практики в ливадите и пасищата и вследствие на това - навлизане на дървета и храсти, както и експанзия на съобществата на орловата папрат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 w:themeFill="background1"/>
                <w:lang w:eastAsia="bg-BG"/>
              </w:rPr>
              <w:t>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Самосев на неестествени иголистни видове в ливадите и пасищата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Сукцесия на влажните зони - самозапълване и пресъхване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за земноводните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Самозатрупване и обрастване на пещери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неначително до средно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Междувидова конкуренция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Междувидова конкуренция между белката и златката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Потенциално, трудно да се оцени, поради липса на достатъчно данни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Невъзможно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Бедствия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Естествени пожари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неначително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Невъзможно</w:t>
            </w:r>
          </w:p>
        </w:tc>
      </w:tr>
      <w:tr w:rsidR="004E5343" w:rsidRPr="00422ED1" w:rsidTr="00422ED1">
        <w:trPr>
          <w:trHeight w:val="18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Срутища и свлачища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Незначително, потенциално,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Невъзможно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Eрозия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22ED1">
        <w:trPr>
          <w:trHeight w:val="15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 xml:space="preserve">Ерозионни процеси, предизвикани от интензивни валежи 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Средно, съществуващо, повсеместно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Частично постижимо. Изграждане на противоерозионни съоръжения,  промяна на участъци от горски пътища успоредни на наклона на терена. </w:t>
            </w:r>
          </w:p>
        </w:tc>
      </w:tr>
      <w:tr w:rsidR="004E5343" w:rsidRPr="00422ED1" w:rsidTr="00422ED1">
        <w:trPr>
          <w:trHeight w:val="3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Тенденции от антропогенен характер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ресурсите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Прекомерно водоползване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върху хидробионтите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Трудно постижимо до невъзможно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Премахване на крайречна растителност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върху хидробионтите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AB13D8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горските ресурси</w:t>
            </w:r>
            <w:r w:rsidR="00AB13D8"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, скъсяване на възобновителни периоди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ресурсите на лечебни растения и на ядливи гъби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Незначително, потенциално,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337ACF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Неправилни технологии при ползване на ресурсите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рибни проходи при миграционни бариери (каптажи и пр.)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върху рибите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достатъчно количество водни обеми след водохващанията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върху рибите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822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Неправилно ползване на горските ресурси, неоставяне на хабитатни дървета и на територии без сечи. Премахване на паднали стари дървета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съществуащо,  значително върху всички типчни горски видове от фауната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Нарушаване на ландшафтите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15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Строителни дейности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Значително; съществуващо;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постижимо. Контрол върху строителна дейност (инфраструктурни проекти), рекултивация на съществуващи свлачища, табани  и кариери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Ветроенергийни паркове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Незначително, потенциално,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E5343">
        <w:trPr>
          <w:trHeight w:val="3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Ерозионни процеси, предизвикани от човешката дейност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 съществуващо,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Напълно постижимо; Прекратяване на негативните практики на дърводобив,  изграждане на противоерозионни съоръжения,  забрана за преминаване през територията на парка при поставянето на ветрогенератори, стимулиране на дейности и кредитиране на  собствениците на изоставените земеделски земи и разработване на механизми за компенсиране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Прекомерен туристически натиск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22ED1">
        <w:trPr>
          <w:trHeight w:val="9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Неконтролиран  достъп до карстовите формации и скалните масиви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Средно; съществуващо; локално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Напълно постижимо. Приемане на норми за ограничаване и контрол на достъпа.</w:t>
            </w:r>
          </w:p>
        </w:tc>
      </w:tr>
      <w:tr w:rsidR="004E5343" w:rsidRPr="00422ED1" w:rsidTr="00422ED1">
        <w:trPr>
          <w:trHeight w:val="90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Неконтролиран  достъп до пещерите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Средно; съществуващо; локално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Напълно постижимо. Приемане на норми за ограничаване и контрол на достъпа.</w:t>
            </w:r>
          </w:p>
        </w:tc>
      </w:tr>
      <w:tr w:rsidR="004E5343" w:rsidRPr="00422ED1" w:rsidTr="004E5343">
        <w:trPr>
          <w:trHeight w:val="21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Недостатъчна и в недобро състояние паркова инфраструктура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Средно; съществуващо;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Напълно постижимо. Необходимо е изработване на Паркоустройствен проект за ПП Българка, с който да се определят  зони с ограничен достъп на автомобили, места за паркиране, нови туристически маршрути</w:t>
            </w:r>
          </w:p>
        </w:tc>
      </w:tr>
      <w:tr w:rsidR="004E5343" w:rsidRPr="00422ED1" w:rsidTr="004E5343">
        <w:trPr>
          <w:trHeight w:val="21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Неравностойно развитие на територията на парка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Значително; съществуващо;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2735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Напълно постижимо. Необходимо е изработване на Паркоустройствен проект за ПП Българка, с който да се определят  зони с ограничен достъп на автомобили, места за паркиране, нови туристически маршрути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 чужди видове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Конкуренция между местни видове обитаващи крайечните местообитания и инвазивни видове 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Средно, съществуващо,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</w:t>
            </w:r>
            <w:r w:rsidR="00273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чужди видове риби в язовир "Христо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Смирненски" и реките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средно  върху естествените рибни видове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Невъзможно за яз. </w:t>
            </w:r>
            <w:r w:rsidR="00273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„Христо 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Смирненски</w:t>
            </w:r>
            <w:r w:rsidR="00273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“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, напълно постижимо за реките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Внасяне на инвазивни видове риби в естествено безрибни малки стоящи водоеми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върху размножаването на земноводните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Залесяването с нетипични иглолистни видове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Локално, значително 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337ACF">
        <w:trPr>
          <w:trHeight w:val="293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Увреждане на условията на местообитанията – замърсяване и  др.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Замърсяване на речните течения с ТБО и битови и отпадни води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 за ручеен рак, риби и земноводни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62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Строеж на хидротехнически съоръжения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значително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Невъзможно по отношение на яз. </w:t>
            </w:r>
            <w:r w:rsidR="00273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„Христо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 </w:t>
            </w:r>
            <w:bookmarkStart w:id="0" w:name="_GoBack"/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Смирнен</w:t>
            </w:r>
            <w:bookmarkEnd w:id="0"/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ски</w:t>
            </w:r>
            <w:r w:rsidR="002735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“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, частично възможно за останалите</w:t>
            </w:r>
          </w:p>
        </w:tc>
      </w:tr>
      <w:tr w:rsidR="004E5343" w:rsidRPr="00422ED1" w:rsidTr="004E5343">
        <w:trPr>
          <w:trHeight w:val="6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Разораване на ливади и пасища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средно за видовете обитаващи открити хабитати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E5343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Недостатъчност на хранителната база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значително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43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Безпокойство от засилено човешко присъствие и дейност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значително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38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Замърсяване с битови води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345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Пряко унищожаване на индивиди от автомобилен трафик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Локално, незначително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lastRenderedPageBreak/>
              <w:t>Пряко унищожаване на индивиди от лов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средно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 чрез регулиране на лова и подсилване на дивечовъдните дейности</w:t>
            </w:r>
          </w:p>
        </w:tc>
      </w:tr>
      <w:tr w:rsidR="004E5343" w:rsidRPr="00422ED1" w:rsidTr="00422ED1">
        <w:trPr>
          <w:trHeight w:val="660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Бракониерство</w:t>
            </w:r>
          </w:p>
        </w:tc>
        <w:tc>
          <w:tcPr>
            <w:tcW w:w="3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трудно оценимо, поради липса на официални данни, вероятно значително</w:t>
            </w:r>
          </w:p>
        </w:tc>
        <w:tc>
          <w:tcPr>
            <w:tcW w:w="2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 чрез засилване на контрола</w:t>
            </w:r>
          </w:p>
        </w:tc>
      </w:tr>
      <w:tr w:rsidR="004E5343" w:rsidRPr="00422ED1" w:rsidTr="00422ED1">
        <w:trPr>
          <w:trHeight w:val="541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Суеверия, страх</w:t>
            </w:r>
          </w:p>
        </w:tc>
        <w:tc>
          <w:tcPr>
            <w:tcW w:w="3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Повсеместно, средно за повечето, до значително за змиеподобните влечуги</w:t>
            </w:r>
          </w:p>
        </w:tc>
        <w:tc>
          <w:tcPr>
            <w:tcW w:w="2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 чрез образователни дейности</w:t>
            </w:r>
          </w:p>
        </w:tc>
      </w:tr>
      <w:tr w:rsidR="004E5343" w:rsidRPr="00422ED1" w:rsidTr="00422ED1">
        <w:trPr>
          <w:trHeight w:val="549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Промени в хидрологичния режим на водоемите в парка, строителство на нови хидротехнически съоръжения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същестуващо и потенциално,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417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Строителство на нова транспортна и спортна инфраструктура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потенциално,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22ED1">
        <w:trPr>
          <w:trHeight w:val="38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Строителство на ВЕИ близо до границите на парка 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потенциално, локално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337ACF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hideMark/>
          </w:tcPr>
          <w:p w:rsidR="00ED19BF" w:rsidRDefault="00ED19BF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</w:p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>Други ограничения и тенденции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</w:tr>
      <w:tr w:rsidR="004E5343" w:rsidRPr="00422ED1" w:rsidTr="00422ED1">
        <w:trPr>
          <w:trHeight w:val="448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Обезлюдяване на населените места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Непостижимо</w:t>
            </w:r>
          </w:p>
        </w:tc>
      </w:tr>
      <w:tr w:rsidR="004E5343" w:rsidRPr="00422ED1" w:rsidTr="00422ED1">
        <w:trPr>
          <w:trHeight w:val="413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Политика и структура на управление на защитената територия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363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Нормативни и законодателни фактори на местно, национално и международно ниво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313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Експертен опит на персонала, зает с управлението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Напълно постижимо</w:t>
            </w:r>
          </w:p>
        </w:tc>
      </w:tr>
      <w:tr w:rsidR="004E5343" w:rsidRPr="00422ED1" w:rsidTr="004E5343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 xml:space="preserve">Недостатъчна подкрепа от заинтересованите страни, </w:t>
            </w:r>
            <w:r w:rsidRPr="00422ED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bg-BG"/>
              </w:rPr>
              <w:t xml:space="preserve"> </w:t>
            </w: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води до неефективно опазване на природните ресурси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616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Недостатъчни бюджетни  финансови средства за обезпечаване на дейностите в защитената територия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E5343">
        <w:trPr>
          <w:trHeight w:val="9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Липса на изградени местни структури за работа в партньорство затруднява изграждане на по-широка обществена подкрепа за ПП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  <w:tr w:rsidR="004E5343" w:rsidRPr="00422ED1" w:rsidTr="00422ED1">
        <w:trPr>
          <w:trHeight w:val="399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Ограничени правомощия за ДПП да кандидатства за финансиране.</w:t>
            </w:r>
          </w:p>
        </w:tc>
        <w:tc>
          <w:tcPr>
            <w:tcW w:w="3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Значително, съществуващо, повсеместно</w:t>
            </w:r>
          </w:p>
        </w:tc>
        <w:tc>
          <w:tcPr>
            <w:tcW w:w="2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5343" w:rsidRPr="00422ED1" w:rsidRDefault="004E5343" w:rsidP="004E53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422ED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Частично постижимо</w:t>
            </w:r>
          </w:p>
        </w:tc>
      </w:tr>
    </w:tbl>
    <w:p w:rsidR="004E5343" w:rsidRPr="00422ED1" w:rsidRDefault="004E5343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4E5343" w:rsidRPr="00422ED1" w:rsidRDefault="004E5343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4E5343" w:rsidRPr="00422ED1" w:rsidSect="000B78C4">
      <w:headerReference w:type="default" r:id="rId7"/>
      <w:footerReference w:type="default" r:id="rId8"/>
      <w:pgSz w:w="11906" w:h="16838"/>
      <w:pgMar w:top="813" w:right="707" w:bottom="1417" w:left="1134" w:header="426" w:footer="850" w:gutter="0"/>
      <w:pgNumType w:start="2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43E" w:rsidRDefault="0064143E" w:rsidP="00422ED1">
      <w:pPr>
        <w:spacing w:after="0" w:line="240" w:lineRule="auto"/>
      </w:pPr>
      <w:r>
        <w:separator/>
      </w:r>
    </w:p>
  </w:endnote>
  <w:endnote w:type="continuationSeparator" w:id="0">
    <w:p w:rsidR="0064143E" w:rsidRDefault="0064143E" w:rsidP="00422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ED1" w:rsidRDefault="00422ED1" w:rsidP="00422ED1">
    <w:pPr>
      <w:pStyle w:val="Footer"/>
      <w:framePr w:w="368" w:h="368" w:hRule="exact" w:wrap="around" w:vAnchor="text" w:hAnchor="page" w:x="11138" w:y="317"/>
      <w:shd w:val="clear" w:color="auto" w:fill="FFFFFF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35E3">
      <w:rPr>
        <w:rStyle w:val="PageNumber"/>
        <w:noProof/>
      </w:rPr>
      <w:t>282</w:t>
    </w:r>
    <w:r>
      <w:rPr>
        <w:rStyle w:val="PageNumber"/>
      </w:rPr>
      <w:fldChar w:fldCharType="end"/>
    </w:r>
  </w:p>
  <w:p w:rsidR="00422ED1" w:rsidRPr="00422ED1" w:rsidRDefault="00422ED1" w:rsidP="00422ED1">
    <w:pPr>
      <w:pStyle w:val="Footer"/>
      <w:ind w:right="360"/>
    </w:pPr>
    <w:r>
      <w:rPr>
        <w:noProof/>
        <w:lang w:eastAsia="bg-BG"/>
      </w:rPr>
      <w:drawing>
        <wp:anchor distT="0" distB="0" distL="114300" distR="114300" simplePos="0" relativeHeight="251660288" behindDoc="1" locked="0" layoutInCell="1" allowOverlap="1" wp14:anchorId="68435F36" wp14:editId="7BA8865C">
          <wp:simplePos x="0" y="0"/>
          <wp:positionH relativeFrom="column">
            <wp:posOffset>914400</wp:posOffset>
          </wp:positionH>
          <wp:positionV relativeFrom="paragraph">
            <wp:posOffset>130810</wp:posOffset>
          </wp:positionV>
          <wp:extent cx="4114800" cy="401955"/>
          <wp:effectExtent l="0" t="0" r="0" b="0"/>
          <wp:wrapTight wrapText="bothSides">
            <wp:wrapPolygon edited="0">
              <wp:start x="0" y="0"/>
              <wp:lineTo x="0" y="20474"/>
              <wp:lineTo x="21500" y="20474"/>
              <wp:lineTo x="21500" y="0"/>
              <wp:lineTo x="0" y="0"/>
            </wp:wrapPolygon>
          </wp:wrapTight>
          <wp:docPr id="4" name="Picture 4" descr="Blanka_OPOS_Bulgarka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lanka_OPOS_Bulgarka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14800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B377F45" wp14:editId="6B1A39AE">
              <wp:simplePos x="0" y="0"/>
              <wp:positionH relativeFrom="column">
                <wp:posOffset>-914400</wp:posOffset>
              </wp:positionH>
              <wp:positionV relativeFrom="paragraph">
                <wp:posOffset>-25400</wp:posOffset>
              </wp:positionV>
              <wp:extent cx="7658100" cy="0"/>
              <wp:effectExtent l="19050" t="22225" r="19050" b="2540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6581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01E7A70E"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-2pt" to="531pt,-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" strokecolor="#969696" strokeweight="3pt">
              <v:stroke linestyle="thinThin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43E" w:rsidRDefault="0064143E" w:rsidP="00422ED1">
      <w:pPr>
        <w:spacing w:after="0" w:line="240" w:lineRule="auto"/>
      </w:pPr>
      <w:r>
        <w:separator/>
      </w:r>
    </w:p>
  </w:footnote>
  <w:footnote w:type="continuationSeparator" w:id="0">
    <w:p w:rsidR="0064143E" w:rsidRDefault="0064143E" w:rsidP="00422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2ED1" w:rsidRPr="003D5E65" w:rsidRDefault="00422ED1" w:rsidP="00422ED1">
    <w:pPr>
      <w:ind w:left="-180" w:right="23"/>
      <w:rPr>
        <w:rFonts w:ascii="Arial" w:hAnsi="Arial" w:cs="Arial"/>
        <w:b/>
        <w:color w:val="808080"/>
        <w:sz w:val="18"/>
        <w:szCs w:val="18"/>
        <w:lang w:val="ru-RU"/>
      </w:rPr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w:drawing>
        <wp:anchor distT="0" distB="0" distL="114300" distR="114300" simplePos="0" relativeHeight="251657216" behindDoc="0" locked="0" layoutInCell="1" allowOverlap="1" wp14:anchorId="546D3A6D" wp14:editId="7D674016">
          <wp:simplePos x="0" y="0"/>
          <wp:positionH relativeFrom="column">
            <wp:posOffset>2743200</wp:posOffset>
          </wp:positionH>
          <wp:positionV relativeFrom="paragraph">
            <wp:posOffset>-114935</wp:posOffset>
          </wp:positionV>
          <wp:extent cx="619125" cy="476250"/>
          <wp:effectExtent l="0" t="0" r="9525" b="0"/>
          <wp:wrapSquare wrapText="bothSides"/>
          <wp:docPr id="2" name="Picture 2" descr="Logo_PP_Bulgar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PP_Bulgar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91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81803">
      <w:rPr>
        <w:rFonts w:ascii="Arial" w:hAnsi="Arial" w:cs="Arial"/>
        <w:i/>
        <w:color w:val="808080"/>
        <w:sz w:val="16"/>
        <w:szCs w:val="16"/>
      </w:rPr>
      <w:t>И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зрабо</w:t>
    </w:r>
    <w:r w:rsidRPr="00B81803">
      <w:rPr>
        <w:rFonts w:ascii="Arial" w:hAnsi="Arial" w:cs="Arial"/>
        <w:i/>
        <w:color w:val="808080"/>
        <w:sz w:val="16"/>
        <w:szCs w:val="16"/>
      </w:rPr>
      <w:t>т</w:t>
    </w:r>
    <w:r w:rsidRPr="003D5E65">
      <w:rPr>
        <w:rFonts w:ascii="Arial" w:hAnsi="Arial" w:cs="Arial"/>
        <w:i/>
        <w:color w:val="808080"/>
        <w:sz w:val="16"/>
        <w:szCs w:val="16"/>
        <w:lang w:val="ru-RU"/>
      </w:rPr>
      <w:t>ен от Обединение "Българка - 2013"</w:t>
    </w:r>
    <w:r>
      <w:rPr>
        <w:rFonts w:ascii="Arial" w:hAnsi="Arial" w:cs="Arial"/>
        <w:i/>
        <w:color w:val="808080"/>
        <w:sz w:val="16"/>
        <w:szCs w:val="16"/>
      </w:rPr>
      <w:t xml:space="preserve"> </w:t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</w:r>
    <w:r>
      <w:rPr>
        <w:rFonts w:ascii="Arial" w:hAnsi="Arial" w:cs="Arial"/>
        <w:i/>
        <w:color w:val="808080"/>
        <w:sz w:val="16"/>
        <w:szCs w:val="16"/>
      </w:rPr>
      <w:tab/>
      <w:t xml:space="preserve">         </w:t>
    </w:r>
    <w:r w:rsidRPr="003D5E65">
      <w:rPr>
        <w:rFonts w:ascii="Arial" w:hAnsi="Arial" w:cs="Arial"/>
        <w:b/>
        <w:color w:val="808080"/>
        <w:sz w:val="18"/>
        <w:szCs w:val="18"/>
        <w:lang w:val="ru-RU"/>
      </w:rPr>
      <w:t>ПЛАН ЗА УПРАВЛЕНИЕ НА ПП "БЪЛГАРКА"</w:t>
    </w:r>
    <w:r w:rsidRPr="007069B6">
      <w:rPr>
        <w:rFonts w:ascii="Arial" w:hAnsi="Arial" w:cs="Arial"/>
        <w:b/>
        <w:color w:val="808080"/>
        <w:sz w:val="18"/>
        <w:szCs w:val="18"/>
      </w:rPr>
      <w:t xml:space="preserve"> </w:t>
    </w:r>
  </w:p>
  <w:p w:rsidR="00422ED1" w:rsidRPr="00422ED1" w:rsidRDefault="00422ED1" w:rsidP="00422ED1">
    <w:pPr>
      <w:pStyle w:val="Header"/>
      <w:ind w:left="-1080"/>
    </w:pPr>
    <w:r>
      <w:rPr>
        <w:rFonts w:ascii="Arial" w:hAnsi="Arial" w:cs="Arial"/>
        <w:i/>
        <w:noProof/>
        <w:color w:val="808080"/>
        <w:sz w:val="16"/>
        <w:szCs w:val="16"/>
        <w:lang w:eastAsia="bg-BG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7D1279AF" wp14:editId="48D32BC7">
              <wp:simplePos x="0" y="0"/>
              <wp:positionH relativeFrom="column">
                <wp:posOffset>-914400</wp:posOffset>
              </wp:positionH>
              <wp:positionV relativeFrom="paragraph">
                <wp:posOffset>81915</wp:posOffset>
              </wp:positionV>
              <wp:extent cx="7543800" cy="0"/>
              <wp:effectExtent l="23495" t="22860" r="24130" b="2476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38100" cmpd="dbl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7E971569" id="Straight Connector 1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.45pt" to="522pt,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" strokecolor="#969696" strokeweight="3pt">
              <v:stroke linestyle="thinThin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343"/>
    <w:rsid w:val="00096060"/>
    <w:rsid w:val="000B78C4"/>
    <w:rsid w:val="00223B45"/>
    <w:rsid w:val="002735E3"/>
    <w:rsid w:val="00337ACF"/>
    <w:rsid w:val="003C0A79"/>
    <w:rsid w:val="00422ED1"/>
    <w:rsid w:val="004E5343"/>
    <w:rsid w:val="00627A2C"/>
    <w:rsid w:val="0064143E"/>
    <w:rsid w:val="007446E5"/>
    <w:rsid w:val="00745D60"/>
    <w:rsid w:val="00AB13D8"/>
    <w:rsid w:val="00B10ED2"/>
    <w:rsid w:val="00E21110"/>
    <w:rsid w:val="00ED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6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ED1"/>
  </w:style>
  <w:style w:type="paragraph" w:styleId="Footer">
    <w:name w:val="footer"/>
    <w:basedOn w:val="Normal"/>
    <w:link w:val="FooterChar"/>
    <w:unhideWhenUsed/>
    <w:rsid w:val="0042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ED1"/>
  </w:style>
  <w:style w:type="character" w:styleId="PageNumber">
    <w:name w:val="page number"/>
    <w:basedOn w:val="DefaultParagraphFont"/>
    <w:rsid w:val="00422E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446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6E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ED1"/>
  </w:style>
  <w:style w:type="paragraph" w:styleId="Footer">
    <w:name w:val="footer"/>
    <w:basedOn w:val="Normal"/>
    <w:link w:val="FooterChar"/>
    <w:unhideWhenUsed/>
    <w:rsid w:val="00422E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ED1"/>
  </w:style>
  <w:style w:type="character" w:styleId="PageNumber">
    <w:name w:val="page number"/>
    <w:basedOn w:val="DefaultParagraphFont"/>
    <w:rsid w:val="00422E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61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1240</Words>
  <Characters>7072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</dc:creator>
  <cp:lastModifiedBy>Toma</cp:lastModifiedBy>
  <cp:revision>7</cp:revision>
  <cp:lastPrinted>2014-01-05T16:34:00Z</cp:lastPrinted>
  <dcterms:created xsi:type="dcterms:W3CDTF">2014-02-26T11:38:00Z</dcterms:created>
  <dcterms:modified xsi:type="dcterms:W3CDTF">2016-12-28T13:59:00Z</dcterms:modified>
</cp:coreProperties>
</file>