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3CF" w:rsidRPr="00137A3A" w:rsidRDefault="00E6218A" w:rsidP="00A273CF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szCs w:val="24"/>
        </w:rPr>
      </w:pPr>
      <w:r w:rsidRPr="00137A3A">
        <w:rPr>
          <w:rFonts w:ascii="Times New Roman" w:hAnsi="Times New Roman"/>
          <w:b/>
          <w:szCs w:val="24"/>
          <w:lang w:val="en-US"/>
        </w:rPr>
        <w:t xml:space="preserve">2.4. </w:t>
      </w:r>
      <w:r w:rsidR="00137A3A">
        <w:rPr>
          <w:rFonts w:ascii="Times New Roman" w:hAnsi="Times New Roman"/>
          <w:b/>
          <w:szCs w:val="24"/>
        </w:rPr>
        <w:t>ПОТЕНЦИАЛНИ ВЪЗМОЖНОСТИ НА ЗАЩИТЕНАТА ТЕРИТОРИЯ</w:t>
      </w:r>
    </w:p>
    <w:p w:rsidR="00E6218A" w:rsidRDefault="00E6218A" w:rsidP="00412961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szCs w:val="24"/>
          <w:lang w:val="en-US"/>
        </w:rPr>
      </w:pPr>
    </w:p>
    <w:p w:rsidR="00E6218A" w:rsidRPr="00137A3A" w:rsidRDefault="00E6218A" w:rsidP="00412961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b/>
          <w:szCs w:val="24"/>
          <w:lang w:val="en-US"/>
        </w:rPr>
      </w:pPr>
      <w:r w:rsidRPr="00137A3A">
        <w:rPr>
          <w:rFonts w:ascii="Times New Roman" w:hAnsi="Times New Roman"/>
          <w:b/>
          <w:szCs w:val="24"/>
        </w:rPr>
        <w:t>2.4.1.</w:t>
      </w:r>
      <w:r w:rsidRPr="00137A3A">
        <w:rPr>
          <w:rFonts w:ascii="Times New Roman" w:hAnsi="Times New Roman"/>
          <w:b/>
          <w:szCs w:val="24"/>
        </w:rPr>
        <w:tab/>
        <w:t>Потенциал на територията за опазване на пр</w:t>
      </w:r>
      <w:r w:rsidR="00184DBF">
        <w:rPr>
          <w:rFonts w:ascii="Times New Roman" w:hAnsi="Times New Roman"/>
          <w:b/>
          <w:szCs w:val="24"/>
        </w:rPr>
        <w:t>иродните местообитания и видове.</w:t>
      </w:r>
    </w:p>
    <w:p w:rsidR="00E6218A" w:rsidRDefault="00E6218A" w:rsidP="00412961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szCs w:val="24"/>
          <w:lang w:val="en-US"/>
        </w:rPr>
      </w:pPr>
    </w:p>
    <w:p w:rsidR="00925925" w:rsidRDefault="0052121A" w:rsidP="00412961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412961" w:rsidRPr="00412961">
        <w:rPr>
          <w:rFonts w:ascii="Times New Roman" w:hAnsi="Times New Roman"/>
          <w:szCs w:val="24"/>
        </w:rPr>
        <w:t xml:space="preserve">Потенциалната възможност на територията да опазва местообитания и видове зависи от биологичното разнообразие и по-специално от значението на екосистемите, </w:t>
      </w:r>
      <w:proofErr w:type="spellStart"/>
      <w:r w:rsidR="00412961" w:rsidRPr="00412961">
        <w:rPr>
          <w:rFonts w:ascii="Times New Roman" w:hAnsi="Times New Roman"/>
          <w:szCs w:val="24"/>
        </w:rPr>
        <w:t>биотопите</w:t>
      </w:r>
      <w:proofErr w:type="spellEnd"/>
      <w:r w:rsidR="00412961" w:rsidRPr="00412961">
        <w:rPr>
          <w:rFonts w:ascii="Times New Roman" w:hAnsi="Times New Roman"/>
          <w:szCs w:val="24"/>
        </w:rPr>
        <w:t xml:space="preserve"> и растителните </w:t>
      </w:r>
      <w:proofErr w:type="spellStart"/>
      <w:r w:rsidR="00412961" w:rsidRPr="00412961">
        <w:rPr>
          <w:rFonts w:ascii="Times New Roman" w:hAnsi="Times New Roman"/>
          <w:szCs w:val="24"/>
        </w:rPr>
        <w:t>съобщества</w:t>
      </w:r>
      <w:proofErr w:type="spellEnd"/>
      <w:r w:rsidR="00412961" w:rsidRPr="00412961">
        <w:rPr>
          <w:rFonts w:ascii="Times New Roman" w:hAnsi="Times New Roman"/>
          <w:szCs w:val="24"/>
        </w:rPr>
        <w:t>, както и свързаните с тях видове. Потенциалната възможност з</w:t>
      </w:r>
      <w:r w:rsidR="00F94C48">
        <w:rPr>
          <w:rFonts w:ascii="Times New Roman" w:hAnsi="Times New Roman"/>
          <w:szCs w:val="24"/>
        </w:rPr>
        <w:t xml:space="preserve">а опазване е голяма, защото </w:t>
      </w:r>
      <w:r w:rsidR="00412961" w:rsidRPr="00412961">
        <w:rPr>
          <w:rFonts w:ascii="Times New Roman" w:hAnsi="Times New Roman"/>
          <w:szCs w:val="24"/>
        </w:rPr>
        <w:t xml:space="preserve">биологичното разнообразие в парка има  висока степен на представителност, естественост и типичност. Паркът има потенциална възможност да опазва </w:t>
      </w:r>
      <w:proofErr w:type="spellStart"/>
      <w:r w:rsidR="00412961" w:rsidRPr="00412961">
        <w:rPr>
          <w:rFonts w:ascii="Times New Roman" w:hAnsi="Times New Roman"/>
          <w:szCs w:val="24"/>
        </w:rPr>
        <w:t>съобщества</w:t>
      </w:r>
      <w:proofErr w:type="spellEnd"/>
      <w:r w:rsidR="00412961" w:rsidRPr="00412961">
        <w:rPr>
          <w:rFonts w:ascii="Times New Roman" w:hAnsi="Times New Roman"/>
          <w:szCs w:val="24"/>
        </w:rPr>
        <w:t xml:space="preserve"> и местообитания характерни, както за високите части на Стара планина, така и за </w:t>
      </w:r>
      <w:proofErr w:type="spellStart"/>
      <w:r w:rsidR="00412961" w:rsidRPr="00412961">
        <w:rPr>
          <w:rFonts w:ascii="Times New Roman" w:hAnsi="Times New Roman"/>
          <w:szCs w:val="24"/>
        </w:rPr>
        <w:t>Предбалкана</w:t>
      </w:r>
      <w:proofErr w:type="spellEnd"/>
      <w:r w:rsidR="00412961" w:rsidRPr="00412961">
        <w:rPr>
          <w:rFonts w:ascii="Times New Roman" w:hAnsi="Times New Roman"/>
          <w:szCs w:val="24"/>
        </w:rPr>
        <w:t xml:space="preserve"> - </w:t>
      </w:r>
      <w:proofErr w:type="spellStart"/>
      <w:r w:rsidR="00412961" w:rsidRPr="00412961">
        <w:rPr>
          <w:rFonts w:ascii="Times New Roman" w:hAnsi="Times New Roman"/>
          <w:szCs w:val="24"/>
        </w:rPr>
        <w:t>субалпийски</w:t>
      </w:r>
      <w:proofErr w:type="spellEnd"/>
      <w:r w:rsidR="00412961" w:rsidRPr="00412961">
        <w:rPr>
          <w:rFonts w:ascii="Times New Roman" w:hAnsi="Times New Roman"/>
          <w:szCs w:val="24"/>
        </w:rPr>
        <w:t xml:space="preserve"> пасища на силикат и варовик, пасища и ливади в </w:t>
      </w:r>
      <w:proofErr w:type="spellStart"/>
      <w:r w:rsidR="00412961" w:rsidRPr="00412961">
        <w:rPr>
          <w:rFonts w:ascii="Times New Roman" w:hAnsi="Times New Roman"/>
          <w:szCs w:val="24"/>
        </w:rPr>
        <w:t>ксеротермния</w:t>
      </w:r>
      <w:proofErr w:type="spellEnd"/>
      <w:r w:rsidR="00412961" w:rsidRPr="00412961">
        <w:rPr>
          <w:rFonts w:ascii="Times New Roman" w:hAnsi="Times New Roman"/>
          <w:szCs w:val="24"/>
        </w:rPr>
        <w:t xml:space="preserve"> дъбов пояс, широколистни храстови </w:t>
      </w:r>
      <w:proofErr w:type="spellStart"/>
      <w:r w:rsidR="00412961" w:rsidRPr="00412961">
        <w:rPr>
          <w:rFonts w:ascii="Times New Roman" w:hAnsi="Times New Roman"/>
          <w:szCs w:val="24"/>
        </w:rPr>
        <w:t>съобщества</w:t>
      </w:r>
      <w:proofErr w:type="spellEnd"/>
      <w:r w:rsidR="00412961" w:rsidRPr="00412961">
        <w:rPr>
          <w:rFonts w:ascii="Times New Roman" w:hAnsi="Times New Roman"/>
          <w:szCs w:val="24"/>
        </w:rPr>
        <w:t xml:space="preserve">, разнообразни широколистни гори (предимно букови, </w:t>
      </w:r>
      <w:proofErr w:type="spellStart"/>
      <w:r w:rsidR="00412961" w:rsidRPr="00412961">
        <w:rPr>
          <w:rFonts w:ascii="Times New Roman" w:hAnsi="Times New Roman"/>
          <w:szCs w:val="24"/>
        </w:rPr>
        <w:t>габърови</w:t>
      </w:r>
      <w:proofErr w:type="spellEnd"/>
      <w:r w:rsidR="00412961" w:rsidRPr="00412961">
        <w:rPr>
          <w:rFonts w:ascii="Times New Roman" w:hAnsi="Times New Roman"/>
          <w:szCs w:val="24"/>
        </w:rPr>
        <w:t xml:space="preserve">, </w:t>
      </w:r>
      <w:proofErr w:type="spellStart"/>
      <w:r w:rsidR="00412961" w:rsidRPr="00412961">
        <w:rPr>
          <w:rFonts w:ascii="Times New Roman" w:hAnsi="Times New Roman"/>
          <w:szCs w:val="24"/>
        </w:rPr>
        <w:t>горунови</w:t>
      </w:r>
      <w:proofErr w:type="spellEnd"/>
      <w:r w:rsidR="00412961" w:rsidRPr="00412961">
        <w:rPr>
          <w:rFonts w:ascii="Times New Roman" w:hAnsi="Times New Roman"/>
          <w:szCs w:val="24"/>
        </w:rPr>
        <w:t xml:space="preserve">, </w:t>
      </w:r>
      <w:proofErr w:type="spellStart"/>
      <w:r w:rsidR="00412961" w:rsidRPr="00412961">
        <w:rPr>
          <w:rFonts w:ascii="Times New Roman" w:hAnsi="Times New Roman"/>
          <w:szCs w:val="24"/>
        </w:rPr>
        <w:t>келяво-габърови</w:t>
      </w:r>
      <w:proofErr w:type="spellEnd"/>
      <w:r w:rsidR="00412961" w:rsidRPr="00412961">
        <w:rPr>
          <w:rFonts w:ascii="Times New Roman" w:hAnsi="Times New Roman"/>
          <w:szCs w:val="24"/>
        </w:rPr>
        <w:t xml:space="preserve"> и др.), реки и крайречни </w:t>
      </w:r>
      <w:proofErr w:type="spellStart"/>
      <w:r w:rsidR="00412961" w:rsidRPr="00412961">
        <w:rPr>
          <w:rFonts w:ascii="Times New Roman" w:hAnsi="Times New Roman"/>
          <w:szCs w:val="24"/>
        </w:rPr>
        <w:t>съобщества</w:t>
      </w:r>
      <w:proofErr w:type="spellEnd"/>
      <w:r w:rsidR="00412961" w:rsidRPr="00412961">
        <w:rPr>
          <w:rFonts w:ascii="Times New Roman" w:hAnsi="Times New Roman"/>
          <w:szCs w:val="24"/>
        </w:rPr>
        <w:t xml:space="preserve">, торфища, извори и др. Наличието на стабилни и слабо антропогенно повлияни варовикови и силикатни скални субстрати увеличава разнообразието и респ. потенциалната възможност на опазва ценно биологичното разнообразие и на видово и на ниво </w:t>
      </w:r>
      <w:proofErr w:type="spellStart"/>
      <w:r w:rsidR="00412961" w:rsidRPr="00412961">
        <w:rPr>
          <w:rFonts w:ascii="Times New Roman" w:hAnsi="Times New Roman"/>
          <w:szCs w:val="24"/>
        </w:rPr>
        <w:t>съобщества</w:t>
      </w:r>
      <w:proofErr w:type="spellEnd"/>
      <w:r w:rsidR="00412961" w:rsidRPr="00412961">
        <w:rPr>
          <w:rFonts w:ascii="Times New Roman" w:hAnsi="Times New Roman"/>
          <w:szCs w:val="24"/>
        </w:rPr>
        <w:t xml:space="preserve"> и природни местообитания. Като основен извод може да се каже, че ПП «Българка» има висока потенциална стойност на национално, </w:t>
      </w:r>
      <w:r w:rsidR="00925925">
        <w:rPr>
          <w:rFonts w:ascii="Times New Roman" w:hAnsi="Times New Roman"/>
          <w:szCs w:val="24"/>
          <w:lang w:val="en-US"/>
        </w:rPr>
        <w:t>e</w:t>
      </w:r>
      <w:proofErr w:type="spellStart"/>
      <w:r w:rsidR="00412961" w:rsidRPr="00412961">
        <w:rPr>
          <w:rFonts w:ascii="Times New Roman" w:hAnsi="Times New Roman"/>
          <w:szCs w:val="24"/>
        </w:rPr>
        <w:t>вропейско</w:t>
      </w:r>
      <w:proofErr w:type="spellEnd"/>
      <w:r w:rsidR="00412961" w:rsidRPr="00412961">
        <w:rPr>
          <w:rFonts w:ascii="Times New Roman" w:hAnsi="Times New Roman"/>
          <w:szCs w:val="24"/>
        </w:rPr>
        <w:t xml:space="preserve"> и международно ниво за опазване на биологичното разнообразие вкл. и на ниво екосистеми, природни местообитания и растителни </w:t>
      </w:r>
      <w:proofErr w:type="spellStart"/>
      <w:r w:rsidR="00412961" w:rsidRPr="00412961">
        <w:rPr>
          <w:rFonts w:ascii="Times New Roman" w:hAnsi="Times New Roman"/>
          <w:szCs w:val="24"/>
        </w:rPr>
        <w:t>съобщества</w:t>
      </w:r>
      <w:proofErr w:type="spellEnd"/>
      <w:r w:rsidR="00412961" w:rsidRPr="00412961">
        <w:rPr>
          <w:rFonts w:ascii="Times New Roman" w:hAnsi="Times New Roman"/>
          <w:szCs w:val="24"/>
        </w:rPr>
        <w:t xml:space="preserve">. </w:t>
      </w:r>
    </w:p>
    <w:p w:rsidR="00925925" w:rsidRDefault="00925925" w:rsidP="00412961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szCs w:val="24"/>
        </w:rPr>
      </w:pPr>
    </w:p>
    <w:p w:rsidR="00412961" w:rsidRPr="00412961" w:rsidRDefault="0052121A" w:rsidP="00412961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925925">
        <w:rPr>
          <w:rFonts w:ascii="Times New Roman" w:hAnsi="Times New Roman"/>
          <w:szCs w:val="24"/>
        </w:rPr>
        <w:t xml:space="preserve">Основният потенциал в тази област е по отношение опазване на компактна голяма територия с представително за България разнообразие на букови </w:t>
      </w:r>
      <w:proofErr w:type="spellStart"/>
      <w:r w:rsidR="00925925">
        <w:rPr>
          <w:rFonts w:ascii="Times New Roman" w:hAnsi="Times New Roman"/>
          <w:szCs w:val="24"/>
        </w:rPr>
        <w:t>съобщества</w:t>
      </w:r>
      <w:proofErr w:type="spellEnd"/>
      <w:r w:rsidR="00925925">
        <w:rPr>
          <w:rFonts w:ascii="Times New Roman" w:hAnsi="Times New Roman"/>
          <w:szCs w:val="24"/>
        </w:rPr>
        <w:t xml:space="preserve"> и свързаните с тях </w:t>
      </w:r>
      <w:proofErr w:type="spellStart"/>
      <w:r w:rsidR="00925925">
        <w:rPr>
          <w:rFonts w:ascii="Times New Roman" w:hAnsi="Times New Roman"/>
          <w:szCs w:val="24"/>
        </w:rPr>
        <w:t>дендробионтни</w:t>
      </w:r>
      <w:proofErr w:type="spellEnd"/>
      <w:r w:rsidR="00925925">
        <w:rPr>
          <w:rFonts w:ascii="Times New Roman" w:hAnsi="Times New Roman"/>
          <w:szCs w:val="24"/>
        </w:rPr>
        <w:t xml:space="preserve"> видове, както и като местообитание за всички едри хищници на Балканите – вълк, мечка и рис.</w:t>
      </w:r>
    </w:p>
    <w:p w:rsidR="00412961" w:rsidRPr="00412961" w:rsidRDefault="00412961" w:rsidP="00412961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szCs w:val="24"/>
        </w:rPr>
      </w:pPr>
    </w:p>
    <w:p w:rsidR="00412961" w:rsidRPr="00412961" w:rsidRDefault="0052121A" w:rsidP="00412961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412961" w:rsidRPr="00412961">
        <w:rPr>
          <w:rFonts w:ascii="Times New Roman" w:hAnsi="Times New Roman"/>
          <w:szCs w:val="24"/>
        </w:rPr>
        <w:t xml:space="preserve">По отношение на бъдещи и потенциални негативни въздействие, статутът на защитената територия и на защитената зона създават висок потенциал за опазване на видове и местообитания, особено ако са защитени или са целеви за защитената зона. </w:t>
      </w:r>
    </w:p>
    <w:p w:rsidR="00412961" w:rsidRDefault="00412961" w:rsidP="00A273CF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szCs w:val="24"/>
        </w:rPr>
      </w:pPr>
    </w:p>
    <w:p w:rsidR="00E6218A" w:rsidRPr="00925925" w:rsidRDefault="00E6218A" w:rsidP="002A01D6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E6218A" w:rsidRPr="0052121A" w:rsidRDefault="00E6218A" w:rsidP="002A01D6">
      <w:pPr>
        <w:spacing w:after="0" w:line="240" w:lineRule="auto"/>
        <w:jc w:val="both"/>
        <w:rPr>
          <w:rFonts w:ascii="Times New Roman" w:hAnsi="Times New Roman"/>
          <w:b/>
          <w:szCs w:val="24"/>
        </w:rPr>
      </w:pPr>
      <w:r w:rsidRPr="0052121A">
        <w:rPr>
          <w:rFonts w:ascii="Times New Roman" w:hAnsi="Times New Roman"/>
          <w:b/>
          <w:szCs w:val="24"/>
        </w:rPr>
        <w:t>2.4.2.</w:t>
      </w:r>
      <w:r w:rsidRPr="0052121A">
        <w:rPr>
          <w:rFonts w:ascii="Times New Roman" w:hAnsi="Times New Roman"/>
          <w:b/>
          <w:szCs w:val="24"/>
        </w:rPr>
        <w:tab/>
        <w:t xml:space="preserve"> Потенциал на територията за поддържане и възстановяван</w:t>
      </w:r>
      <w:r w:rsidR="00184DBF">
        <w:rPr>
          <w:rFonts w:ascii="Times New Roman" w:hAnsi="Times New Roman"/>
          <w:b/>
          <w:szCs w:val="24"/>
        </w:rPr>
        <w:t>е на местообитанията и видовете.</w:t>
      </w:r>
    </w:p>
    <w:p w:rsidR="00E6218A" w:rsidRDefault="0052121A" w:rsidP="002A01D6">
      <w:p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:rsidR="002A01D6" w:rsidRDefault="002A01D6" w:rsidP="005212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ПП </w:t>
      </w:r>
      <w:r w:rsidR="0052121A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Българка</w:t>
      </w:r>
      <w:r w:rsidR="0052121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има висок потенциал за възстановяване на местообитания и видове, които има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консервационно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значение. Много висок е потенциалът за възстановяване на горски местообитания, особено на букови,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габърови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дъбови гори. В тази връзка защитената територии има висок потенциал за възстановяване и на популации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консервационно-значими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горски видове, както и ценни лечебни растения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ядливи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гъби, свързани отново с горски местообитания. Горите имат и естествен възобновителен потенциал, като заемат местата на поддържани от екстензивно земеделие и животновъдство обработваеми площи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полу-естествени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тревни местообитания – ливади и пасища. Малко по-нисък (защото зависи и от национални демографски и социално-икономически тенденции) е потенциалът за възстановяване именно на тези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полу-естествени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тревни местообитания – ливади и пасища. </w:t>
      </w:r>
    </w:p>
    <w:p w:rsidR="002A01D6" w:rsidRDefault="002A01D6" w:rsidP="002A0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01D6" w:rsidRPr="00E6218A" w:rsidRDefault="002A01D6" w:rsidP="002A0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Потенциалът за възстановяване на крайречни и водни местообитания и свързани с тях видове също не е много висок, поради причини за деградацията им и от глобално естество </w:t>
      </w:r>
      <w:r w:rsidRPr="00E6218A">
        <w:rPr>
          <w:rFonts w:ascii="Times New Roman" w:hAnsi="Times New Roman" w:cs="Times New Roman"/>
          <w:sz w:val="24"/>
          <w:szCs w:val="24"/>
        </w:rPr>
        <w:t xml:space="preserve">– повишение на температурите и намаляване на валежите. </w:t>
      </w:r>
    </w:p>
    <w:p w:rsidR="00F94C48" w:rsidRDefault="00F94C48" w:rsidP="00F94C48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szCs w:val="24"/>
        </w:rPr>
      </w:pPr>
    </w:p>
    <w:p w:rsidR="00F94C48" w:rsidRPr="00B90102" w:rsidRDefault="00F94C48" w:rsidP="00F94C48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Като цяло, т</w:t>
      </w:r>
      <w:r w:rsidRPr="00B90102">
        <w:rPr>
          <w:rFonts w:ascii="Times New Roman" w:hAnsi="Times New Roman"/>
          <w:szCs w:val="24"/>
        </w:rPr>
        <w:t>ериторията има голям потенциал за възстановяване на местообитанията, тъй като само малък процент от тях са необратимо унищожени</w:t>
      </w:r>
      <w:r>
        <w:rPr>
          <w:rFonts w:ascii="Times New Roman" w:hAnsi="Times New Roman"/>
          <w:szCs w:val="24"/>
        </w:rPr>
        <w:t xml:space="preserve">. </w:t>
      </w:r>
      <w:r w:rsidRPr="00B90102">
        <w:rPr>
          <w:rFonts w:ascii="Times New Roman" w:hAnsi="Times New Roman"/>
          <w:szCs w:val="24"/>
        </w:rPr>
        <w:t xml:space="preserve">Доколкото </w:t>
      </w:r>
      <w:proofErr w:type="spellStart"/>
      <w:r w:rsidRPr="00B90102">
        <w:rPr>
          <w:rFonts w:ascii="Times New Roman" w:hAnsi="Times New Roman"/>
          <w:szCs w:val="24"/>
        </w:rPr>
        <w:t>сукцесията</w:t>
      </w:r>
      <w:proofErr w:type="spellEnd"/>
      <w:r w:rsidRPr="00B90102">
        <w:rPr>
          <w:rFonts w:ascii="Times New Roman" w:hAnsi="Times New Roman"/>
          <w:szCs w:val="24"/>
        </w:rPr>
        <w:t xml:space="preserve"> в този географски пояс води към равновесно състояние, което представлява приоритетното местообитание стари широколистни гори, то дори елементарната ненамеса и прекратяване на част от човешките </w:t>
      </w:r>
      <w:r w:rsidRPr="00B90102">
        <w:rPr>
          <w:rFonts w:ascii="Times New Roman" w:hAnsi="Times New Roman"/>
          <w:szCs w:val="24"/>
        </w:rPr>
        <w:lastRenderedPageBreak/>
        <w:t>дейности в определени зони, би довела до връщането на териториите в естественото им равновесно състояние. Доколкото има територии, които са създадени благодарение на вековното устойчиво ползване от човека и те са станали дом на много приоритетни видове като пасищата и ливадите, то тяхното поддържане в неравновесно състояние чрез устойчиво ползване би довело до запазването на голяма част от приоритетните за опазване видове. В тази връзка територията на ПП „Българка“ има висок потенциал за възстановяване на местообитания и поддържането им чрез устойчиво ползване на ресурсите.</w:t>
      </w:r>
    </w:p>
    <w:p w:rsidR="00E6218A" w:rsidRDefault="00E6218A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218A" w:rsidRPr="0052121A" w:rsidRDefault="00E6218A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121A">
        <w:rPr>
          <w:rFonts w:ascii="Times New Roman" w:eastAsia="Times New Roman" w:hAnsi="Times New Roman" w:cs="Times New Roman"/>
          <w:b/>
          <w:sz w:val="24"/>
          <w:szCs w:val="24"/>
        </w:rPr>
        <w:t>2.4.3.</w:t>
      </w:r>
      <w:r w:rsidRPr="0052121A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Потенциалните възможности за развитие на туризма и други </w:t>
      </w:r>
      <w:proofErr w:type="spellStart"/>
      <w:r w:rsidRPr="0052121A">
        <w:rPr>
          <w:rFonts w:ascii="Times New Roman" w:eastAsia="Times New Roman" w:hAnsi="Times New Roman" w:cs="Times New Roman"/>
          <w:b/>
          <w:sz w:val="24"/>
          <w:szCs w:val="24"/>
        </w:rPr>
        <w:t>рекреационни</w:t>
      </w:r>
      <w:proofErr w:type="spellEnd"/>
      <w:r w:rsidRPr="0052121A">
        <w:rPr>
          <w:rFonts w:ascii="Times New Roman" w:eastAsia="Times New Roman" w:hAnsi="Times New Roman" w:cs="Times New Roman"/>
          <w:b/>
          <w:sz w:val="24"/>
          <w:szCs w:val="24"/>
        </w:rPr>
        <w:t xml:space="preserve"> дейности на местно, национално и международно ниво.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Възможностите в това направление се очертават от високите оценки и перспективи в развитието в следните основни раздели: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E91D71">
        <w:rPr>
          <w:rFonts w:ascii="Times New Roman" w:eastAsia="Calibri" w:hAnsi="Times New Roman" w:cs="Times New Roman"/>
          <w:i/>
          <w:sz w:val="24"/>
          <w:szCs w:val="24"/>
        </w:rPr>
        <w:t>Природна среда с културни, исторически и археологически паметници</w:t>
      </w: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Развитието на туристическата инфраструктура на обектите на КИН е важно условие за осъществяване една от целите на Плана за хармонична връзка и развитие на екологичния и културен туризъм на територията на природния парк. В Плана ще бъдат включени необходимите програми и проекти, дейности и мерки за тяхното постигане.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Природният комплекс на парка предполага развитие на екологичен туризъм, предпоставка за който са съхранената природа.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Наличието на богата история, останки от някогашни крепости, манастири, градища, на пластове на многовековна история, легенди и митове, са сериозна предпоставка за развитие на културно-познавателен и свещен (религиозен) туризъм и обвързване на територията с подобни обекти в контактната й зона – Соколски манастир“Успение Богородично“, храм-параклисът "Св.Иван Рилски-Чудотворец" на връх "Кръстец“, Дряновски манастир“Свети Архангел Михаил“,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Батошевски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манастир“ Успение Богородично“, Шипченски манастир.</w:t>
      </w:r>
    </w:p>
    <w:p w:rsidR="00E6218A" w:rsidRDefault="00E6218A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Първостепенната функция на парка като защитена територия с биологично и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ландшафтно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разнообразие създава възможности за развитие на образователни и природозащитни маршрути. В  територията</w:t>
      </w:r>
      <w:r w:rsidR="00E621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на парка на разположение са пет защитени местности и четири природни забележителности. 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Съществува висок неизчерпан потенциал за развитие на научен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природопознавателен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туризъм. ДПП“Българка“ възнамерява  да  изгради  Информационно образователен център и територията на Трявна, където да се предоставят: актуална информация за маршрутите в парка, образователни брошури с ценни и защитени видове растения и животни,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промотиране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на местни храни с марка“Българка“, изработени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издели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и сувенири от местни майстори.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E91D71">
        <w:rPr>
          <w:rFonts w:ascii="Times New Roman" w:eastAsia="Calibri" w:hAnsi="Times New Roman" w:cs="Times New Roman"/>
          <w:i/>
          <w:sz w:val="24"/>
          <w:szCs w:val="24"/>
        </w:rPr>
        <w:t>Развитие на фолклорни празници и изяви, местни ритуали, културни събития</w:t>
      </w: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, на основата на вече традиционно провеждащите се културни празници на АЕК “Етъра“, Националните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Славейкови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празници, Международен пленер по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дървопластика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, Международния фолклорен фестивал, традиционните панаири в гр. Трявна и в гр. Плачковци. Ежегодни събори с игри и надпявания се провеждат на: с. Белица, връх Бъзовец,  с. Кръстец, с. Станчов хан. Провеждането на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Узана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Поляна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Фест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е иновативен фестивал на практиките за устойчиво развитие, който показва нагледно как добрите зелени идеи имат приложение.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E91D71">
        <w:rPr>
          <w:rFonts w:ascii="Times New Roman" w:eastAsia="Calibri" w:hAnsi="Times New Roman" w:cs="Times New Roman"/>
          <w:i/>
          <w:sz w:val="24"/>
          <w:szCs w:val="24"/>
        </w:rPr>
        <w:t>Морфологичните особености на района</w:t>
      </w: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са основна предпоставка за развитие на пешеходен туризъм,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велотуризъм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и конна езда, както и на екстремните - алпинизъм и,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пещернячество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, делтапланеризъм.  Адаптирането на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сградния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фонд към нормативите за ползване от хора с увреждания, ще им даде възможност за по-продължителна почивка в парка. С развитието на този </w:t>
      </w:r>
      <w:r w:rsidRPr="00E91D71">
        <w:rPr>
          <w:rFonts w:ascii="Times New Roman" w:eastAsia="Calibri" w:hAnsi="Times New Roman" w:cs="Times New Roman"/>
          <w:sz w:val="24"/>
          <w:szCs w:val="24"/>
        </w:rPr>
        <w:lastRenderedPageBreak/>
        <w:t>тип туризъм е необходимо изграждане на маршрути за хора с увреждания и в урбанизираните територии.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През територията на Парка преминава част от международния туристически маршрут Ком-Емине (м.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Узана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вр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>.Шипка - х.Бузлуджа - х.Българка -х.Кръстец - х.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Грамадлива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- х.Предела- Прохода на Републиката ). В района на Парка се намират много и разнообразни пешеходни маршрути достигащи до различни природни и исторически местности, маршрути свързващи северна и южна България като: гр.Трявна - гр.Плачковци - х.Кръстец-крепостта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Калоянка-с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.Селци-гр.Мъглиж; гр.Плачковци - х.Кръстец -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Иванковата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пътека - крепостта Царска могила - с.Дъбово; гр.Трявна - х.Българка - с.Енина; гр.Габрово - м.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Узана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- с.Скобелево; Габрово -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вр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.Бузлуджа -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гр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Шипка; Етъра - Соколски манастир -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вр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>.Шипка- гр.Шипка и други.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Съчетанието между изключително подходящия терен и природно разнообразие дават възможности за развитието на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велотуризъм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с възможности за осъществяване както на дълги и сравнително леки преходи чрез използването на богатата мрежа от коларски пътища и пътеки с малка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денивилация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, така и на екстремно колоездене и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колоориентиране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>. Разработен и действащ е туристически продукт ”С велосипед и раница по пътя на слънцето” включващ един регионален велосипеден маршрут, обхващащ общините: Трявна, Габрово, Априлци, Троян и Тетевен и един локален в общината.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Речните каньони, скални масиви и разломи откриват великолепни възможности пред любителите на силни усещания за практикуване на алпинизъм, скално и ледено катерене, спелеология (райони като "Виканата скала", скалните масиви около с.Станчев хан, пещерите под връх Бузлуджа при изворите на р.Янтра, около с.Станчев хан и др.).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За пара и делтапланеризъм лесно с достъпни терени за излитане и приземяване и подходяща метеорология са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вр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>.Исполин до м.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Узана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вр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Бедек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вр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>.Баба до гара Кръстец, Конарското и др.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Възможностите за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коннен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туризъм и езда  са ограничени и към  момента не са развити в района на парка. Конна база има на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Узана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>, в с.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Тодорчетата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и с. Живко,  община Габрово. След с.Живко има манеж за езда с изградени съоръжения, там могат да се  наемат коне. 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На територията на ПП</w:t>
      </w:r>
      <w:r w:rsidR="003A74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91D71">
        <w:rPr>
          <w:rFonts w:ascii="Times New Roman" w:eastAsia="Calibri" w:hAnsi="Times New Roman" w:cs="Times New Roman"/>
          <w:sz w:val="24"/>
          <w:szCs w:val="24"/>
        </w:rPr>
        <w:t>”Българка” за религиозен туризъм е подходящ  храм-параклисът "Св.Иван Рилски-Чудотворец" на връх "Кръстец“. В основата на храма е вградена частица от мощите на Св. Иван Рилски, донесен нарочно от Рилския манастир и е осветено с изворна вода от пещерата в Рила планина където е живял Светеца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Уникалният комплекс от туристически ресурси предполага развитие на богата гама от туристически дейности и разработване на комплексен туристически продукт.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Селският туризъм може да се окаже, че е най-удачната и популярна форма на туризъм на територията на парка. Наличието на значителен свободен квартирен фонд, предлагането на местни храни,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атракционни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забавления и добрата нагласа на населението за прием на туристи са важен ресурс за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развитето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на този вид туризъм.</w:t>
      </w:r>
    </w:p>
    <w:p w:rsidR="00992BBC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Развитие на спортни и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рекреационни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дейности на територията на парка в съчетание с възможностите на прилежащите територии и комбиниране с другите спортове може да създаде  позитивен имидж на региона както в България, така и в чужбина.</w:t>
      </w:r>
    </w:p>
    <w:p w:rsidR="00E6218A" w:rsidRDefault="00E6218A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218A" w:rsidRPr="0052121A" w:rsidRDefault="00E6218A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121A">
        <w:rPr>
          <w:rFonts w:ascii="Times New Roman" w:eastAsia="Times New Roman" w:hAnsi="Times New Roman" w:cs="Times New Roman"/>
          <w:b/>
          <w:sz w:val="24"/>
          <w:szCs w:val="24"/>
        </w:rPr>
        <w:t>2.4.</w:t>
      </w:r>
      <w:proofErr w:type="spellStart"/>
      <w:r w:rsidRPr="0052121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proofErr w:type="spellEnd"/>
      <w:r w:rsidRPr="0052121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2121A">
        <w:rPr>
          <w:rFonts w:ascii="Times New Roman" w:eastAsia="Times New Roman" w:hAnsi="Times New Roman" w:cs="Times New Roman"/>
          <w:b/>
          <w:sz w:val="24"/>
          <w:szCs w:val="24"/>
        </w:rPr>
        <w:tab/>
        <w:t>Потенциал на Природния парк за устойчиво ползване на природните ресурси.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Съществуват достатъчно законови, нормативни и управленчески условия за постигане на устойчиво ползване на природните ресурси. Плана за управление определя рамката за това ползване. Специализираните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устройствени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проекти са механизма за осъществяване на режимите, нормите и препоръките за дейностите и мерките.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lastRenderedPageBreak/>
        <w:t>Земеделските стопани, чиито земи попадат в границите на парка, е необходимо да спазват Правилата за добра земеделска практика, които са част от Програмата за ограничаване и ликвидиране на замърсяването от земеделски източници и списък, утвърден от Министерството на околната среда и водите.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С помощта на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компесаторни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плащания по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Агроекологичната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мярка е възможно да се приложат мерки за опазване на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полуестествените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местообитания в земеделските земи, а след 2014 с въвеждането на горско-екологичната мярка и компенсаторни плащания за опазване на биоразнообразието в горите в зона Натура 2000.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В рамките на следващите 10 години съществуват реални възможности за въвеждане и на многофункционално стопанисване на горите. Съществува реална възможност върху част от буковите и дъбови  гори в парка да се постави за цел производство на специална дървесина при висока възраст и сложен строеж на насажденията. Постигането на тази цел изисква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отгледни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грижи по метода на ранната индивидуализация - избор на дървета на бъдещето и поддържане на богато видово разнообразие за създаване на сложен строеж и състав на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съобществата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При въвеждане на многофункционално стопанисване на горите и отчитане на действащите ограничители е напълно възможно подобряване на продуктивността на горите през плановия период, тъй като балансът между прираста и ползването на горите не е нарушен и горските запаси на територията на парка практически се увеличават. За тази цел е необходимо оптимизиране отглеждането на младите насаждения и превръщането на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издънковите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гори във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високостъблени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, което неминуемо ще повиши потенциала на горите, както по отношение на продуктивността, така и по отношение на техните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социално-рекреативни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и защитни функции. Това означава, че получените добиви от горите годишно следва да бъдат с увеличено участие на средната по размер дървесина, която ще намери приложение за добив като технологична дървесина. По този начин ще се създадат условия за намаляване на ползването в старите гори с висока пълнота без икономически загуби, но с определени социални печалби. За достигане на пълния потенциал е необходимо въвеждане на щадящи системи на ползване на горите, водещи до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природосъобразно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стопанисване, запазване по-дълго на корен възрастни насаждения чрез прилагане на сечи с по-дълъг възобновителен период, запазване и възстановяване на естествени структури и екологични ниши. 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Допълнителни условия за постигане на потенциалните възможности на горите в парка са свързани със съхранението на почвеното и въздушно овлажняване чрез поддържането на постоянен горски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склоп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, подходящи и щадящи технологии за дърводобив и добре обучен лесовъдски състав по отношение на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консервационните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и екологични изисквания на територията.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Наличието на пасища и ливади са добър потенциал за възвръщане на едно традиционно за този район в недалечното минало пасищно животновъдство и овощарството.</w:t>
      </w:r>
    </w:p>
    <w:p w:rsidR="00992BBC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Природният потенциал на територията на парка предлагат реални възможности и за развитие на пчеларството.</w:t>
      </w:r>
    </w:p>
    <w:p w:rsidR="00E6218A" w:rsidRDefault="00E6218A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2BBC" w:rsidRPr="0052121A" w:rsidRDefault="00E6218A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52121A">
        <w:rPr>
          <w:rFonts w:ascii="Times New Roman" w:eastAsia="Times New Roman" w:hAnsi="Times New Roman" w:cs="Times New Roman"/>
          <w:b/>
          <w:sz w:val="24"/>
          <w:szCs w:val="24"/>
        </w:rPr>
        <w:t>2.4.5. Потенциал на парковата територия за развитие на научна и образователна дейности</w:t>
      </w:r>
      <w:r w:rsidR="00184DB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Широкият кръг от възможности може да се определи в няколко основни групи: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Еколого-образователни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програми в Демонстрационен център „Българка” в кв. Етъра, и Приключенски образователен център в сградата на ДПП в Габрово;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• Съвместни с Дирекциите на другите паркове в България образователни програми за запознаване на подрастващите;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• Обучение на местни хора за разработване на екологични проекти, отговарящи на изискванията на национални и международни програми за финансиране;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lastRenderedPageBreak/>
        <w:t>• Обучение на селски стопани в принципите на екологично земеделие и стопанисване на земеделските земи на територията на парка;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• Обучение за интерпретационни умения на доброволци от местното население, местни НПО и туристически и туроператорски фирми;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• Обучение на служители от хотели, къщи за гости, туристически и туроператорски фирми от територията на парка  в принципите на устойчивия туризъм.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• Обучение на собствениците и ползвателите на паркова територия със законовите и нормативни разпоредби, техните права и задължения към парка, с допълнителните ограничения на ПУ, с биологичното разнообразие и начините за ползване на ресурси от парка.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Научните изследвания целят постигане на научно познание за промените и възможностите за направляване на природните процеси при необходимост, както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практико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- приложни резултати за нуждите на управлението. Възможностите са за задълбочаване познанието за приоритетните местообитания и видове,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спелеологични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проучвания, исторически и етнографски проучвания, необходими за попълване информацията на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посетителските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и информационни центрове и базата данни на Парковата Дирекция.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След проучване на проблемните сфери и компоненти на околната среда на парка се определиха целесъобразни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мониторингови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програми за десетгодишния период: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• Мониторинг за биологичното разнообразие за приоритетни местообитания и видове - флора и фауна;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• Мониторинг по състоянието на горските екосистеми;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>• Мониторинг върху състоянието на водите в реките на парка;</w:t>
      </w:r>
    </w:p>
    <w:p w:rsidR="00992BBC" w:rsidRPr="00E91D71" w:rsidRDefault="00992BBC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• Мониторинг върху резултатите от </w:t>
      </w:r>
      <w:proofErr w:type="spellStart"/>
      <w:r w:rsidRPr="00E91D71">
        <w:rPr>
          <w:rFonts w:ascii="Times New Roman" w:eastAsia="Calibri" w:hAnsi="Times New Roman" w:cs="Times New Roman"/>
          <w:sz w:val="24"/>
          <w:szCs w:val="24"/>
        </w:rPr>
        <w:t>агроекологичните</w:t>
      </w:r>
      <w:proofErr w:type="spellEnd"/>
      <w:r w:rsidRPr="00E91D71">
        <w:rPr>
          <w:rFonts w:ascii="Times New Roman" w:eastAsia="Calibri" w:hAnsi="Times New Roman" w:cs="Times New Roman"/>
          <w:sz w:val="24"/>
          <w:szCs w:val="24"/>
        </w:rPr>
        <w:t xml:space="preserve"> проекти( земи с ВПС);</w:t>
      </w:r>
    </w:p>
    <w:p w:rsidR="00992BBC" w:rsidRPr="00E91D71" w:rsidRDefault="009F2ECA" w:rsidP="00992BB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="00992BBC" w:rsidRPr="00E91D71">
        <w:rPr>
          <w:rFonts w:ascii="Times New Roman" w:eastAsia="Calibri" w:hAnsi="Times New Roman" w:cs="Times New Roman"/>
          <w:sz w:val="24"/>
          <w:szCs w:val="24"/>
        </w:rPr>
        <w:t xml:space="preserve">Мониторинг за социално-икономическите фактори включващ </w:t>
      </w:r>
      <w:proofErr w:type="spellStart"/>
      <w:r w:rsidR="00992BBC" w:rsidRPr="00E91D71">
        <w:rPr>
          <w:rFonts w:ascii="Times New Roman" w:eastAsia="Calibri" w:hAnsi="Times New Roman" w:cs="Times New Roman"/>
          <w:sz w:val="24"/>
          <w:szCs w:val="24"/>
        </w:rPr>
        <w:t>посетителски</w:t>
      </w:r>
      <w:proofErr w:type="spellEnd"/>
      <w:r w:rsidR="00992BBC" w:rsidRPr="00E91D71">
        <w:rPr>
          <w:rFonts w:ascii="Times New Roman" w:eastAsia="Calibri" w:hAnsi="Times New Roman" w:cs="Times New Roman"/>
          <w:sz w:val="24"/>
          <w:szCs w:val="24"/>
        </w:rPr>
        <w:t xml:space="preserve"> мониторинг и мониторинг на конфликтите.</w:t>
      </w:r>
    </w:p>
    <w:p w:rsidR="00992BBC" w:rsidRDefault="00992BBC" w:rsidP="00A273CF">
      <w:pPr>
        <w:spacing w:after="0"/>
        <w:rPr>
          <w:rFonts w:ascii="Times New Roman" w:hAnsi="Times New Roman" w:cs="Times New Roman"/>
        </w:rPr>
      </w:pPr>
    </w:p>
    <w:p w:rsidR="00E6218A" w:rsidRPr="0052121A" w:rsidRDefault="00184DBF" w:rsidP="00E6218A">
      <w:pPr>
        <w:pStyle w:val="BodyText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2.4.6. Други възможности.</w:t>
      </w:r>
    </w:p>
    <w:p w:rsidR="00E6218A" w:rsidRDefault="00E6218A" w:rsidP="00E6218A">
      <w:pPr>
        <w:pStyle w:val="BodyText"/>
        <w:jc w:val="both"/>
        <w:rPr>
          <w:rFonts w:ascii="Times New Roman" w:hAnsi="Times New Roman"/>
          <w:szCs w:val="24"/>
        </w:rPr>
      </w:pPr>
    </w:p>
    <w:p w:rsidR="00A273CF" w:rsidRPr="00A273CF" w:rsidRDefault="0052121A" w:rsidP="00A273CF">
      <w:pPr>
        <w:pStyle w:val="BodyText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ПП “</w:t>
      </w:r>
      <w:r w:rsidR="00E6218A" w:rsidRPr="00A273CF">
        <w:rPr>
          <w:rFonts w:ascii="Times New Roman" w:hAnsi="Times New Roman"/>
          <w:szCs w:val="24"/>
        </w:rPr>
        <w:t xml:space="preserve">Българка” </w:t>
      </w:r>
      <w:r w:rsidR="00E6218A">
        <w:rPr>
          <w:rFonts w:ascii="Times New Roman" w:hAnsi="Times New Roman"/>
          <w:szCs w:val="24"/>
        </w:rPr>
        <w:t xml:space="preserve">може да се превърне в </w:t>
      </w:r>
      <w:r w:rsidR="00E6218A" w:rsidRPr="00A273CF">
        <w:rPr>
          <w:rFonts w:ascii="Times New Roman" w:hAnsi="Times New Roman"/>
          <w:szCs w:val="24"/>
        </w:rPr>
        <w:t>модел за публично управление на защитена територия</w:t>
      </w:r>
      <w:r w:rsidR="00E6218A">
        <w:rPr>
          <w:rFonts w:ascii="Times New Roman" w:hAnsi="Times New Roman"/>
          <w:szCs w:val="24"/>
        </w:rPr>
        <w:t>.</w:t>
      </w:r>
      <w:r w:rsidR="00A273CF" w:rsidRPr="00A273CF">
        <w:rPr>
          <w:rFonts w:ascii="Times New Roman" w:hAnsi="Times New Roman"/>
          <w:szCs w:val="24"/>
        </w:rPr>
        <w:t xml:space="preserve">Дирекцията на ПП “Българка”, в </w:t>
      </w:r>
      <w:proofErr w:type="spellStart"/>
      <w:r w:rsidR="00A273CF" w:rsidRPr="00A273CF">
        <w:rPr>
          <w:rFonts w:ascii="Times New Roman" w:hAnsi="Times New Roman"/>
          <w:szCs w:val="24"/>
        </w:rPr>
        <w:t>партньрство</w:t>
      </w:r>
      <w:proofErr w:type="spellEnd"/>
      <w:r w:rsidR="00A273CF" w:rsidRPr="00A273CF">
        <w:rPr>
          <w:rFonts w:ascii="Times New Roman" w:hAnsi="Times New Roman"/>
          <w:szCs w:val="24"/>
        </w:rPr>
        <w:t xml:space="preserve"> с областните управи, общинските администрации, местните неправителствени организации и местните държавни структури, може да играе важна роля както в управлението на защитената територия, така и на регионално ниво. ДПП може да спечели доверието на местните хора, да представлява източник на информация и може да </w:t>
      </w:r>
      <w:proofErr w:type="spellStart"/>
      <w:r w:rsidR="00A273CF" w:rsidRPr="00A273CF">
        <w:rPr>
          <w:rFonts w:ascii="Times New Roman" w:hAnsi="Times New Roman"/>
          <w:szCs w:val="24"/>
        </w:rPr>
        <w:t>модерира</w:t>
      </w:r>
      <w:proofErr w:type="spellEnd"/>
      <w:r w:rsidR="00A273CF" w:rsidRPr="00A273CF">
        <w:rPr>
          <w:rFonts w:ascii="Times New Roman" w:hAnsi="Times New Roman"/>
          <w:szCs w:val="24"/>
        </w:rPr>
        <w:t xml:space="preserve"> очакванията на различните заинтересовани страни. </w:t>
      </w:r>
    </w:p>
    <w:p w:rsidR="00A273CF" w:rsidRPr="00A273CF" w:rsidRDefault="00A273CF" w:rsidP="00A273CF">
      <w:pPr>
        <w:pStyle w:val="BodyText"/>
        <w:jc w:val="both"/>
        <w:rPr>
          <w:rFonts w:ascii="Times New Roman" w:hAnsi="Times New Roman"/>
          <w:b/>
          <w:szCs w:val="24"/>
        </w:rPr>
      </w:pPr>
    </w:p>
    <w:p w:rsidR="00A273CF" w:rsidRPr="00A273CF" w:rsidRDefault="00A273CF" w:rsidP="00A273CF">
      <w:pPr>
        <w:pStyle w:val="BodyText"/>
        <w:jc w:val="both"/>
        <w:rPr>
          <w:rFonts w:ascii="Times New Roman" w:hAnsi="Times New Roman"/>
          <w:b/>
          <w:szCs w:val="24"/>
        </w:rPr>
      </w:pPr>
      <w:r w:rsidRPr="00A273CF">
        <w:rPr>
          <w:rFonts w:ascii="Times New Roman" w:hAnsi="Times New Roman"/>
          <w:szCs w:val="24"/>
        </w:rPr>
        <w:t xml:space="preserve">Работата на парковата дирекция все още не е получила необходимата популяризация и  обществена подкрепа. Настоящето ръководство полага усилия за прозрачност при управлението и въвличане на заинтересованите страни в неговата работа. </w:t>
      </w:r>
    </w:p>
    <w:p w:rsidR="00A273CF" w:rsidRPr="00A273CF" w:rsidRDefault="00A273CF" w:rsidP="00A273CF">
      <w:pPr>
        <w:spacing w:after="0"/>
        <w:rPr>
          <w:rFonts w:ascii="Times New Roman" w:hAnsi="Times New Roman" w:cs="Times New Roman"/>
          <w:lang w:val="en-US"/>
        </w:rPr>
      </w:pPr>
    </w:p>
    <w:p w:rsidR="00A273CF" w:rsidRPr="00A273CF" w:rsidRDefault="00A273CF" w:rsidP="00A273CF">
      <w:pPr>
        <w:spacing w:after="0"/>
        <w:rPr>
          <w:rFonts w:ascii="Times New Roman" w:hAnsi="Times New Roman" w:cs="Times New Roman"/>
        </w:rPr>
      </w:pPr>
    </w:p>
    <w:sectPr w:rsidR="00A273CF" w:rsidRPr="00A273CF" w:rsidSect="005212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34" w:right="566" w:bottom="1417" w:left="1134" w:header="284" w:footer="850" w:gutter="0"/>
      <w:pgNumType w:start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6BB" w:rsidRDefault="00FE16BB" w:rsidP="00137A3A">
      <w:pPr>
        <w:spacing w:after="0" w:line="240" w:lineRule="auto"/>
      </w:pPr>
      <w:r>
        <w:separator/>
      </w:r>
    </w:p>
  </w:endnote>
  <w:endnote w:type="continuationSeparator" w:id="0">
    <w:p w:rsidR="00FE16BB" w:rsidRDefault="00FE16BB" w:rsidP="00137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21A" w:rsidRDefault="005212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A3A" w:rsidRDefault="00137A3A" w:rsidP="00137A3A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7456">
      <w:rPr>
        <w:rStyle w:val="PageNumber"/>
        <w:noProof/>
      </w:rPr>
      <w:t>287</w:t>
    </w:r>
    <w:r>
      <w:rPr>
        <w:rStyle w:val="PageNumber"/>
      </w:rPr>
      <w:fldChar w:fldCharType="end"/>
    </w:r>
  </w:p>
  <w:p w:rsidR="00137A3A" w:rsidRPr="00137A3A" w:rsidRDefault="00137A3A" w:rsidP="00137A3A">
    <w:pPr>
      <w:pStyle w:val="Footer"/>
      <w:ind w:right="360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AEFFF28" wp14:editId="541C5FCC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F93ECC6" wp14:editId="48EF55B3">
              <wp:simplePos x="0" y="0"/>
              <wp:positionH relativeFrom="column">
                <wp:posOffset>-914400</wp:posOffset>
              </wp:positionH>
              <wp:positionV relativeFrom="paragraph">
                <wp:posOffset>-25400</wp:posOffset>
              </wp:positionV>
              <wp:extent cx="7658100" cy="0"/>
              <wp:effectExtent l="19050" t="22225" r="19050" b="2540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BF76861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21A" w:rsidRDefault="005212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6BB" w:rsidRDefault="00FE16BB" w:rsidP="00137A3A">
      <w:pPr>
        <w:spacing w:after="0" w:line="240" w:lineRule="auto"/>
      </w:pPr>
      <w:r>
        <w:separator/>
      </w:r>
    </w:p>
  </w:footnote>
  <w:footnote w:type="continuationSeparator" w:id="0">
    <w:p w:rsidR="00FE16BB" w:rsidRDefault="00FE16BB" w:rsidP="00137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21A" w:rsidRDefault="005212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A3A" w:rsidRPr="003D5E65" w:rsidRDefault="00137A3A" w:rsidP="00137A3A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</w:rPr>
      <w:drawing>
        <wp:anchor distT="0" distB="0" distL="114300" distR="114300" simplePos="0" relativeHeight="251657216" behindDoc="0" locked="0" layoutInCell="1" allowOverlap="1" wp14:anchorId="60BA0F67" wp14:editId="5CEDDBA7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137A3A" w:rsidRPr="00A7477D" w:rsidRDefault="00137A3A" w:rsidP="00137A3A">
    <w:pPr>
      <w:pStyle w:val="Header"/>
      <w:ind w:left="-1080"/>
      <w:rPr>
        <w:lang w:val="en-US"/>
      </w:rPr>
    </w:pPr>
    <w:r>
      <w:rPr>
        <w:rFonts w:ascii="Arial" w:hAnsi="Arial" w:cs="Arial"/>
        <w:i/>
        <w:noProof/>
        <w:color w:val="808080"/>
        <w:sz w:val="16"/>
        <w:szCs w:val="16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C107919" wp14:editId="0F028F59">
              <wp:simplePos x="0" y="0"/>
              <wp:positionH relativeFrom="column">
                <wp:posOffset>-914400</wp:posOffset>
              </wp:positionH>
              <wp:positionV relativeFrom="paragraph">
                <wp:posOffset>81915</wp:posOffset>
              </wp:positionV>
              <wp:extent cx="7543800" cy="0"/>
              <wp:effectExtent l="23495" t="22860" r="24130" b="2476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7E1E41C" id="Straight Connector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  <w:p w:rsidR="00137A3A" w:rsidRDefault="00137A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21A" w:rsidRDefault="005212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24C"/>
    <w:rsid w:val="00006387"/>
    <w:rsid w:val="00012C62"/>
    <w:rsid w:val="000216D2"/>
    <w:rsid w:val="000256CD"/>
    <w:rsid w:val="0002699B"/>
    <w:rsid w:val="0003477C"/>
    <w:rsid w:val="000424C5"/>
    <w:rsid w:val="0005218D"/>
    <w:rsid w:val="00070FDF"/>
    <w:rsid w:val="0007107C"/>
    <w:rsid w:val="000736DD"/>
    <w:rsid w:val="000777A5"/>
    <w:rsid w:val="00081F4E"/>
    <w:rsid w:val="00082E44"/>
    <w:rsid w:val="000866C8"/>
    <w:rsid w:val="0009174A"/>
    <w:rsid w:val="00092149"/>
    <w:rsid w:val="000A042E"/>
    <w:rsid w:val="000A3C88"/>
    <w:rsid w:val="000C294E"/>
    <w:rsid w:val="000D2AA8"/>
    <w:rsid w:val="000D70EA"/>
    <w:rsid w:val="000D7B5A"/>
    <w:rsid w:val="000E64D0"/>
    <w:rsid w:val="000F78E0"/>
    <w:rsid w:val="001158FB"/>
    <w:rsid w:val="00124DC4"/>
    <w:rsid w:val="001300CE"/>
    <w:rsid w:val="00135436"/>
    <w:rsid w:val="00137A3A"/>
    <w:rsid w:val="00140286"/>
    <w:rsid w:val="00142AB9"/>
    <w:rsid w:val="00143351"/>
    <w:rsid w:val="0014763B"/>
    <w:rsid w:val="001478D5"/>
    <w:rsid w:val="0015434D"/>
    <w:rsid w:val="0016472C"/>
    <w:rsid w:val="0016761F"/>
    <w:rsid w:val="00184DBF"/>
    <w:rsid w:val="00195B31"/>
    <w:rsid w:val="001A4851"/>
    <w:rsid w:val="001A702A"/>
    <w:rsid w:val="001B39C9"/>
    <w:rsid w:val="001D2D70"/>
    <w:rsid w:val="001E0484"/>
    <w:rsid w:val="001E2FC9"/>
    <w:rsid w:val="001E3AB0"/>
    <w:rsid w:val="001E43FE"/>
    <w:rsid w:val="001F5C34"/>
    <w:rsid w:val="00203C5D"/>
    <w:rsid w:val="00215FD1"/>
    <w:rsid w:val="0023100E"/>
    <w:rsid w:val="002322E9"/>
    <w:rsid w:val="00233BF1"/>
    <w:rsid w:val="002374A9"/>
    <w:rsid w:val="00265314"/>
    <w:rsid w:val="0026653B"/>
    <w:rsid w:val="00275E52"/>
    <w:rsid w:val="00280864"/>
    <w:rsid w:val="00290559"/>
    <w:rsid w:val="00297DF8"/>
    <w:rsid w:val="002A01D6"/>
    <w:rsid w:val="002A7BAB"/>
    <w:rsid w:val="002B5CE7"/>
    <w:rsid w:val="002C07E2"/>
    <w:rsid w:val="002C17F3"/>
    <w:rsid w:val="002C76BA"/>
    <w:rsid w:val="002D45AD"/>
    <w:rsid w:val="002D58AA"/>
    <w:rsid w:val="002E026A"/>
    <w:rsid w:val="002E1DD9"/>
    <w:rsid w:val="002E695C"/>
    <w:rsid w:val="002F0EEB"/>
    <w:rsid w:val="002F3DE0"/>
    <w:rsid w:val="002F469F"/>
    <w:rsid w:val="003009DF"/>
    <w:rsid w:val="00302D2D"/>
    <w:rsid w:val="00306917"/>
    <w:rsid w:val="00307D77"/>
    <w:rsid w:val="00307EA0"/>
    <w:rsid w:val="003151DF"/>
    <w:rsid w:val="00316713"/>
    <w:rsid w:val="00324757"/>
    <w:rsid w:val="00325787"/>
    <w:rsid w:val="0032658B"/>
    <w:rsid w:val="00327E23"/>
    <w:rsid w:val="0033650B"/>
    <w:rsid w:val="00350CE5"/>
    <w:rsid w:val="00351825"/>
    <w:rsid w:val="0035441B"/>
    <w:rsid w:val="00362760"/>
    <w:rsid w:val="00366185"/>
    <w:rsid w:val="00370592"/>
    <w:rsid w:val="0037164E"/>
    <w:rsid w:val="00385250"/>
    <w:rsid w:val="003A1493"/>
    <w:rsid w:val="003A29FB"/>
    <w:rsid w:val="003A2D83"/>
    <w:rsid w:val="003A64F9"/>
    <w:rsid w:val="003A7456"/>
    <w:rsid w:val="003C0CFE"/>
    <w:rsid w:val="003C1BE2"/>
    <w:rsid w:val="003C1DD2"/>
    <w:rsid w:val="003D1E98"/>
    <w:rsid w:val="003D5627"/>
    <w:rsid w:val="003D7208"/>
    <w:rsid w:val="003F061F"/>
    <w:rsid w:val="003F0B10"/>
    <w:rsid w:val="003F0DB1"/>
    <w:rsid w:val="003F3308"/>
    <w:rsid w:val="003F6046"/>
    <w:rsid w:val="00412961"/>
    <w:rsid w:val="00415485"/>
    <w:rsid w:val="00420B32"/>
    <w:rsid w:val="004344FE"/>
    <w:rsid w:val="00442EBD"/>
    <w:rsid w:val="00451420"/>
    <w:rsid w:val="004530A6"/>
    <w:rsid w:val="004616DB"/>
    <w:rsid w:val="00494B30"/>
    <w:rsid w:val="00496C23"/>
    <w:rsid w:val="00497B50"/>
    <w:rsid w:val="004A1B27"/>
    <w:rsid w:val="004A1D50"/>
    <w:rsid w:val="004A5645"/>
    <w:rsid w:val="004B149E"/>
    <w:rsid w:val="004B2A6F"/>
    <w:rsid w:val="004B5542"/>
    <w:rsid w:val="004C364C"/>
    <w:rsid w:val="004D328D"/>
    <w:rsid w:val="004D49EC"/>
    <w:rsid w:val="004D6E6C"/>
    <w:rsid w:val="004E379F"/>
    <w:rsid w:val="00504F0A"/>
    <w:rsid w:val="005115A8"/>
    <w:rsid w:val="00513679"/>
    <w:rsid w:val="0052121A"/>
    <w:rsid w:val="00523A76"/>
    <w:rsid w:val="0052653A"/>
    <w:rsid w:val="00534724"/>
    <w:rsid w:val="005468F1"/>
    <w:rsid w:val="00562F59"/>
    <w:rsid w:val="005655DD"/>
    <w:rsid w:val="00567149"/>
    <w:rsid w:val="005A33A0"/>
    <w:rsid w:val="005A3C47"/>
    <w:rsid w:val="005A5C07"/>
    <w:rsid w:val="005B5AA5"/>
    <w:rsid w:val="005B6868"/>
    <w:rsid w:val="005C59AF"/>
    <w:rsid w:val="005C5ACC"/>
    <w:rsid w:val="005D79EA"/>
    <w:rsid w:val="005E20CE"/>
    <w:rsid w:val="005F77A0"/>
    <w:rsid w:val="00610293"/>
    <w:rsid w:val="00620DEA"/>
    <w:rsid w:val="00621B7A"/>
    <w:rsid w:val="00635E07"/>
    <w:rsid w:val="006473C6"/>
    <w:rsid w:val="006500B9"/>
    <w:rsid w:val="006534D8"/>
    <w:rsid w:val="00671A46"/>
    <w:rsid w:val="0067516C"/>
    <w:rsid w:val="00685405"/>
    <w:rsid w:val="00690C85"/>
    <w:rsid w:val="006A0E93"/>
    <w:rsid w:val="006B5799"/>
    <w:rsid w:val="006B64E0"/>
    <w:rsid w:val="006C55C8"/>
    <w:rsid w:val="006D27FA"/>
    <w:rsid w:val="006D5D44"/>
    <w:rsid w:val="006F0AEE"/>
    <w:rsid w:val="006F56A6"/>
    <w:rsid w:val="00702E9D"/>
    <w:rsid w:val="007053D9"/>
    <w:rsid w:val="00710148"/>
    <w:rsid w:val="00716FF3"/>
    <w:rsid w:val="007209E5"/>
    <w:rsid w:val="00724B18"/>
    <w:rsid w:val="0073247A"/>
    <w:rsid w:val="00743005"/>
    <w:rsid w:val="0075208A"/>
    <w:rsid w:val="00763A90"/>
    <w:rsid w:val="00765D94"/>
    <w:rsid w:val="007701D7"/>
    <w:rsid w:val="00790FDC"/>
    <w:rsid w:val="007A24E0"/>
    <w:rsid w:val="007A3F8A"/>
    <w:rsid w:val="007A7AA1"/>
    <w:rsid w:val="007B0244"/>
    <w:rsid w:val="007B1D5F"/>
    <w:rsid w:val="007C5356"/>
    <w:rsid w:val="007D0F0A"/>
    <w:rsid w:val="007D18C6"/>
    <w:rsid w:val="007D43ED"/>
    <w:rsid w:val="007D4AD6"/>
    <w:rsid w:val="008013A3"/>
    <w:rsid w:val="00806D83"/>
    <w:rsid w:val="0081241E"/>
    <w:rsid w:val="00815BF8"/>
    <w:rsid w:val="008227FB"/>
    <w:rsid w:val="008322F6"/>
    <w:rsid w:val="00847AE8"/>
    <w:rsid w:val="0085246A"/>
    <w:rsid w:val="00856135"/>
    <w:rsid w:val="008579C1"/>
    <w:rsid w:val="00867769"/>
    <w:rsid w:val="00884C7B"/>
    <w:rsid w:val="00890C1A"/>
    <w:rsid w:val="008B49D2"/>
    <w:rsid w:val="008B64A7"/>
    <w:rsid w:val="008C4EFF"/>
    <w:rsid w:val="008D5CF6"/>
    <w:rsid w:val="008E6286"/>
    <w:rsid w:val="008E6EB8"/>
    <w:rsid w:val="008E6F14"/>
    <w:rsid w:val="008F2E5B"/>
    <w:rsid w:val="008F2FDE"/>
    <w:rsid w:val="008F5CC7"/>
    <w:rsid w:val="008F7DA8"/>
    <w:rsid w:val="00925925"/>
    <w:rsid w:val="00926E28"/>
    <w:rsid w:val="00927161"/>
    <w:rsid w:val="009424E5"/>
    <w:rsid w:val="009562C8"/>
    <w:rsid w:val="00970C7F"/>
    <w:rsid w:val="00973E66"/>
    <w:rsid w:val="00990C8F"/>
    <w:rsid w:val="00992BBC"/>
    <w:rsid w:val="009A479C"/>
    <w:rsid w:val="009A56B8"/>
    <w:rsid w:val="009B6F28"/>
    <w:rsid w:val="009C1755"/>
    <w:rsid w:val="009D05B2"/>
    <w:rsid w:val="009D2509"/>
    <w:rsid w:val="009D5CF1"/>
    <w:rsid w:val="009F1EC0"/>
    <w:rsid w:val="009F2327"/>
    <w:rsid w:val="009F2ECA"/>
    <w:rsid w:val="009F58FC"/>
    <w:rsid w:val="009F6482"/>
    <w:rsid w:val="00A06DD5"/>
    <w:rsid w:val="00A12814"/>
    <w:rsid w:val="00A273CF"/>
    <w:rsid w:val="00A315D8"/>
    <w:rsid w:val="00A3268F"/>
    <w:rsid w:val="00A36768"/>
    <w:rsid w:val="00A36DB2"/>
    <w:rsid w:val="00A44972"/>
    <w:rsid w:val="00A45D98"/>
    <w:rsid w:val="00A469C7"/>
    <w:rsid w:val="00A55E08"/>
    <w:rsid w:val="00A616C9"/>
    <w:rsid w:val="00A61B70"/>
    <w:rsid w:val="00A66982"/>
    <w:rsid w:val="00A678E3"/>
    <w:rsid w:val="00A721DA"/>
    <w:rsid w:val="00A738FC"/>
    <w:rsid w:val="00A7571C"/>
    <w:rsid w:val="00A864AC"/>
    <w:rsid w:val="00A8676E"/>
    <w:rsid w:val="00AA1F5F"/>
    <w:rsid w:val="00AA4D3E"/>
    <w:rsid w:val="00AA726C"/>
    <w:rsid w:val="00AC4E37"/>
    <w:rsid w:val="00AE0888"/>
    <w:rsid w:val="00AF3A90"/>
    <w:rsid w:val="00B01FEF"/>
    <w:rsid w:val="00B040FB"/>
    <w:rsid w:val="00B07BEB"/>
    <w:rsid w:val="00B15D2C"/>
    <w:rsid w:val="00B17F09"/>
    <w:rsid w:val="00B200DC"/>
    <w:rsid w:val="00B20503"/>
    <w:rsid w:val="00B23145"/>
    <w:rsid w:val="00B2719F"/>
    <w:rsid w:val="00B33372"/>
    <w:rsid w:val="00B545B1"/>
    <w:rsid w:val="00B66DD8"/>
    <w:rsid w:val="00B827CC"/>
    <w:rsid w:val="00B835E9"/>
    <w:rsid w:val="00B83D5E"/>
    <w:rsid w:val="00B974A6"/>
    <w:rsid w:val="00BA07D1"/>
    <w:rsid w:val="00BA122E"/>
    <w:rsid w:val="00BB7E77"/>
    <w:rsid w:val="00BC1370"/>
    <w:rsid w:val="00BC2514"/>
    <w:rsid w:val="00BC309C"/>
    <w:rsid w:val="00BC6581"/>
    <w:rsid w:val="00BC6E80"/>
    <w:rsid w:val="00BD1E80"/>
    <w:rsid w:val="00BE2152"/>
    <w:rsid w:val="00BF62EC"/>
    <w:rsid w:val="00C1148B"/>
    <w:rsid w:val="00C215FF"/>
    <w:rsid w:val="00C21A81"/>
    <w:rsid w:val="00C22F29"/>
    <w:rsid w:val="00C34575"/>
    <w:rsid w:val="00C34594"/>
    <w:rsid w:val="00C36E75"/>
    <w:rsid w:val="00C444E4"/>
    <w:rsid w:val="00C45E3F"/>
    <w:rsid w:val="00C51AE6"/>
    <w:rsid w:val="00C561DA"/>
    <w:rsid w:val="00C62748"/>
    <w:rsid w:val="00C70809"/>
    <w:rsid w:val="00C77BD3"/>
    <w:rsid w:val="00C82148"/>
    <w:rsid w:val="00C85EC4"/>
    <w:rsid w:val="00CB1D2E"/>
    <w:rsid w:val="00CB4320"/>
    <w:rsid w:val="00CC377A"/>
    <w:rsid w:val="00CC6460"/>
    <w:rsid w:val="00CD5F2D"/>
    <w:rsid w:val="00CF11FC"/>
    <w:rsid w:val="00CF5BCF"/>
    <w:rsid w:val="00D041F2"/>
    <w:rsid w:val="00D04B8E"/>
    <w:rsid w:val="00D07227"/>
    <w:rsid w:val="00D21806"/>
    <w:rsid w:val="00D24317"/>
    <w:rsid w:val="00D24E57"/>
    <w:rsid w:val="00D266BB"/>
    <w:rsid w:val="00D358CA"/>
    <w:rsid w:val="00D4301B"/>
    <w:rsid w:val="00D460D8"/>
    <w:rsid w:val="00D471D5"/>
    <w:rsid w:val="00D51AD2"/>
    <w:rsid w:val="00D534B7"/>
    <w:rsid w:val="00D63439"/>
    <w:rsid w:val="00D63FE2"/>
    <w:rsid w:val="00D91506"/>
    <w:rsid w:val="00D97F52"/>
    <w:rsid w:val="00DA590F"/>
    <w:rsid w:val="00DB1CB5"/>
    <w:rsid w:val="00DB6196"/>
    <w:rsid w:val="00DC1150"/>
    <w:rsid w:val="00DC705B"/>
    <w:rsid w:val="00DE2136"/>
    <w:rsid w:val="00DF0D73"/>
    <w:rsid w:val="00DF224C"/>
    <w:rsid w:val="00DF6DF8"/>
    <w:rsid w:val="00E017EF"/>
    <w:rsid w:val="00E0471B"/>
    <w:rsid w:val="00E05E79"/>
    <w:rsid w:val="00E253DA"/>
    <w:rsid w:val="00E32A66"/>
    <w:rsid w:val="00E334E8"/>
    <w:rsid w:val="00E34C9A"/>
    <w:rsid w:val="00E41258"/>
    <w:rsid w:val="00E42D8F"/>
    <w:rsid w:val="00E452A5"/>
    <w:rsid w:val="00E46812"/>
    <w:rsid w:val="00E5372B"/>
    <w:rsid w:val="00E6218A"/>
    <w:rsid w:val="00E703BD"/>
    <w:rsid w:val="00E7092C"/>
    <w:rsid w:val="00E82468"/>
    <w:rsid w:val="00E82748"/>
    <w:rsid w:val="00E83EE2"/>
    <w:rsid w:val="00E8433C"/>
    <w:rsid w:val="00E849F9"/>
    <w:rsid w:val="00E86C7A"/>
    <w:rsid w:val="00E90A89"/>
    <w:rsid w:val="00E92602"/>
    <w:rsid w:val="00EA3F53"/>
    <w:rsid w:val="00EA4A05"/>
    <w:rsid w:val="00EA60DC"/>
    <w:rsid w:val="00EB3602"/>
    <w:rsid w:val="00EB4DCF"/>
    <w:rsid w:val="00EC0AEB"/>
    <w:rsid w:val="00ED0679"/>
    <w:rsid w:val="00ED20AE"/>
    <w:rsid w:val="00ED56EB"/>
    <w:rsid w:val="00EE1537"/>
    <w:rsid w:val="00EF08D2"/>
    <w:rsid w:val="00EF1D6F"/>
    <w:rsid w:val="00EF4C77"/>
    <w:rsid w:val="00EF51BE"/>
    <w:rsid w:val="00F006CD"/>
    <w:rsid w:val="00F14128"/>
    <w:rsid w:val="00F15DBF"/>
    <w:rsid w:val="00F16E72"/>
    <w:rsid w:val="00F17B7D"/>
    <w:rsid w:val="00F2284D"/>
    <w:rsid w:val="00F23523"/>
    <w:rsid w:val="00F40125"/>
    <w:rsid w:val="00F4630C"/>
    <w:rsid w:val="00F5450E"/>
    <w:rsid w:val="00F647DC"/>
    <w:rsid w:val="00F730BF"/>
    <w:rsid w:val="00F7336F"/>
    <w:rsid w:val="00F8167C"/>
    <w:rsid w:val="00F85C0F"/>
    <w:rsid w:val="00F90F0F"/>
    <w:rsid w:val="00F94C48"/>
    <w:rsid w:val="00FB7AB5"/>
    <w:rsid w:val="00FC6902"/>
    <w:rsid w:val="00FD374E"/>
    <w:rsid w:val="00FD4CCA"/>
    <w:rsid w:val="00FD6B5D"/>
    <w:rsid w:val="00FD7080"/>
    <w:rsid w:val="00FE16BB"/>
    <w:rsid w:val="00FE6C80"/>
    <w:rsid w:val="00FF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273CF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A273CF"/>
    <w:rPr>
      <w:rFonts w:ascii="Arial" w:eastAsia="Times New Roman" w:hAnsi="Arial" w:cs="Times New Roman"/>
      <w:color w:val="000000"/>
      <w:sz w:val="24"/>
      <w:szCs w:val="20"/>
      <w:lang w:eastAsia="bg-BG"/>
    </w:rPr>
  </w:style>
  <w:style w:type="table" w:styleId="TableGrid">
    <w:name w:val="Table Grid"/>
    <w:basedOn w:val="TableNormal"/>
    <w:uiPriority w:val="59"/>
    <w:rsid w:val="00A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7A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A3A"/>
  </w:style>
  <w:style w:type="paragraph" w:styleId="Footer">
    <w:name w:val="footer"/>
    <w:basedOn w:val="Normal"/>
    <w:link w:val="FooterChar"/>
    <w:unhideWhenUsed/>
    <w:rsid w:val="00137A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A3A"/>
  </w:style>
  <w:style w:type="character" w:styleId="PageNumber">
    <w:name w:val="page number"/>
    <w:basedOn w:val="DefaultParagraphFont"/>
    <w:rsid w:val="00137A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273CF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A273CF"/>
    <w:rPr>
      <w:rFonts w:ascii="Arial" w:eastAsia="Times New Roman" w:hAnsi="Arial" w:cs="Times New Roman"/>
      <w:color w:val="000000"/>
      <w:sz w:val="24"/>
      <w:szCs w:val="20"/>
      <w:lang w:eastAsia="bg-BG"/>
    </w:rPr>
  </w:style>
  <w:style w:type="table" w:styleId="TableGrid">
    <w:name w:val="Table Grid"/>
    <w:basedOn w:val="TableNormal"/>
    <w:uiPriority w:val="59"/>
    <w:rsid w:val="00A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7A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A3A"/>
  </w:style>
  <w:style w:type="paragraph" w:styleId="Footer">
    <w:name w:val="footer"/>
    <w:basedOn w:val="Normal"/>
    <w:link w:val="FooterChar"/>
    <w:unhideWhenUsed/>
    <w:rsid w:val="00137A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A3A"/>
  </w:style>
  <w:style w:type="character" w:styleId="PageNumber">
    <w:name w:val="page number"/>
    <w:basedOn w:val="DefaultParagraphFont"/>
    <w:rsid w:val="00137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2451</Words>
  <Characters>13974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Kavrakova</dc:creator>
  <cp:lastModifiedBy>Toma</cp:lastModifiedBy>
  <cp:revision>8</cp:revision>
  <dcterms:created xsi:type="dcterms:W3CDTF">2014-02-26T11:47:00Z</dcterms:created>
  <dcterms:modified xsi:type="dcterms:W3CDTF">2016-12-28T14:01:00Z</dcterms:modified>
</cp:coreProperties>
</file>