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2812413" w14:textId="77777777" w:rsidR="00FB4F7F" w:rsidRDefault="00F17100" w:rsidP="00F17100">
      <w:pPr>
        <w:pStyle w:val="BodyText"/>
        <w:jc w:val="both"/>
        <w:rPr>
          <w:rFonts w:ascii="Times New Roman"/>
        </w:rPr>
      </w:pPr>
      <w:bookmarkStart w:id="0" w:name="_GoBack"/>
      <w:r>
        <w:pict w14:anchorId="528124BF">
          <v:group id="_x0000_s1033" style="position:absolute;left:0;text-align:left;margin-left:-.5pt;margin-top:35.8pt;width:595.6pt;height:567.95pt;z-index:-251658239;mso-position-horizontal-relative:page;mso-position-vertical-relative:page" coordorigin="-10,716" coordsize="11912,11359">
            <v:shape id="_x0000_s1040" style="position:absolute;top:3316;width:9396;height:6273" coordorigin=",3316" coordsize="9396,6273" path="m,9589r5527,l9396,3316,,3316e" filled="f" strokecolor="#8dc53e" strokeweight="1pt">
              <v:path arrowok="t"/>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9" type="#_x0000_t75" style="position:absolute;left:5242;top:5292;width:6660;height:6280">
              <v:imagedata r:id="rId8" o:title=""/>
            </v:shape>
            <v:shape id="_x0000_s1038" style="position:absolute;left:1204;top:11026;width:3651;height:396" coordorigin="1204,11026" coordsize="3651,396" path="m4855,11026r-3402,l1204,11422r3401,l4855,11026xe" fillcolor="#004674" stroked="f">
              <v:path arrowok="t"/>
            </v:shape>
            <v:shape id="_x0000_s1037" style="position:absolute;left:2108;top:716;width:7959;height:11359" coordorigin="2109,716" coordsize="7959,11359" o:spt="100" adj="0,,0" path="m2696,1661l2109,716r,601l2509,1962r187,-301xm9759,4506r-283,l4778,12075r279,l9759,4506xm10068,2551r-283,l4855,10502r283,l10068,2551xe" fillcolor="#8dc53e" stroked="f">
              <v:stroke joinstyle="round"/>
              <v:formulas/>
              <v:path arrowok="t" o:connecttype="segments"/>
            </v:shape>
            <v:shape id="_x0000_s1036" style="position:absolute;left:2109;top:1661;width:587;height:1546" coordorigin="2109,1661" coordsize="587,1546" path="m2696,1661r-587,945l2109,3207r587,-945l2696,1661xe" fillcolor="#6c6d70" stroked="f">
              <v:path arrowok="t"/>
            </v:shape>
            <v:shape id="_x0000_s1035" style="position:absolute;left:2720;top:716;width:587;height:1246" coordorigin="2720,716" coordsize="587,1246" path="m2720,716r,601l3120,1962r187,-301l2720,716xe" fillcolor="#8dc53e" stroked="f">
              <v:path arrowok="t"/>
            </v:shape>
            <v:shape id="_x0000_s1034" style="position:absolute;left:2720;top:1661;width:587;height:1546" coordorigin="2720,1661" coordsize="587,1546" path="m3307,1661r-587,945l2720,3207r587,-945l3307,1661xe" fillcolor="#6c6d70" stroked="f">
              <v:path arrowok="t"/>
            </v:shape>
            <w10:wrap anchorx="page" anchory="page"/>
          </v:group>
        </w:pict>
      </w:r>
    </w:p>
    <w:p w14:paraId="52812414" w14:textId="77777777" w:rsidR="00FB4F7F" w:rsidRDefault="00FB4F7F" w:rsidP="00F17100">
      <w:pPr>
        <w:pStyle w:val="BodyText"/>
        <w:jc w:val="both"/>
        <w:rPr>
          <w:rFonts w:ascii="Times New Roman"/>
        </w:rPr>
      </w:pPr>
    </w:p>
    <w:p w14:paraId="52812415" w14:textId="77777777" w:rsidR="00FB4F7F" w:rsidRDefault="00FB4F7F" w:rsidP="00F17100">
      <w:pPr>
        <w:pStyle w:val="BodyText"/>
        <w:jc w:val="both"/>
        <w:rPr>
          <w:rFonts w:ascii="Times New Roman"/>
        </w:rPr>
      </w:pPr>
    </w:p>
    <w:p w14:paraId="52812416" w14:textId="77777777" w:rsidR="00FB4F7F" w:rsidRDefault="00FB4F7F" w:rsidP="00F17100">
      <w:pPr>
        <w:pStyle w:val="BodyText"/>
        <w:jc w:val="both"/>
        <w:rPr>
          <w:rFonts w:ascii="Times New Roman"/>
        </w:rPr>
      </w:pPr>
    </w:p>
    <w:p w14:paraId="52812417" w14:textId="77777777" w:rsidR="00FB4F7F" w:rsidRDefault="00FB4F7F" w:rsidP="00F17100">
      <w:pPr>
        <w:pStyle w:val="BodyText"/>
        <w:jc w:val="both"/>
        <w:rPr>
          <w:rFonts w:ascii="Times New Roman"/>
        </w:rPr>
      </w:pPr>
    </w:p>
    <w:p w14:paraId="52812418" w14:textId="77777777" w:rsidR="00FB4F7F" w:rsidRDefault="00FB4F7F" w:rsidP="00F17100">
      <w:pPr>
        <w:pStyle w:val="BodyText"/>
        <w:jc w:val="both"/>
        <w:rPr>
          <w:rFonts w:ascii="Times New Roman"/>
        </w:rPr>
      </w:pPr>
    </w:p>
    <w:p w14:paraId="52812419" w14:textId="77777777" w:rsidR="00FB4F7F" w:rsidRDefault="00FB4F7F" w:rsidP="00F17100">
      <w:pPr>
        <w:pStyle w:val="BodyText"/>
        <w:jc w:val="both"/>
        <w:rPr>
          <w:rFonts w:ascii="Times New Roman"/>
        </w:rPr>
      </w:pPr>
    </w:p>
    <w:p w14:paraId="5281241A" w14:textId="77777777" w:rsidR="00FB4F7F" w:rsidRDefault="00FB4F7F" w:rsidP="00F17100">
      <w:pPr>
        <w:pStyle w:val="BodyText"/>
        <w:jc w:val="both"/>
        <w:rPr>
          <w:rFonts w:ascii="Times New Roman"/>
        </w:rPr>
      </w:pPr>
    </w:p>
    <w:p w14:paraId="5281241B" w14:textId="77777777" w:rsidR="00FB4F7F" w:rsidRDefault="00FB4F7F" w:rsidP="00F17100">
      <w:pPr>
        <w:pStyle w:val="BodyText"/>
        <w:jc w:val="both"/>
        <w:rPr>
          <w:rFonts w:ascii="Times New Roman"/>
        </w:rPr>
      </w:pPr>
    </w:p>
    <w:p w14:paraId="5281241C" w14:textId="77777777" w:rsidR="00FB4F7F" w:rsidRDefault="00FB4F7F" w:rsidP="00F17100">
      <w:pPr>
        <w:pStyle w:val="BodyText"/>
        <w:jc w:val="both"/>
        <w:rPr>
          <w:rFonts w:ascii="Times New Roman"/>
        </w:rPr>
      </w:pPr>
    </w:p>
    <w:p w14:paraId="5281241D" w14:textId="77777777" w:rsidR="00FB4F7F" w:rsidRDefault="00FB4F7F" w:rsidP="00F17100">
      <w:pPr>
        <w:pStyle w:val="BodyText"/>
        <w:jc w:val="both"/>
        <w:rPr>
          <w:rFonts w:ascii="Times New Roman"/>
        </w:rPr>
      </w:pPr>
    </w:p>
    <w:p w14:paraId="5281241E" w14:textId="77777777" w:rsidR="00FB4F7F" w:rsidRDefault="00D83B4C" w:rsidP="00F17100">
      <w:pPr>
        <w:pStyle w:val="Heading1"/>
        <w:spacing w:before="222" w:line="264" w:lineRule="auto"/>
        <w:ind w:right="2660" w:hanging="900"/>
        <w:jc w:val="both"/>
      </w:pPr>
      <w:r>
        <w:rPr>
          <w:color w:val="57585B"/>
        </w:rPr>
        <w:t>Препоръка на Съвета за ограничаване на трафика и икономично</w:t>
      </w:r>
    </w:p>
    <w:p w14:paraId="5281241F" w14:textId="77777777" w:rsidR="00FB4F7F" w:rsidRDefault="00D83B4C" w:rsidP="00F17100">
      <w:pPr>
        <w:ind w:left="900" w:right="2296" w:hanging="900"/>
        <w:jc w:val="both"/>
        <w:rPr>
          <w:sz w:val="40"/>
        </w:rPr>
      </w:pPr>
      <w:r>
        <w:rPr>
          <w:color w:val="57585B"/>
          <w:sz w:val="40"/>
        </w:rPr>
        <w:t>подобряване на градската</w:t>
      </w:r>
    </w:p>
    <w:p w14:paraId="52812420" w14:textId="77777777" w:rsidR="00FB4F7F" w:rsidRDefault="00D83B4C" w:rsidP="00F17100">
      <w:pPr>
        <w:pStyle w:val="Heading1"/>
        <w:spacing w:before="47"/>
        <w:jc w:val="both"/>
      </w:pPr>
      <w:r>
        <w:rPr>
          <w:color w:val="57585B"/>
        </w:rPr>
        <w:t>среда</w:t>
      </w:r>
    </w:p>
    <w:p w14:paraId="52812421" w14:textId="77777777" w:rsidR="00FB4F7F" w:rsidRDefault="00FB4F7F" w:rsidP="00F17100">
      <w:pPr>
        <w:pStyle w:val="BodyText"/>
        <w:jc w:val="both"/>
      </w:pPr>
    </w:p>
    <w:p w14:paraId="52812422" w14:textId="77777777" w:rsidR="00FB4F7F" w:rsidRDefault="00FB4F7F" w:rsidP="00F17100">
      <w:pPr>
        <w:pStyle w:val="BodyText"/>
        <w:jc w:val="both"/>
      </w:pPr>
    </w:p>
    <w:p w14:paraId="52812423" w14:textId="77777777" w:rsidR="00FB4F7F" w:rsidRDefault="00FB4F7F" w:rsidP="00F17100">
      <w:pPr>
        <w:pStyle w:val="BodyText"/>
        <w:jc w:val="both"/>
      </w:pPr>
    </w:p>
    <w:p w14:paraId="52812424" w14:textId="77777777" w:rsidR="00FB4F7F" w:rsidRDefault="00FB4F7F" w:rsidP="00F17100">
      <w:pPr>
        <w:pStyle w:val="BodyText"/>
        <w:jc w:val="both"/>
      </w:pPr>
    </w:p>
    <w:p w14:paraId="52812425" w14:textId="77777777" w:rsidR="00FB4F7F" w:rsidRDefault="00FB4F7F" w:rsidP="00F17100">
      <w:pPr>
        <w:pStyle w:val="BodyText"/>
        <w:jc w:val="both"/>
      </w:pPr>
    </w:p>
    <w:p w14:paraId="52812426" w14:textId="77777777" w:rsidR="00FB4F7F" w:rsidRDefault="00FB4F7F" w:rsidP="00F17100">
      <w:pPr>
        <w:pStyle w:val="BodyText"/>
        <w:jc w:val="both"/>
      </w:pPr>
    </w:p>
    <w:p w14:paraId="52812427" w14:textId="77777777" w:rsidR="00FB4F7F" w:rsidRDefault="00FB4F7F" w:rsidP="00F17100">
      <w:pPr>
        <w:pStyle w:val="BodyText"/>
        <w:jc w:val="both"/>
      </w:pPr>
    </w:p>
    <w:p w14:paraId="52812428" w14:textId="77777777" w:rsidR="00FB4F7F" w:rsidRDefault="00FB4F7F" w:rsidP="00F17100">
      <w:pPr>
        <w:pStyle w:val="BodyText"/>
        <w:jc w:val="both"/>
      </w:pPr>
    </w:p>
    <w:p w14:paraId="52812429" w14:textId="77777777" w:rsidR="00FB4F7F" w:rsidRDefault="00FB4F7F" w:rsidP="00F17100">
      <w:pPr>
        <w:pStyle w:val="BodyText"/>
        <w:jc w:val="both"/>
      </w:pPr>
    </w:p>
    <w:p w14:paraId="5281242A" w14:textId="77777777" w:rsidR="00FB4F7F" w:rsidRDefault="00FB4F7F" w:rsidP="00F17100">
      <w:pPr>
        <w:pStyle w:val="BodyText"/>
        <w:jc w:val="both"/>
      </w:pPr>
    </w:p>
    <w:p w14:paraId="5281242B" w14:textId="77777777" w:rsidR="00FB4F7F" w:rsidRDefault="00FB4F7F" w:rsidP="00F17100">
      <w:pPr>
        <w:pStyle w:val="BodyText"/>
        <w:jc w:val="both"/>
      </w:pPr>
    </w:p>
    <w:p w14:paraId="5281242C" w14:textId="77777777" w:rsidR="00FB4F7F" w:rsidRDefault="00FB4F7F" w:rsidP="00F17100">
      <w:pPr>
        <w:pStyle w:val="BodyText"/>
        <w:jc w:val="both"/>
      </w:pPr>
    </w:p>
    <w:p w14:paraId="5281242D" w14:textId="77777777" w:rsidR="00FB4F7F" w:rsidRDefault="00FB4F7F" w:rsidP="00F17100">
      <w:pPr>
        <w:pStyle w:val="BodyText"/>
        <w:jc w:val="both"/>
      </w:pPr>
    </w:p>
    <w:p w14:paraId="5281242E" w14:textId="77777777" w:rsidR="00FB4F7F" w:rsidRDefault="00FB4F7F" w:rsidP="00F17100">
      <w:pPr>
        <w:pStyle w:val="BodyText"/>
        <w:jc w:val="both"/>
      </w:pPr>
    </w:p>
    <w:p w14:paraId="5281242F" w14:textId="77777777" w:rsidR="00FB4F7F" w:rsidRDefault="00FB4F7F" w:rsidP="00F17100">
      <w:pPr>
        <w:pStyle w:val="BodyText"/>
        <w:jc w:val="both"/>
      </w:pPr>
    </w:p>
    <w:p w14:paraId="52812430" w14:textId="77777777" w:rsidR="00FB4F7F" w:rsidRDefault="00FB4F7F" w:rsidP="00F17100">
      <w:pPr>
        <w:pStyle w:val="BodyText"/>
        <w:jc w:val="both"/>
      </w:pPr>
    </w:p>
    <w:p w14:paraId="52812431" w14:textId="77777777" w:rsidR="00FB4F7F" w:rsidRDefault="00FB4F7F" w:rsidP="00F17100">
      <w:pPr>
        <w:pStyle w:val="BodyText"/>
        <w:jc w:val="both"/>
      </w:pPr>
    </w:p>
    <w:p w14:paraId="52812432" w14:textId="77777777" w:rsidR="00FB4F7F" w:rsidRDefault="00FB4F7F" w:rsidP="00F17100">
      <w:pPr>
        <w:pStyle w:val="BodyText"/>
        <w:jc w:val="both"/>
      </w:pPr>
    </w:p>
    <w:p w14:paraId="52812433" w14:textId="77777777" w:rsidR="00FB4F7F" w:rsidRDefault="00FB4F7F" w:rsidP="00F17100">
      <w:pPr>
        <w:pStyle w:val="BodyText"/>
        <w:jc w:val="both"/>
      </w:pPr>
    </w:p>
    <w:p w14:paraId="52812434" w14:textId="77777777" w:rsidR="00FB4F7F" w:rsidRDefault="00FB4F7F" w:rsidP="00F17100">
      <w:pPr>
        <w:pStyle w:val="BodyText"/>
        <w:jc w:val="both"/>
      </w:pPr>
    </w:p>
    <w:p w14:paraId="52812435" w14:textId="77777777" w:rsidR="00FB4F7F" w:rsidRDefault="00FB4F7F" w:rsidP="00F17100">
      <w:pPr>
        <w:pStyle w:val="BodyText"/>
        <w:jc w:val="both"/>
      </w:pPr>
    </w:p>
    <w:p w14:paraId="52812436" w14:textId="77777777" w:rsidR="00FB4F7F" w:rsidRDefault="00FB4F7F" w:rsidP="00F17100">
      <w:pPr>
        <w:pStyle w:val="BodyText"/>
        <w:jc w:val="both"/>
      </w:pPr>
    </w:p>
    <w:p w14:paraId="52812437" w14:textId="77777777" w:rsidR="00FB4F7F" w:rsidRDefault="00FB4F7F" w:rsidP="00F17100">
      <w:pPr>
        <w:pStyle w:val="BodyText"/>
        <w:jc w:val="both"/>
      </w:pPr>
    </w:p>
    <w:p w14:paraId="52812438" w14:textId="77777777" w:rsidR="00FB4F7F" w:rsidRDefault="00FB4F7F" w:rsidP="00F17100">
      <w:pPr>
        <w:pStyle w:val="BodyText"/>
        <w:jc w:val="both"/>
      </w:pPr>
    </w:p>
    <w:p w14:paraId="52812439" w14:textId="77777777" w:rsidR="00FB4F7F" w:rsidRDefault="00FB4F7F" w:rsidP="00F17100">
      <w:pPr>
        <w:pStyle w:val="BodyText"/>
        <w:jc w:val="both"/>
      </w:pPr>
    </w:p>
    <w:p w14:paraId="5281243A" w14:textId="77777777" w:rsidR="00FB4F7F" w:rsidRDefault="00D83B4C" w:rsidP="00F17100">
      <w:pPr>
        <w:spacing w:before="322" w:line="204" w:lineRule="auto"/>
        <w:ind w:left="811" w:right="7088" w:hanging="953"/>
        <w:jc w:val="both"/>
        <w:rPr>
          <w:rFonts w:ascii="Arial Black"/>
          <w:sz w:val="26"/>
        </w:rPr>
      </w:pPr>
      <w:r>
        <w:rPr>
          <w:rFonts w:ascii="Arial Black"/>
          <w:color w:val="004674"/>
          <w:sz w:val="26"/>
        </w:rPr>
        <w:t>Правни</w:t>
      </w:r>
      <w:r>
        <w:rPr>
          <w:rFonts w:ascii="Arial Black"/>
          <w:color w:val="004674"/>
          <w:sz w:val="26"/>
        </w:rPr>
        <w:t xml:space="preserve"> </w:t>
      </w:r>
      <w:r>
        <w:rPr>
          <w:rFonts w:ascii="Arial Black"/>
          <w:color w:val="004674"/>
          <w:sz w:val="26"/>
        </w:rPr>
        <w:t>инструменти</w:t>
      </w:r>
      <w:r>
        <w:rPr>
          <w:rFonts w:ascii="Arial Black"/>
          <w:color w:val="004674"/>
          <w:sz w:val="26"/>
        </w:rPr>
        <w:t xml:space="preserve"> </w:t>
      </w:r>
      <w:r>
        <w:rPr>
          <w:rFonts w:ascii="Arial Black"/>
          <w:color w:val="004674"/>
          <w:sz w:val="26"/>
        </w:rPr>
        <w:t>на</w:t>
      </w:r>
      <w:r>
        <w:rPr>
          <w:rFonts w:ascii="Arial Black"/>
          <w:color w:val="004674"/>
          <w:sz w:val="26"/>
        </w:rPr>
        <w:t xml:space="preserve"> </w:t>
      </w:r>
      <w:r>
        <w:rPr>
          <w:rFonts w:ascii="Arial Black"/>
          <w:color w:val="004674"/>
          <w:sz w:val="26"/>
        </w:rPr>
        <w:t>ОИСР</w:t>
      </w:r>
    </w:p>
    <w:p w14:paraId="5281243B" w14:textId="77777777" w:rsidR="00FB4F7F" w:rsidRDefault="00FB4F7F" w:rsidP="00F17100">
      <w:pPr>
        <w:pStyle w:val="BodyText"/>
        <w:jc w:val="both"/>
        <w:rPr>
          <w:rFonts w:ascii="Arial Black"/>
        </w:rPr>
      </w:pPr>
    </w:p>
    <w:p w14:paraId="5281243C" w14:textId="77777777" w:rsidR="00FB4F7F" w:rsidRDefault="00FB4F7F" w:rsidP="00F17100">
      <w:pPr>
        <w:pStyle w:val="BodyText"/>
        <w:jc w:val="both"/>
        <w:rPr>
          <w:rFonts w:ascii="Arial Black"/>
        </w:rPr>
      </w:pPr>
    </w:p>
    <w:p w14:paraId="52812442" w14:textId="77777777" w:rsidR="00FB4F7F" w:rsidRDefault="00FB4F7F" w:rsidP="00F17100">
      <w:pPr>
        <w:pStyle w:val="BodyText"/>
        <w:jc w:val="both"/>
        <w:rPr>
          <w:rFonts w:ascii="Arial Black"/>
        </w:rPr>
      </w:pPr>
    </w:p>
    <w:p w14:paraId="52812443" w14:textId="77777777" w:rsidR="00FB4F7F" w:rsidRDefault="00FB4F7F" w:rsidP="00F17100">
      <w:pPr>
        <w:pStyle w:val="BodyText"/>
        <w:jc w:val="both"/>
        <w:rPr>
          <w:rFonts w:ascii="Arial Black"/>
        </w:rPr>
      </w:pPr>
    </w:p>
    <w:p w14:paraId="52812444" w14:textId="77777777" w:rsidR="00FB4F7F" w:rsidRDefault="00FB4F7F" w:rsidP="00F17100">
      <w:pPr>
        <w:pStyle w:val="BodyText"/>
        <w:jc w:val="both"/>
        <w:rPr>
          <w:rFonts w:ascii="Arial Black"/>
        </w:rPr>
      </w:pPr>
    </w:p>
    <w:p w14:paraId="52812445" w14:textId="77777777" w:rsidR="00FB4F7F" w:rsidRDefault="00D83B4C" w:rsidP="00F17100">
      <w:pPr>
        <w:pStyle w:val="BodyText"/>
        <w:spacing w:before="6"/>
        <w:jc w:val="both"/>
        <w:rPr>
          <w:rFonts w:ascii="Arial Black"/>
          <w:sz w:val="19"/>
        </w:rPr>
      </w:pPr>
      <w:r>
        <w:rPr>
          <w:noProof/>
          <w:lang w:eastAsia="bg-BG"/>
        </w:rPr>
        <w:drawing>
          <wp:anchor distT="0" distB="0" distL="0" distR="0" simplePos="0" relativeHeight="251658240" behindDoc="0" locked="0" layoutInCell="1" allowOverlap="1" wp14:anchorId="528124C0" wp14:editId="528124C1">
            <wp:simplePos x="0" y="0"/>
            <wp:positionH relativeFrom="page">
              <wp:posOffset>5058409</wp:posOffset>
            </wp:positionH>
            <wp:positionV relativeFrom="paragraph">
              <wp:posOffset>199050</wp:posOffset>
            </wp:positionV>
            <wp:extent cx="2165036" cy="666750"/>
            <wp:effectExtent l="0" t="0" r="0" b="0"/>
            <wp:wrapTopAndBottom/>
            <wp:docPr id="1"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2.png"/>
                    <pic:cNvPicPr/>
                  </pic:nvPicPr>
                  <pic:blipFill>
                    <a:blip r:embed="rId9" cstate="print"/>
                    <a:stretch>
                      <a:fillRect/>
                    </a:stretch>
                  </pic:blipFill>
                  <pic:spPr>
                    <a:xfrm>
                      <a:off x="0" y="0"/>
                      <a:ext cx="2165036" cy="666750"/>
                    </a:xfrm>
                    <a:prstGeom prst="rect">
                      <a:avLst/>
                    </a:prstGeom>
                  </pic:spPr>
                </pic:pic>
              </a:graphicData>
            </a:graphic>
          </wp:anchor>
        </w:drawing>
      </w:r>
    </w:p>
    <w:p w14:paraId="52812446" w14:textId="77777777" w:rsidR="00FB4F7F" w:rsidRDefault="00FB4F7F" w:rsidP="00F17100">
      <w:pPr>
        <w:jc w:val="both"/>
        <w:rPr>
          <w:rFonts w:ascii="Arial Black"/>
          <w:sz w:val="19"/>
        </w:rPr>
        <w:sectPr w:rsidR="00FB4F7F">
          <w:type w:val="continuous"/>
          <w:pgSz w:w="11920" w:h="16850"/>
          <w:pgMar w:top="720" w:right="420" w:bottom="280" w:left="1680" w:header="720" w:footer="720" w:gutter="0"/>
          <w:cols w:space="720"/>
        </w:sectPr>
      </w:pPr>
    </w:p>
    <w:p w14:paraId="52812447" w14:textId="77777777" w:rsidR="00FB4F7F" w:rsidRDefault="00FB4F7F" w:rsidP="00F17100">
      <w:pPr>
        <w:pStyle w:val="BodyText"/>
        <w:jc w:val="both"/>
        <w:rPr>
          <w:rFonts w:ascii="Arial Black"/>
        </w:rPr>
      </w:pPr>
    </w:p>
    <w:p w14:paraId="52812448" w14:textId="77777777" w:rsidR="00FB4F7F" w:rsidRDefault="00FB4F7F" w:rsidP="00F17100">
      <w:pPr>
        <w:pStyle w:val="BodyText"/>
        <w:jc w:val="both"/>
        <w:rPr>
          <w:rFonts w:ascii="Arial Black"/>
        </w:rPr>
      </w:pPr>
    </w:p>
    <w:p w14:paraId="52812449" w14:textId="77777777" w:rsidR="00FB4F7F" w:rsidRDefault="00FB4F7F" w:rsidP="00F17100">
      <w:pPr>
        <w:pStyle w:val="BodyText"/>
        <w:jc w:val="both"/>
        <w:rPr>
          <w:rFonts w:ascii="Arial Black"/>
        </w:rPr>
      </w:pPr>
    </w:p>
    <w:p w14:paraId="5281244A" w14:textId="77777777" w:rsidR="00FB4F7F" w:rsidRDefault="00FB4F7F" w:rsidP="00F17100">
      <w:pPr>
        <w:pStyle w:val="BodyText"/>
        <w:jc w:val="both"/>
        <w:rPr>
          <w:rFonts w:ascii="Arial Black"/>
        </w:rPr>
      </w:pPr>
    </w:p>
    <w:p w14:paraId="5281244B" w14:textId="77777777" w:rsidR="00FB4F7F" w:rsidRDefault="00FB4F7F" w:rsidP="00F17100">
      <w:pPr>
        <w:pStyle w:val="BodyText"/>
        <w:jc w:val="both"/>
        <w:rPr>
          <w:rFonts w:ascii="Arial Black"/>
        </w:rPr>
      </w:pPr>
    </w:p>
    <w:p w14:paraId="5281244C" w14:textId="77777777" w:rsidR="00FB4F7F" w:rsidRDefault="00FB4F7F" w:rsidP="00F17100">
      <w:pPr>
        <w:pStyle w:val="BodyText"/>
        <w:spacing w:before="1"/>
        <w:jc w:val="both"/>
        <w:rPr>
          <w:rFonts w:ascii="Arial Black"/>
          <w:sz w:val="22"/>
        </w:rPr>
      </w:pPr>
    </w:p>
    <w:p w14:paraId="5281244D" w14:textId="77777777" w:rsidR="00FB4F7F" w:rsidRDefault="00D83B4C" w:rsidP="00F17100">
      <w:pPr>
        <w:spacing w:before="94" w:line="242" w:lineRule="auto"/>
        <w:ind w:left="797" w:right="816"/>
        <w:jc w:val="both"/>
        <w:rPr>
          <w:sz w:val="18"/>
        </w:rPr>
      </w:pPr>
      <w:r>
        <w:rPr>
          <w:sz w:val="18"/>
        </w:rPr>
        <w:t>Този документ е публикуван под отговорността на генералния секретар на ОИСР. Той пресъздава правен инструмент на ОИСР и може да съдържа допълнителен материал. Изразените мнения и аргументите, използвани в допълнителния материал, не отразяват непременно официалните възгледи на страните-членки на ОИСР.</w:t>
      </w:r>
    </w:p>
    <w:p w14:paraId="5281244E" w14:textId="77777777" w:rsidR="00FB4F7F" w:rsidRDefault="00FB4F7F" w:rsidP="00F17100">
      <w:pPr>
        <w:pStyle w:val="BodyText"/>
        <w:spacing w:before="10"/>
        <w:jc w:val="both"/>
        <w:rPr>
          <w:sz w:val="15"/>
        </w:rPr>
      </w:pPr>
    </w:p>
    <w:p w14:paraId="5281244F" w14:textId="77777777" w:rsidR="00FB4F7F" w:rsidRDefault="00D83B4C" w:rsidP="00F17100">
      <w:pPr>
        <w:spacing w:line="242" w:lineRule="auto"/>
        <w:ind w:left="797" w:right="814"/>
        <w:jc w:val="both"/>
        <w:rPr>
          <w:sz w:val="18"/>
        </w:rPr>
      </w:pPr>
      <w:r>
        <w:rPr>
          <w:sz w:val="18"/>
        </w:rPr>
        <w:t>Този документ, както и всички данни и всяка карта, включени тук, не засягат статута или суверенитета върху която и да е територия, разграничаването на международни граници и наименованието на която и да е територия, град или област.</w:t>
      </w:r>
    </w:p>
    <w:p w14:paraId="52812450" w14:textId="77777777" w:rsidR="00FB4F7F" w:rsidRDefault="00FB4F7F" w:rsidP="00F17100">
      <w:pPr>
        <w:pStyle w:val="BodyText"/>
        <w:jc w:val="both"/>
      </w:pPr>
    </w:p>
    <w:p w14:paraId="52812451" w14:textId="77777777" w:rsidR="00FB4F7F" w:rsidRDefault="00FB4F7F" w:rsidP="00F17100">
      <w:pPr>
        <w:pStyle w:val="BodyText"/>
        <w:jc w:val="both"/>
      </w:pPr>
    </w:p>
    <w:p w14:paraId="52812452" w14:textId="77777777" w:rsidR="00FB4F7F" w:rsidRDefault="00FB4F7F" w:rsidP="00F17100">
      <w:pPr>
        <w:pStyle w:val="BodyText"/>
        <w:jc w:val="both"/>
      </w:pPr>
    </w:p>
    <w:p w14:paraId="52812453" w14:textId="77777777" w:rsidR="00FB4F7F" w:rsidRDefault="00FB4F7F" w:rsidP="00F17100">
      <w:pPr>
        <w:pStyle w:val="BodyText"/>
        <w:jc w:val="both"/>
      </w:pPr>
    </w:p>
    <w:p w14:paraId="52812454" w14:textId="77777777" w:rsidR="00FB4F7F" w:rsidRDefault="00FB4F7F" w:rsidP="00F17100">
      <w:pPr>
        <w:pStyle w:val="BodyText"/>
        <w:jc w:val="both"/>
      </w:pPr>
    </w:p>
    <w:p w14:paraId="52812455" w14:textId="77777777" w:rsidR="00FB4F7F" w:rsidRDefault="00FB4F7F" w:rsidP="00F17100">
      <w:pPr>
        <w:pStyle w:val="BodyText"/>
        <w:jc w:val="both"/>
      </w:pPr>
    </w:p>
    <w:p w14:paraId="52812456" w14:textId="77777777" w:rsidR="00FB4F7F" w:rsidRDefault="00FB4F7F" w:rsidP="00F17100">
      <w:pPr>
        <w:pStyle w:val="BodyText"/>
        <w:jc w:val="both"/>
      </w:pPr>
    </w:p>
    <w:p w14:paraId="52812457" w14:textId="77777777" w:rsidR="00FB4F7F" w:rsidRDefault="00FB4F7F" w:rsidP="00F17100">
      <w:pPr>
        <w:pStyle w:val="BodyText"/>
        <w:jc w:val="both"/>
      </w:pPr>
    </w:p>
    <w:p w14:paraId="52812458" w14:textId="77777777" w:rsidR="00FB4F7F" w:rsidRDefault="00FB4F7F" w:rsidP="00F17100">
      <w:pPr>
        <w:pStyle w:val="BodyText"/>
        <w:jc w:val="both"/>
      </w:pPr>
    </w:p>
    <w:p w14:paraId="52812459" w14:textId="77777777" w:rsidR="00FB4F7F" w:rsidRDefault="00FB4F7F" w:rsidP="00F17100">
      <w:pPr>
        <w:pStyle w:val="BodyText"/>
        <w:jc w:val="both"/>
      </w:pPr>
    </w:p>
    <w:p w14:paraId="5281245A" w14:textId="77777777" w:rsidR="00FB4F7F" w:rsidRDefault="00FB4F7F" w:rsidP="00F17100">
      <w:pPr>
        <w:pStyle w:val="BodyText"/>
        <w:jc w:val="both"/>
      </w:pPr>
    </w:p>
    <w:p w14:paraId="5281245B" w14:textId="77777777" w:rsidR="00FB4F7F" w:rsidRDefault="00FB4F7F" w:rsidP="00F17100">
      <w:pPr>
        <w:pStyle w:val="BodyText"/>
        <w:jc w:val="both"/>
      </w:pPr>
    </w:p>
    <w:p w14:paraId="5281245C" w14:textId="77777777" w:rsidR="00FB4F7F" w:rsidRDefault="00FB4F7F" w:rsidP="00F17100">
      <w:pPr>
        <w:pStyle w:val="BodyText"/>
        <w:jc w:val="both"/>
      </w:pPr>
    </w:p>
    <w:p w14:paraId="5281245D" w14:textId="77777777" w:rsidR="00FB4F7F" w:rsidRDefault="00FB4F7F" w:rsidP="00F17100">
      <w:pPr>
        <w:pStyle w:val="BodyText"/>
        <w:jc w:val="both"/>
      </w:pPr>
    </w:p>
    <w:p w14:paraId="5281245E" w14:textId="77777777" w:rsidR="00FB4F7F" w:rsidRDefault="00FB4F7F" w:rsidP="00F17100">
      <w:pPr>
        <w:pStyle w:val="BodyText"/>
        <w:jc w:val="both"/>
      </w:pPr>
    </w:p>
    <w:p w14:paraId="5281245F" w14:textId="77777777" w:rsidR="00FB4F7F" w:rsidRDefault="00FB4F7F" w:rsidP="00F17100">
      <w:pPr>
        <w:pStyle w:val="BodyText"/>
        <w:jc w:val="both"/>
      </w:pPr>
    </w:p>
    <w:p w14:paraId="52812460" w14:textId="77777777" w:rsidR="00FB4F7F" w:rsidRDefault="00FB4F7F" w:rsidP="00F17100">
      <w:pPr>
        <w:pStyle w:val="BodyText"/>
        <w:jc w:val="both"/>
      </w:pPr>
    </w:p>
    <w:p w14:paraId="52812461" w14:textId="77777777" w:rsidR="00FB4F7F" w:rsidRDefault="00FB4F7F" w:rsidP="00F17100">
      <w:pPr>
        <w:pStyle w:val="BodyText"/>
        <w:jc w:val="both"/>
      </w:pPr>
    </w:p>
    <w:p w14:paraId="52812462" w14:textId="77777777" w:rsidR="00FB4F7F" w:rsidRDefault="00FB4F7F" w:rsidP="00F17100">
      <w:pPr>
        <w:pStyle w:val="BodyText"/>
        <w:jc w:val="both"/>
      </w:pPr>
    </w:p>
    <w:p w14:paraId="52812463" w14:textId="77777777" w:rsidR="00FB4F7F" w:rsidRDefault="00FB4F7F" w:rsidP="00F17100">
      <w:pPr>
        <w:pStyle w:val="BodyText"/>
        <w:jc w:val="both"/>
      </w:pPr>
    </w:p>
    <w:p w14:paraId="52812464" w14:textId="77777777" w:rsidR="00FB4F7F" w:rsidRDefault="00FB4F7F" w:rsidP="00F17100">
      <w:pPr>
        <w:pStyle w:val="BodyText"/>
        <w:jc w:val="both"/>
      </w:pPr>
    </w:p>
    <w:p w14:paraId="52812465" w14:textId="77777777" w:rsidR="00FB4F7F" w:rsidRDefault="00FB4F7F" w:rsidP="00F17100">
      <w:pPr>
        <w:pStyle w:val="BodyText"/>
        <w:jc w:val="both"/>
      </w:pPr>
    </w:p>
    <w:p w14:paraId="52812466" w14:textId="77777777" w:rsidR="00FB4F7F" w:rsidRDefault="00FB4F7F" w:rsidP="00F17100">
      <w:pPr>
        <w:pStyle w:val="BodyText"/>
        <w:jc w:val="both"/>
      </w:pPr>
    </w:p>
    <w:p w14:paraId="52812467" w14:textId="77777777" w:rsidR="00FB4F7F" w:rsidRDefault="00FB4F7F" w:rsidP="00F17100">
      <w:pPr>
        <w:pStyle w:val="BodyText"/>
        <w:jc w:val="both"/>
      </w:pPr>
    </w:p>
    <w:p w14:paraId="52812468" w14:textId="77777777" w:rsidR="00FB4F7F" w:rsidRDefault="00FB4F7F" w:rsidP="00F17100">
      <w:pPr>
        <w:pStyle w:val="BodyText"/>
        <w:jc w:val="both"/>
      </w:pPr>
    </w:p>
    <w:p w14:paraId="52812469" w14:textId="77777777" w:rsidR="00FB4F7F" w:rsidRDefault="00FB4F7F" w:rsidP="00F17100">
      <w:pPr>
        <w:pStyle w:val="BodyText"/>
        <w:jc w:val="both"/>
      </w:pPr>
    </w:p>
    <w:p w14:paraId="5281246A" w14:textId="77777777" w:rsidR="00FB4F7F" w:rsidRDefault="00FB4F7F" w:rsidP="00F17100">
      <w:pPr>
        <w:pStyle w:val="BodyText"/>
        <w:jc w:val="both"/>
      </w:pPr>
    </w:p>
    <w:p w14:paraId="5281246B" w14:textId="77777777" w:rsidR="00FB4F7F" w:rsidRDefault="00FB4F7F" w:rsidP="00F17100">
      <w:pPr>
        <w:pStyle w:val="BodyText"/>
        <w:spacing w:before="1"/>
        <w:jc w:val="both"/>
        <w:rPr>
          <w:sz w:val="22"/>
        </w:rPr>
      </w:pPr>
    </w:p>
    <w:p w14:paraId="5281246C" w14:textId="680E36EB" w:rsidR="00FB4F7F" w:rsidRDefault="00D83B4C" w:rsidP="00F17100">
      <w:pPr>
        <w:spacing w:line="242" w:lineRule="auto"/>
        <w:ind w:left="797" w:right="736"/>
        <w:jc w:val="both"/>
        <w:rPr>
          <w:sz w:val="18"/>
        </w:rPr>
      </w:pPr>
      <w:r>
        <w:rPr>
          <w:sz w:val="18"/>
        </w:rPr>
        <w:t>За достъп до официалните и актуални текстове на правните инструменти на ОИСР, както и друга свързана информация, моля, направете справка със Сборника на правните инструменти на ОИСР на</w:t>
      </w:r>
      <w:r>
        <w:t xml:space="preserve"> </w:t>
      </w:r>
      <w:hyperlink r:id="rId10">
        <w:r>
          <w:rPr>
            <w:color w:val="0000ED"/>
            <w:sz w:val="18"/>
            <w:u w:val="single" w:color="0000ED"/>
          </w:rPr>
          <w:t>http://legalinstruments.oecd.org</w:t>
        </w:r>
      </w:hyperlink>
      <w:r>
        <w:t xml:space="preserve"> </w:t>
      </w:r>
      <w:r>
        <w:rPr>
          <w:sz w:val="18"/>
        </w:rPr>
        <w:t>.</w:t>
      </w:r>
    </w:p>
    <w:p w14:paraId="5281246D" w14:textId="77777777" w:rsidR="00FB4F7F" w:rsidRDefault="00F17100" w:rsidP="00F17100">
      <w:pPr>
        <w:pStyle w:val="BodyText"/>
        <w:jc w:val="both"/>
        <w:rPr>
          <w:sz w:val="14"/>
        </w:rPr>
      </w:pPr>
      <w:r>
        <w:pict w14:anchorId="528124C3">
          <v:shapetype id="_x0000_t202" coordsize="21600,21600" o:spt="202" path="m,l,21600r21600,l21600,xe">
            <v:stroke joinstyle="miter"/>
            <v:path gradientshapeok="t" o:connecttype="rect"/>
          </v:shapetype>
          <v:shape id="_x0000_s1032" type="#_x0000_t202" style="position:absolute;left:0;text-align:left;margin-left:76.85pt;margin-top:9.3pt;width:441.5pt;height:32pt;z-index:-251658238;mso-wrap-distance-left:0;mso-wrap-distance-right:0;mso-position-horizontal-relative:page" fillcolor="#dcd8c2" stroked="f">
            <v:textbox inset="0,0,0,0">
              <w:txbxContent>
                <w:p w14:paraId="528124CA" w14:textId="77777777" w:rsidR="00FB4F7F" w:rsidRDefault="00D83B4C">
                  <w:pPr>
                    <w:spacing w:before="1"/>
                    <w:rPr>
                      <w:b/>
                      <w:sz w:val="18"/>
                    </w:rPr>
                  </w:pPr>
                  <w:r>
                    <w:rPr>
                      <w:b/>
                      <w:sz w:val="18"/>
                    </w:rPr>
                    <w:t>Моля, цитирайте този документ като:</w:t>
                  </w:r>
                </w:p>
                <w:p w14:paraId="528124CB" w14:textId="77777777" w:rsidR="00FB4F7F" w:rsidRDefault="00D83B4C">
                  <w:pPr>
                    <w:spacing w:before="8" w:line="242" w:lineRule="auto"/>
                    <w:rPr>
                      <w:sz w:val="18"/>
                    </w:rPr>
                  </w:pPr>
                  <w:r>
                    <w:rPr>
                      <w:sz w:val="18"/>
                    </w:rPr>
                    <w:t xml:space="preserve">ОИСР, </w:t>
                  </w:r>
                  <w:r>
                    <w:rPr>
                      <w:i/>
                      <w:iCs/>
                      <w:sz w:val="18"/>
                    </w:rPr>
                    <w:t>Препоръка на Съвета за ограничаване на трафика и икономично подобряване на градската среда</w:t>
                  </w:r>
                  <w:r>
                    <w:rPr>
                      <w:sz w:val="18"/>
                    </w:rPr>
                    <w:t>, OECD/LEGAL/0131</w:t>
                  </w:r>
                </w:p>
              </w:txbxContent>
            </v:textbox>
            <w10:wrap type="topAndBottom" anchorx="page"/>
          </v:shape>
        </w:pict>
      </w:r>
    </w:p>
    <w:p w14:paraId="5281246E" w14:textId="77777777" w:rsidR="00FB4F7F" w:rsidRDefault="00FB4F7F" w:rsidP="00F17100">
      <w:pPr>
        <w:pStyle w:val="BodyText"/>
        <w:jc w:val="both"/>
        <w:rPr>
          <w:sz w:val="15"/>
        </w:rPr>
      </w:pPr>
    </w:p>
    <w:p w14:paraId="5281246F" w14:textId="77777777" w:rsidR="00FB4F7F" w:rsidRDefault="00D83B4C" w:rsidP="00F17100">
      <w:pPr>
        <w:spacing w:before="96"/>
        <w:ind w:left="797"/>
        <w:jc w:val="both"/>
        <w:rPr>
          <w:sz w:val="14"/>
        </w:rPr>
      </w:pPr>
      <w:r>
        <w:rPr>
          <w:sz w:val="14"/>
        </w:rPr>
        <w:t>Серия: Правни инструменти на ОИСР</w:t>
      </w:r>
    </w:p>
    <w:p w14:paraId="52812470" w14:textId="77777777" w:rsidR="00FB4F7F" w:rsidRDefault="00FB4F7F" w:rsidP="00F17100">
      <w:pPr>
        <w:pStyle w:val="BodyText"/>
        <w:jc w:val="both"/>
        <w:rPr>
          <w:sz w:val="16"/>
        </w:rPr>
      </w:pPr>
    </w:p>
    <w:p w14:paraId="52812471" w14:textId="77777777" w:rsidR="00FB4F7F" w:rsidRDefault="00FB4F7F" w:rsidP="00F17100">
      <w:pPr>
        <w:pStyle w:val="BodyText"/>
        <w:jc w:val="both"/>
        <w:rPr>
          <w:sz w:val="16"/>
        </w:rPr>
      </w:pPr>
    </w:p>
    <w:p w14:paraId="52812472" w14:textId="77777777" w:rsidR="00FB4F7F" w:rsidRDefault="00FB4F7F" w:rsidP="00F17100">
      <w:pPr>
        <w:pStyle w:val="BodyText"/>
        <w:spacing w:before="3"/>
        <w:jc w:val="both"/>
        <w:rPr>
          <w:sz w:val="17"/>
        </w:rPr>
      </w:pPr>
    </w:p>
    <w:p w14:paraId="52812473" w14:textId="77777777" w:rsidR="00FB4F7F" w:rsidRDefault="00D83B4C" w:rsidP="00F17100">
      <w:pPr>
        <w:ind w:left="797"/>
        <w:jc w:val="both"/>
        <w:rPr>
          <w:sz w:val="18"/>
        </w:rPr>
      </w:pPr>
      <w:r>
        <w:rPr>
          <w:sz w:val="18"/>
        </w:rPr>
        <w:t>© ОИСР 2022</w:t>
      </w:r>
    </w:p>
    <w:p w14:paraId="52812474" w14:textId="77777777" w:rsidR="00FB4F7F" w:rsidRDefault="00F17100" w:rsidP="00F17100">
      <w:pPr>
        <w:pStyle w:val="BodyText"/>
        <w:jc w:val="both"/>
        <w:rPr>
          <w:sz w:val="22"/>
        </w:rPr>
      </w:pPr>
      <w:r>
        <w:pict w14:anchorId="528124C4">
          <v:rect id="_x0000_s1031" style="position:absolute;left:0;text-align:left;margin-left:76.85pt;margin-top:14.6pt;width:441.5pt;height:.5pt;z-index:-251658237;mso-wrap-distance-left:0;mso-wrap-distance-right:0;mso-position-horizontal-relative:page" fillcolor="black" stroked="f">
            <w10:wrap type="topAndBottom" anchorx="page"/>
          </v:rect>
        </w:pict>
      </w:r>
    </w:p>
    <w:p w14:paraId="52812475" w14:textId="77777777" w:rsidR="00FB4F7F" w:rsidRDefault="00D83B4C" w:rsidP="00F17100">
      <w:pPr>
        <w:spacing w:before="83" w:line="242" w:lineRule="auto"/>
        <w:ind w:left="797" w:right="820"/>
        <w:jc w:val="both"/>
        <w:rPr>
          <w:sz w:val="12"/>
        </w:rPr>
      </w:pPr>
      <w:r>
        <w:rPr>
          <w:sz w:val="12"/>
        </w:rPr>
        <w:t>Този документ се предоставя безплатно. Може да се възпроизвежда и разпространява безплатно, без да се изискват допълнителни разрешения, стига да не се променя по никакъв начин. Не може да се продава.</w:t>
      </w:r>
    </w:p>
    <w:p w14:paraId="52812476" w14:textId="77777777" w:rsidR="00FB4F7F" w:rsidRDefault="00FB4F7F" w:rsidP="00F17100">
      <w:pPr>
        <w:pStyle w:val="BodyText"/>
        <w:spacing w:before="6"/>
        <w:jc w:val="both"/>
        <w:rPr>
          <w:sz w:val="10"/>
        </w:rPr>
      </w:pPr>
    </w:p>
    <w:p w14:paraId="52812477" w14:textId="77777777" w:rsidR="00FB4F7F" w:rsidRDefault="00F17100" w:rsidP="00F17100">
      <w:pPr>
        <w:spacing w:line="252" w:lineRule="auto"/>
        <w:ind w:left="797" w:right="816"/>
        <w:jc w:val="both"/>
        <w:rPr>
          <w:i/>
          <w:sz w:val="12"/>
        </w:rPr>
      </w:pPr>
      <w:r>
        <w:pict w14:anchorId="528124C5">
          <v:rect id="_x0000_s1030" style="position:absolute;left:0;text-align:left;margin-left:76.85pt;margin-top:35.15pt;width:441.5pt;height:.5pt;z-index:-251658236;mso-wrap-distance-left:0;mso-wrap-distance-right:0;mso-position-horizontal-relative:page" fillcolor="black" stroked="f">
            <w10:wrap type="topAndBottom" anchorx="page"/>
          </v:rect>
        </w:pict>
      </w:r>
      <w:r w:rsidR="00D83B4C">
        <w:rPr>
          <w:sz w:val="12"/>
        </w:rPr>
        <w:t xml:space="preserve">Този документ е достъпен на двата официални езика на ОИСР (английски и френски). Може да бъде преведен на други езици, стига преводът да е обозначен като „неофициален превод“ и да включва следната декларация за отказ от отговорност: </w:t>
      </w:r>
      <w:r w:rsidR="00D83B4C">
        <w:rPr>
          <w:i/>
          <w:sz w:val="12"/>
        </w:rPr>
        <w:t>„Този превод е изготвен от [ИМЕ НА АВТОРА НА ПРЕВОДА] само с информационна цел и неговата точност не може да бъде гарантирана от ОИСР. Единствените официални версии са английските и френските текстове, достъпни на уебсайта на ОИСР</w:t>
      </w:r>
      <w:r w:rsidR="00D83B4C">
        <w:t xml:space="preserve"> </w:t>
      </w:r>
      <w:hyperlink r:id="rId11">
        <w:r w:rsidR="00D83B4C">
          <w:rPr>
            <w:i/>
            <w:color w:val="0000ED"/>
            <w:sz w:val="12"/>
            <w:u w:val="single" w:color="0000ED"/>
          </w:rPr>
          <w:t>http://legalinstruments.oecd.org</w:t>
        </w:r>
      </w:hyperlink>
      <w:r w:rsidR="00D83B4C">
        <w:t xml:space="preserve"> </w:t>
      </w:r>
      <w:r w:rsidR="00D83B4C">
        <w:rPr>
          <w:i/>
          <w:sz w:val="12"/>
        </w:rPr>
        <w:t>"</w:t>
      </w:r>
    </w:p>
    <w:p w14:paraId="52812478" w14:textId="77777777" w:rsidR="00FB4F7F" w:rsidRDefault="00FB4F7F" w:rsidP="00F17100">
      <w:pPr>
        <w:spacing w:line="252" w:lineRule="auto"/>
        <w:jc w:val="both"/>
        <w:rPr>
          <w:sz w:val="12"/>
        </w:rPr>
        <w:sectPr w:rsidR="00FB4F7F">
          <w:pgSz w:w="11910" w:h="16840"/>
          <w:pgMar w:top="1580" w:right="720" w:bottom="280" w:left="740" w:header="720" w:footer="720" w:gutter="0"/>
          <w:cols w:space="720"/>
        </w:sectPr>
      </w:pPr>
    </w:p>
    <w:p w14:paraId="52812479" w14:textId="116DF5A9" w:rsidR="00FB4F7F" w:rsidRPr="00C64A83" w:rsidRDefault="00D83B4C" w:rsidP="00F17100">
      <w:pPr>
        <w:pStyle w:val="BodyText"/>
        <w:tabs>
          <w:tab w:val="left" w:pos="2288"/>
        </w:tabs>
        <w:spacing w:before="70"/>
        <w:ind w:right="101"/>
        <w:jc w:val="both"/>
        <w:rPr>
          <w:lang w:val="en-US"/>
        </w:rPr>
      </w:pPr>
      <w:r>
        <w:rPr>
          <w:color w:val="2B2A29"/>
        </w:rPr>
        <w:lastRenderedPageBreak/>
        <w:t>O</w:t>
      </w:r>
      <w:r w:rsidR="00C64A83">
        <w:rPr>
          <w:color w:val="2B2A29"/>
          <w:lang w:val="en-US"/>
        </w:rPr>
        <w:t>ECD/LEGAL/0131</w:t>
      </w:r>
    </w:p>
    <w:p w14:paraId="5281247A" w14:textId="77777777" w:rsidR="00FB4F7F" w:rsidRDefault="00F17100" w:rsidP="00F17100">
      <w:pPr>
        <w:pStyle w:val="BodyText"/>
        <w:spacing w:line="20" w:lineRule="exact"/>
        <w:ind w:left="103"/>
        <w:jc w:val="both"/>
        <w:rPr>
          <w:sz w:val="2"/>
        </w:rPr>
      </w:pPr>
      <w:r>
        <w:rPr>
          <w:sz w:val="2"/>
        </w:rPr>
      </w:r>
      <w:r>
        <w:rPr>
          <w:sz w:val="2"/>
        </w:rPr>
        <w:pict w14:anchorId="528124C7">
          <v:group id="_x0000_s1028" style="width:396.1pt;height:.65pt;mso-position-horizontal-relative:char;mso-position-vertical-relative:line" coordsize="7922,13">
            <v:line id="_x0000_s1029" style="position:absolute" from="0,6" to="7921,6" strokecolor="#2a2928" strokeweight=".63pt"/>
            <w10:wrap type="none"/>
            <w10:anchorlock/>
          </v:group>
        </w:pict>
      </w:r>
    </w:p>
    <w:p w14:paraId="5281247B" w14:textId="77777777" w:rsidR="00FB4F7F" w:rsidRDefault="00FB4F7F" w:rsidP="00F17100">
      <w:pPr>
        <w:pStyle w:val="BodyText"/>
        <w:spacing w:before="9"/>
        <w:jc w:val="both"/>
        <w:rPr>
          <w:sz w:val="15"/>
        </w:rPr>
      </w:pPr>
    </w:p>
    <w:p w14:paraId="5281247C" w14:textId="77777777" w:rsidR="00FB4F7F" w:rsidRDefault="00D83B4C" w:rsidP="00F17100">
      <w:pPr>
        <w:pStyle w:val="Heading2"/>
        <w:spacing w:before="93"/>
        <w:ind w:left="797"/>
      </w:pPr>
      <w:r>
        <w:rPr>
          <w:color w:val="1E487C"/>
        </w:rPr>
        <w:t>Обща информация</w:t>
      </w:r>
    </w:p>
    <w:p w14:paraId="5281247D" w14:textId="77777777" w:rsidR="00FB4F7F" w:rsidRDefault="00FB4F7F" w:rsidP="00F17100">
      <w:pPr>
        <w:pStyle w:val="BodyText"/>
        <w:jc w:val="both"/>
        <w:rPr>
          <w:b/>
          <w:sz w:val="26"/>
        </w:rPr>
      </w:pPr>
    </w:p>
    <w:p w14:paraId="5281247E" w14:textId="77777777" w:rsidR="00FB4F7F" w:rsidRDefault="00FB4F7F" w:rsidP="00F17100">
      <w:pPr>
        <w:pStyle w:val="BodyText"/>
        <w:spacing w:before="3"/>
        <w:jc w:val="both"/>
        <w:rPr>
          <w:b/>
          <w:sz w:val="23"/>
        </w:rPr>
      </w:pPr>
    </w:p>
    <w:p w14:paraId="5281247F" w14:textId="77777777" w:rsidR="00FB4F7F" w:rsidRDefault="00D83B4C" w:rsidP="00F17100">
      <w:pPr>
        <w:pStyle w:val="BodyText"/>
        <w:ind w:left="797" w:right="816"/>
        <w:jc w:val="both"/>
      </w:pPr>
      <w:r>
        <w:t>Препоръката за ограничаване на трафика и икономично подобряване на градската среда е приета от Съвета на ОИСР на 14 ноември 1974 г. по предложение на Комитета по околна среда (сега наричан Комитет по екологична политика). Препоръката препоръчва на присъединилите се страни да се стремят да постигнат по-добър баланс между частния и обществения транспорт, като насърчават местните власти и други отговорни органи, особено в пренаселени градове, да разширяват и подобряват качеството на транспортните услуги.</w:t>
      </w:r>
    </w:p>
    <w:p w14:paraId="52812480" w14:textId="77777777" w:rsidR="00FB4F7F" w:rsidRDefault="00FB4F7F" w:rsidP="00F17100">
      <w:pPr>
        <w:jc w:val="both"/>
        <w:sectPr w:rsidR="00FB4F7F">
          <w:pgSz w:w="11910" w:h="16840"/>
          <w:pgMar w:top="760" w:right="720" w:bottom="280" w:left="740" w:header="720" w:footer="720" w:gutter="0"/>
          <w:cols w:space="720"/>
        </w:sectPr>
      </w:pPr>
    </w:p>
    <w:p w14:paraId="52812481" w14:textId="357F4449" w:rsidR="00FB4F7F" w:rsidRPr="003653AB" w:rsidRDefault="003653AB" w:rsidP="00F17100">
      <w:pPr>
        <w:pStyle w:val="BodyText"/>
        <w:tabs>
          <w:tab w:val="left" w:pos="677"/>
        </w:tabs>
        <w:spacing w:before="69"/>
        <w:jc w:val="both"/>
        <w:rPr>
          <w:lang w:val="en-US"/>
        </w:rPr>
      </w:pPr>
      <w:r>
        <w:rPr>
          <w:lang w:val="en-US"/>
        </w:rPr>
        <w:lastRenderedPageBreak/>
        <w:t>OECD/LEGAL/0</w:t>
      </w:r>
      <w:r w:rsidR="00255CE3">
        <w:rPr>
          <w:lang w:val="en-US"/>
        </w:rPr>
        <w:t>131</w:t>
      </w:r>
    </w:p>
    <w:p w14:paraId="52812482" w14:textId="77777777" w:rsidR="00FB4F7F" w:rsidRDefault="00F17100" w:rsidP="00F17100">
      <w:pPr>
        <w:pStyle w:val="BodyText"/>
        <w:spacing w:line="20" w:lineRule="exact"/>
        <w:ind w:left="2413"/>
        <w:jc w:val="both"/>
        <w:rPr>
          <w:sz w:val="2"/>
        </w:rPr>
      </w:pPr>
      <w:r>
        <w:rPr>
          <w:sz w:val="2"/>
        </w:rPr>
      </w:r>
      <w:r>
        <w:rPr>
          <w:sz w:val="2"/>
        </w:rPr>
        <w:pict w14:anchorId="528124C9">
          <v:group id="_x0000_s1026" style="width:396.1pt;height:.65pt;mso-position-horizontal-relative:char;mso-position-vertical-relative:line" coordsize="7922,13">
            <v:line id="_x0000_s1027" style="position:absolute" from="0,6" to="7921,6" strokecolor="#2a2928" strokeweight=".63pt"/>
            <w10:wrap type="none"/>
            <w10:anchorlock/>
          </v:group>
        </w:pict>
      </w:r>
    </w:p>
    <w:p w14:paraId="52812483" w14:textId="77777777" w:rsidR="00FB4F7F" w:rsidRDefault="00FB4F7F" w:rsidP="00F17100">
      <w:pPr>
        <w:pStyle w:val="BodyText"/>
        <w:jc w:val="both"/>
        <w:rPr>
          <w:sz w:val="15"/>
        </w:rPr>
      </w:pPr>
    </w:p>
    <w:p w14:paraId="52812484" w14:textId="77777777" w:rsidR="00FB4F7F" w:rsidRDefault="00D83B4C" w:rsidP="00F17100">
      <w:pPr>
        <w:pStyle w:val="Heading3"/>
        <w:spacing w:before="93"/>
        <w:jc w:val="both"/>
        <w:rPr>
          <w:b w:val="0"/>
        </w:rPr>
      </w:pPr>
      <w:r>
        <w:t>СЪВЕТЪТ</w:t>
      </w:r>
      <w:r>
        <w:rPr>
          <w:b w:val="0"/>
        </w:rPr>
        <w:t>,</w:t>
      </w:r>
    </w:p>
    <w:p w14:paraId="52812485" w14:textId="77777777" w:rsidR="00FB4F7F" w:rsidRDefault="00FB4F7F" w:rsidP="00F17100">
      <w:pPr>
        <w:pStyle w:val="BodyText"/>
        <w:spacing w:before="11"/>
        <w:jc w:val="both"/>
      </w:pPr>
    </w:p>
    <w:p w14:paraId="52812486" w14:textId="77777777" w:rsidR="00FB4F7F" w:rsidRDefault="00D83B4C" w:rsidP="00F17100">
      <w:pPr>
        <w:pStyle w:val="BodyText"/>
        <w:spacing w:line="242" w:lineRule="auto"/>
        <w:ind w:left="676" w:right="736"/>
        <w:jc w:val="both"/>
      </w:pPr>
      <w:r>
        <w:rPr>
          <w:b/>
        </w:rPr>
        <w:t>КАТО ВЗЕ ПРЕДВИД</w:t>
      </w:r>
      <w:r>
        <w:t xml:space="preserve"> член 5б) от Конвенцията за Организацията за икономическо сътрудничество и развитие от 14 декември 1960 г.;</w:t>
      </w:r>
    </w:p>
    <w:p w14:paraId="52812487" w14:textId="77777777" w:rsidR="00FB4F7F" w:rsidRDefault="00FB4F7F" w:rsidP="00F17100">
      <w:pPr>
        <w:pStyle w:val="BodyText"/>
        <w:spacing w:before="6"/>
        <w:jc w:val="both"/>
      </w:pPr>
    </w:p>
    <w:p w14:paraId="52812488" w14:textId="77777777" w:rsidR="00FB4F7F" w:rsidRDefault="00D83B4C" w:rsidP="00F17100">
      <w:pPr>
        <w:pStyle w:val="BodyText"/>
        <w:spacing w:line="242" w:lineRule="auto"/>
        <w:ind w:left="676" w:right="736"/>
        <w:jc w:val="both"/>
      </w:pPr>
      <w:r>
        <w:rPr>
          <w:b/>
        </w:rPr>
        <w:t>КАТО ВЗЕ ПРЕДВИД</w:t>
      </w:r>
      <w:r>
        <w:t xml:space="preserve"> Препоръката на Съвета от 26 май 1972 г. относно ръководните принципи за международните икономически аспекти на политиките в областта на околната среда [C(72)128];</w:t>
      </w:r>
    </w:p>
    <w:p w14:paraId="52812489" w14:textId="77777777" w:rsidR="00FB4F7F" w:rsidRDefault="00FB4F7F" w:rsidP="00F17100">
      <w:pPr>
        <w:pStyle w:val="BodyText"/>
        <w:spacing w:before="4"/>
        <w:jc w:val="both"/>
      </w:pPr>
    </w:p>
    <w:p w14:paraId="5281248A" w14:textId="77777777" w:rsidR="00FB4F7F" w:rsidRDefault="00D83B4C" w:rsidP="00F17100">
      <w:pPr>
        <w:pStyle w:val="BodyText"/>
        <w:spacing w:line="242" w:lineRule="auto"/>
        <w:ind w:left="676" w:right="736"/>
        <w:jc w:val="both"/>
      </w:pPr>
      <w:r>
        <w:rPr>
          <w:b/>
          <w:bCs/>
        </w:rPr>
        <w:t>КАТО ОТЧЕТЕ</w:t>
      </w:r>
      <w:r>
        <w:rPr>
          <w:b/>
        </w:rPr>
        <w:t>,</w:t>
      </w:r>
      <w:r>
        <w:t xml:space="preserve"> че градските райони са дом на огромен и непрекъснато нарастващ дял от населението на страните-членки;</w:t>
      </w:r>
    </w:p>
    <w:p w14:paraId="5281248B" w14:textId="77777777" w:rsidR="00FB4F7F" w:rsidRDefault="00FB4F7F" w:rsidP="00F17100">
      <w:pPr>
        <w:pStyle w:val="BodyText"/>
        <w:spacing w:before="6"/>
        <w:jc w:val="both"/>
      </w:pPr>
    </w:p>
    <w:p w14:paraId="5281248C" w14:textId="77777777" w:rsidR="00FB4F7F" w:rsidRDefault="00D83B4C" w:rsidP="00F17100">
      <w:pPr>
        <w:pStyle w:val="BodyText"/>
        <w:spacing w:line="242" w:lineRule="auto"/>
        <w:ind w:left="676" w:right="736"/>
        <w:jc w:val="both"/>
      </w:pPr>
      <w:r>
        <w:rPr>
          <w:b/>
          <w:bCs/>
        </w:rPr>
        <w:t>КАТО ОТЧЕТЕ</w:t>
      </w:r>
      <w:r>
        <w:t>, че замърсяването на въздуха, шумът, задръстванията и произшествията, произтичащи от моторизираното движение, сериозно възпрепятстват опитите за подобряване на качеството на градския живот;</w:t>
      </w:r>
    </w:p>
    <w:p w14:paraId="5281248D" w14:textId="77777777" w:rsidR="00FB4F7F" w:rsidRDefault="00FB4F7F" w:rsidP="00F17100">
      <w:pPr>
        <w:pStyle w:val="BodyText"/>
        <w:spacing w:before="6"/>
        <w:jc w:val="both"/>
      </w:pPr>
    </w:p>
    <w:p w14:paraId="5281248E" w14:textId="77777777" w:rsidR="00FB4F7F" w:rsidRDefault="00D83B4C" w:rsidP="00F17100">
      <w:pPr>
        <w:pStyle w:val="BodyText"/>
        <w:spacing w:before="1" w:line="242" w:lineRule="auto"/>
        <w:ind w:left="676" w:right="736"/>
        <w:jc w:val="both"/>
      </w:pPr>
      <w:r>
        <w:rPr>
          <w:b/>
          <w:bCs/>
        </w:rPr>
        <w:t>КАТО ОТЧЕТЕ</w:t>
      </w:r>
      <w:r>
        <w:t>, че необходимостта от намаляване на зависимостта от частни автомобили се подсилва от необходимостта от пестене на енергийни ресурси;</w:t>
      </w:r>
    </w:p>
    <w:p w14:paraId="5281248F" w14:textId="77777777" w:rsidR="00FB4F7F" w:rsidRDefault="00FB4F7F" w:rsidP="00F17100">
      <w:pPr>
        <w:pStyle w:val="BodyText"/>
        <w:spacing w:before="4"/>
        <w:jc w:val="both"/>
      </w:pPr>
    </w:p>
    <w:p w14:paraId="52812490" w14:textId="77777777" w:rsidR="00FB4F7F" w:rsidRDefault="00D83B4C" w:rsidP="00F17100">
      <w:pPr>
        <w:pStyle w:val="BodyText"/>
        <w:spacing w:line="242" w:lineRule="auto"/>
        <w:ind w:left="676" w:right="736"/>
        <w:jc w:val="both"/>
      </w:pPr>
      <w:r>
        <w:rPr>
          <w:b/>
        </w:rPr>
        <w:t>КАТО ОТЧЕТЕ,</w:t>
      </w:r>
      <w:r>
        <w:t xml:space="preserve"> че някои мерки за намаляване на неблагоприятните последици от трафика могат да бъдат приложени в относително кратък период от време и не изискват непременно големи капиталови инвестиции;</w:t>
      </w:r>
    </w:p>
    <w:p w14:paraId="52812491" w14:textId="77777777" w:rsidR="00FB4F7F" w:rsidRDefault="00FB4F7F" w:rsidP="00F17100">
      <w:pPr>
        <w:pStyle w:val="BodyText"/>
        <w:spacing w:before="6"/>
        <w:jc w:val="both"/>
      </w:pPr>
    </w:p>
    <w:p w14:paraId="52812492" w14:textId="77777777" w:rsidR="00FB4F7F" w:rsidRDefault="00D83B4C" w:rsidP="00F17100">
      <w:pPr>
        <w:pStyle w:val="BodyText"/>
        <w:spacing w:line="242" w:lineRule="auto"/>
        <w:ind w:left="676" w:right="466"/>
        <w:jc w:val="both"/>
      </w:pPr>
      <w:r>
        <w:rPr>
          <w:b/>
          <w:bCs/>
        </w:rPr>
        <w:t>КАТО ОТЧЕТЕ</w:t>
      </w:r>
      <w:r>
        <w:rPr>
          <w:b/>
        </w:rPr>
        <w:t>,</w:t>
      </w:r>
      <w:r>
        <w:t xml:space="preserve"> че решенията на градските екологични проблеми не могат да бъдат намерени на части, а изискват цялостен подход на градската политика;</w:t>
      </w:r>
    </w:p>
    <w:p w14:paraId="52812493" w14:textId="77777777" w:rsidR="00FB4F7F" w:rsidRDefault="00FB4F7F" w:rsidP="00F17100">
      <w:pPr>
        <w:pStyle w:val="BodyText"/>
        <w:spacing w:before="6"/>
        <w:jc w:val="both"/>
      </w:pPr>
    </w:p>
    <w:p w14:paraId="52812494" w14:textId="77777777" w:rsidR="00FB4F7F" w:rsidRDefault="00D83B4C" w:rsidP="00F17100">
      <w:pPr>
        <w:pStyle w:val="Heading3"/>
        <w:jc w:val="both"/>
      </w:pPr>
      <w:r>
        <w:t>По предложение на Комитета по околната среда;</w:t>
      </w:r>
    </w:p>
    <w:p w14:paraId="52812495" w14:textId="77777777" w:rsidR="00FB4F7F" w:rsidRDefault="00FB4F7F" w:rsidP="00F17100">
      <w:pPr>
        <w:pStyle w:val="BodyText"/>
        <w:spacing w:before="11"/>
        <w:jc w:val="both"/>
        <w:rPr>
          <w:b/>
        </w:rPr>
      </w:pPr>
    </w:p>
    <w:p w14:paraId="52812496" w14:textId="77777777" w:rsidR="00FB4F7F" w:rsidRDefault="00D83B4C" w:rsidP="00F17100">
      <w:pPr>
        <w:pStyle w:val="ListParagraph"/>
        <w:numPr>
          <w:ilvl w:val="0"/>
          <w:numId w:val="4"/>
        </w:numPr>
        <w:tabs>
          <w:tab w:val="left" w:pos="1396"/>
          <w:tab w:val="left" w:pos="1397"/>
        </w:tabs>
        <w:ind w:hanging="721"/>
        <w:jc w:val="both"/>
        <w:rPr>
          <w:sz w:val="20"/>
        </w:rPr>
      </w:pPr>
      <w:r>
        <w:rPr>
          <w:b/>
          <w:sz w:val="20"/>
        </w:rPr>
        <w:t xml:space="preserve">ПРЕПОРЪЧВА </w:t>
      </w:r>
      <w:r>
        <w:rPr>
          <w:sz w:val="20"/>
        </w:rPr>
        <w:t>на страните-членки:</w:t>
      </w:r>
    </w:p>
    <w:p w14:paraId="52812497" w14:textId="77777777" w:rsidR="00FB4F7F" w:rsidRDefault="00FB4F7F" w:rsidP="00F17100">
      <w:pPr>
        <w:pStyle w:val="BodyText"/>
        <w:spacing w:before="10"/>
        <w:jc w:val="both"/>
      </w:pPr>
    </w:p>
    <w:p w14:paraId="52812498" w14:textId="77777777" w:rsidR="00FB4F7F" w:rsidRDefault="00D83B4C" w:rsidP="00F17100">
      <w:pPr>
        <w:pStyle w:val="ListParagraph"/>
        <w:numPr>
          <w:ilvl w:val="1"/>
          <w:numId w:val="4"/>
        </w:numPr>
        <w:tabs>
          <w:tab w:val="left" w:pos="1397"/>
        </w:tabs>
        <w:ind w:right="696" w:firstLine="0"/>
        <w:jc w:val="both"/>
        <w:rPr>
          <w:sz w:val="20"/>
        </w:rPr>
      </w:pPr>
      <w:r>
        <w:rPr>
          <w:sz w:val="20"/>
        </w:rPr>
        <w:t>Да се стремят да постигнат по-добър баланс между частния и обществения транспорт, като насърчават местните власти и други отговорни органи, особено в пренаселени градове, да разширяват и подобряват качеството на транспортните услуги и да насърчават използването на транспортни средства, различни от лични автомобили, когато тези алтернативни средства са или могат да бъдат предоставени;</w:t>
      </w:r>
    </w:p>
    <w:p w14:paraId="52812499" w14:textId="77777777" w:rsidR="00FB4F7F" w:rsidRDefault="00FB4F7F" w:rsidP="00F17100">
      <w:pPr>
        <w:pStyle w:val="BodyText"/>
        <w:spacing w:before="1"/>
        <w:jc w:val="both"/>
        <w:rPr>
          <w:sz w:val="21"/>
        </w:rPr>
      </w:pPr>
    </w:p>
    <w:p w14:paraId="5281249A" w14:textId="77777777" w:rsidR="00FB4F7F" w:rsidRDefault="00D83B4C" w:rsidP="00F17100">
      <w:pPr>
        <w:pStyle w:val="ListParagraph"/>
        <w:numPr>
          <w:ilvl w:val="1"/>
          <w:numId w:val="4"/>
        </w:numPr>
        <w:tabs>
          <w:tab w:val="left" w:pos="1397"/>
        </w:tabs>
        <w:ind w:right="697" w:firstLine="0"/>
        <w:jc w:val="both"/>
        <w:rPr>
          <w:sz w:val="20"/>
        </w:rPr>
      </w:pPr>
      <w:r>
        <w:rPr>
          <w:sz w:val="20"/>
        </w:rPr>
        <w:t>Да включат в горните усилия управление на трафика и други мерки, които могат да бъдат приложени на относително ниска цена - като приоритетни мерки за автобуси, осигуряване на велосипедни алеи, обединяване на автомобили, системи за сигнализация, контрол на паркирането и създаване на зони без автомобили;</w:t>
      </w:r>
    </w:p>
    <w:p w14:paraId="5281249B" w14:textId="77777777" w:rsidR="00FB4F7F" w:rsidRDefault="00FB4F7F" w:rsidP="00F17100">
      <w:pPr>
        <w:pStyle w:val="BodyText"/>
        <w:spacing w:before="9"/>
        <w:jc w:val="both"/>
      </w:pPr>
    </w:p>
    <w:p w14:paraId="5281249C" w14:textId="77777777" w:rsidR="00FB4F7F" w:rsidRDefault="00D83B4C" w:rsidP="00F17100">
      <w:pPr>
        <w:pStyle w:val="ListParagraph"/>
        <w:numPr>
          <w:ilvl w:val="1"/>
          <w:numId w:val="4"/>
        </w:numPr>
        <w:tabs>
          <w:tab w:val="left" w:pos="1397"/>
        </w:tabs>
        <w:ind w:right="698" w:firstLine="0"/>
        <w:jc w:val="both"/>
        <w:rPr>
          <w:sz w:val="20"/>
        </w:rPr>
      </w:pPr>
      <w:r>
        <w:rPr>
          <w:sz w:val="20"/>
        </w:rPr>
        <w:t>Да допълнят горните политики с икономични мерки за подобряване на качеството на местната среда, например чрез създаване на малки паркове и открити пространства, пешеходни зони и опазване на градския пейзаж;</w:t>
      </w:r>
    </w:p>
    <w:p w14:paraId="5281249D" w14:textId="77777777" w:rsidR="00FB4F7F" w:rsidRDefault="00FB4F7F" w:rsidP="00F17100">
      <w:pPr>
        <w:pStyle w:val="BodyText"/>
        <w:spacing w:before="11"/>
        <w:jc w:val="both"/>
      </w:pPr>
    </w:p>
    <w:p w14:paraId="5281249E" w14:textId="77777777" w:rsidR="00FB4F7F" w:rsidRDefault="00D83B4C" w:rsidP="00F17100">
      <w:pPr>
        <w:pStyle w:val="ListParagraph"/>
        <w:numPr>
          <w:ilvl w:val="1"/>
          <w:numId w:val="4"/>
        </w:numPr>
        <w:tabs>
          <w:tab w:val="left" w:pos="1397"/>
        </w:tabs>
        <w:ind w:right="700" w:firstLine="0"/>
        <w:jc w:val="both"/>
        <w:rPr>
          <w:sz w:val="20"/>
        </w:rPr>
      </w:pPr>
      <w:r>
        <w:rPr>
          <w:sz w:val="20"/>
        </w:rPr>
        <w:t>Да подкрепят и насърчават по-нататъшни експериментални проекти, насочени към демонстриране на осъществимостта и последиците за финансовото, екологичното и градското развитие от мерките, посочени по-горе, и да си сътрудничат в международното разпространение на този опит;</w:t>
      </w:r>
    </w:p>
    <w:p w14:paraId="5281249F" w14:textId="77777777" w:rsidR="00FB4F7F" w:rsidRDefault="00FB4F7F" w:rsidP="00F17100">
      <w:pPr>
        <w:pStyle w:val="BodyText"/>
        <w:spacing w:before="9"/>
        <w:jc w:val="both"/>
      </w:pPr>
    </w:p>
    <w:p w14:paraId="528124A0" w14:textId="77777777" w:rsidR="00FB4F7F" w:rsidRDefault="00D83B4C" w:rsidP="00F17100">
      <w:pPr>
        <w:pStyle w:val="ListParagraph"/>
        <w:numPr>
          <w:ilvl w:val="1"/>
          <w:numId w:val="4"/>
        </w:numPr>
        <w:tabs>
          <w:tab w:val="left" w:pos="1397"/>
        </w:tabs>
        <w:ind w:right="708" w:firstLine="0"/>
        <w:jc w:val="both"/>
        <w:rPr>
          <w:sz w:val="20"/>
        </w:rPr>
      </w:pPr>
      <w:r>
        <w:rPr>
          <w:sz w:val="20"/>
        </w:rPr>
        <w:t>В дългосрочен план да се стремят да намалят необходимостта от транспорт чрез всеобхватно планиране на земеползването и транспорта и чрез други мерки, засягащи моделите на човешките дейности.</w:t>
      </w:r>
    </w:p>
    <w:p w14:paraId="528124A1" w14:textId="77777777" w:rsidR="00FB4F7F" w:rsidRDefault="00FB4F7F" w:rsidP="00F17100">
      <w:pPr>
        <w:pStyle w:val="BodyText"/>
        <w:spacing w:before="9"/>
        <w:jc w:val="both"/>
      </w:pPr>
    </w:p>
    <w:p w14:paraId="528124A2" w14:textId="77777777" w:rsidR="00FB4F7F" w:rsidRDefault="00D83B4C" w:rsidP="00F17100">
      <w:pPr>
        <w:pStyle w:val="ListParagraph"/>
        <w:numPr>
          <w:ilvl w:val="0"/>
          <w:numId w:val="4"/>
        </w:numPr>
        <w:tabs>
          <w:tab w:val="left" w:pos="1397"/>
        </w:tabs>
        <w:ind w:hanging="721"/>
        <w:jc w:val="both"/>
        <w:rPr>
          <w:sz w:val="20"/>
        </w:rPr>
      </w:pPr>
      <w:r>
        <w:rPr>
          <w:b/>
          <w:sz w:val="20"/>
        </w:rPr>
        <w:t>УКАЗВА</w:t>
      </w:r>
      <w:r>
        <w:rPr>
          <w:sz w:val="20"/>
        </w:rPr>
        <w:t xml:space="preserve"> на Комитета по околна среда:</w:t>
      </w:r>
    </w:p>
    <w:p w14:paraId="528124A3" w14:textId="77777777" w:rsidR="00FB4F7F" w:rsidRDefault="00FB4F7F" w:rsidP="00F17100">
      <w:pPr>
        <w:pStyle w:val="BodyText"/>
        <w:spacing w:before="10"/>
        <w:jc w:val="both"/>
      </w:pPr>
    </w:p>
    <w:p w14:paraId="528124A4" w14:textId="77777777" w:rsidR="00FB4F7F" w:rsidRDefault="00D83B4C" w:rsidP="00F17100">
      <w:pPr>
        <w:pStyle w:val="ListParagraph"/>
        <w:numPr>
          <w:ilvl w:val="1"/>
          <w:numId w:val="4"/>
        </w:numPr>
        <w:tabs>
          <w:tab w:val="left" w:pos="1397"/>
        </w:tabs>
        <w:ind w:right="702" w:firstLine="0"/>
        <w:jc w:val="both"/>
        <w:rPr>
          <w:sz w:val="20"/>
        </w:rPr>
      </w:pPr>
      <w:r>
        <w:rPr>
          <w:sz w:val="20"/>
        </w:rPr>
        <w:t>Да продължи разглеждането на националните политики и програми за ограничаване на трафика и своите оценки на техните разходи и ефективност с акцент върху мерките, които могат да бъдат приложени на относително ниска цена;</w:t>
      </w:r>
    </w:p>
    <w:p w14:paraId="528124A5" w14:textId="77777777" w:rsidR="00FB4F7F" w:rsidRDefault="00FB4F7F" w:rsidP="00F17100">
      <w:pPr>
        <w:pStyle w:val="BodyText"/>
        <w:jc w:val="both"/>
        <w:rPr>
          <w:sz w:val="21"/>
        </w:rPr>
      </w:pPr>
    </w:p>
    <w:p w14:paraId="528124A6" w14:textId="77777777" w:rsidR="00FB4F7F" w:rsidRDefault="00D83B4C" w:rsidP="00F17100">
      <w:pPr>
        <w:pStyle w:val="ListParagraph"/>
        <w:numPr>
          <w:ilvl w:val="1"/>
          <w:numId w:val="4"/>
        </w:numPr>
        <w:tabs>
          <w:tab w:val="left" w:pos="1397"/>
        </w:tabs>
        <w:ind w:right="701" w:firstLine="0"/>
        <w:jc w:val="both"/>
        <w:rPr>
          <w:sz w:val="20"/>
        </w:rPr>
      </w:pPr>
      <w:r>
        <w:rPr>
          <w:sz w:val="20"/>
        </w:rPr>
        <w:t>Да оцени предприетите действия в съответствие с настоящата препоръка и да докладва за това на Съвета;</w:t>
      </w:r>
    </w:p>
    <w:p w14:paraId="528124A7" w14:textId="77777777" w:rsidR="00FB4F7F" w:rsidRDefault="00FB4F7F" w:rsidP="00F17100">
      <w:pPr>
        <w:pStyle w:val="BodyText"/>
        <w:spacing w:before="11"/>
        <w:jc w:val="both"/>
      </w:pPr>
    </w:p>
    <w:p w14:paraId="528124A8" w14:textId="77777777" w:rsidR="00FB4F7F" w:rsidRDefault="00D83B4C" w:rsidP="00F17100">
      <w:pPr>
        <w:pStyle w:val="ListParagraph"/>
        <w:numPr>
          <w:ilvl w:val="1"/>
          <w:numId w:val="4"/>
        </w:numPr>
        <w:tabs>
          <w:tab w:val="left" w:pos="1397"/>
        </w:tabs>
        <w:ind w:right="704" w:firstLine="0"/>
        <w:jc w:val="both"/>
        <w:rPr>
          <w:sz w:val="20"/>
        </w:rPr>
      </w:pPr>
      <w:r>
        <w:rPr>
          <w:sz w:val="20"/>
        </w:rPr>
        <w:t>Да извършва тази работа съвместно с други подходящи органи на Организацията и с Европейската конференция на министрите на транспорта.</w:t>
      </w:r>
    </w:p>
    <w:p w14:paraId="528124A9" w14:textId="77777777" w:rsidR="00FB4F7F" w:rsidRDefault="00FB4F7F" w:rsidP="00F17100">
      <w:pPr>
        <w:jc w:val="both"/>
        <w:rPr>
          <w:sz w:val="20"/>
        </w:rPr>
        <w:sectPr w:rsidR="00FB4F7F">
          <w:pgSz w:w="11910" w:h="16840"/>
          <w:pgMar w:top="760" w:right="720" w:bottom="280" w:left="740" w:header="720" w:footer="720" w:gutter="0"/>
          <w:cols w:space="720"/>
        </w:sectPr>
      </w:pPr>
    </w:p>
    <w:p w14:paraId="528124AA" w14:textId="77777777" w:rsidR="00FB4F7F" w:rsidRDefault="00D83B4C" w:rsidP="00F17100">
      <w:pPr>
        <w:pStyle w:val="Heading2"/>
      </w:pPr>
      <w:bookmarkStart w:id="1" w:name="About_the_OECD"/>
      <w:bookmarkEnd w:id="1"/>
      <w:r>
        <w:rPr>
          <w:color w:val="1F4679"/>
        </w:rPr>
        <w:lastRenderedPageBreak/>
        <w:t>Относно ОИСР</w:t>
      </w:r>
    </w:p>
    <w:p w14:paraId="528124AB" w14:textId="77777777" w:rsidR="00FB4F7F" w:rsidRDefault="00FB4F7F" w:rsidP="00F17100">
      <w:pPr>
        <w:pStyle w:val="BodyText"/>
        <w:spacing w:before="5"/>
        <w:jc w:val="both"/>
        <w:rPr>
          <w:b/>
          <w:sz w:val="21"/>
        </w:rPr>
      </w:pPr>
    </w:p>
    <w:p w14:paraId="528124AC" w14:textId="77777777" w:rsidR="00FB4F7F" w:rsidRDefault="00D83B4C" w:rsidP="00F17100">
      <w:pPr>
        <w:pStyle w:val="BodyText"/>
        <w:ind w:left="116" w:right="156"/>
        <w:jc w:val="both"/>
      </w:pPr>
      <w:r>
        <w:t>ОИСР е уникален форум, където правителствата работят заедно за справяне с икономическите, социалните и екологичните предизвикателства на глобализацията. ОИСР също е в челните редици на усилията за разбиране и подпомагане на правителствата да отговорят на новите развития и опасения, като корпоративно управление, информационна икономика и предизвикателствата на застаряващото население. Организацията осигурява среда, в която правителствата могат да сравняват политическия опит, да търсят отговори на общи проблеми, да идентифицират добри практики и да работят за координиране на вътрешни и международни политики.</w:t>
      </w:r>
    </w:p>
    <w:p w14:paraId="528124AD" w14:textId="77777777" w:rsidR="00FB4F7F" w:rsidRDefault="00FB4F7F" w:rsidP="00F17100">
      <w:pPr>
        <w:pStyle w:val="BodyText"/>
        <w:spacing w:before="10"/>
        <w:jc w:val="both"/>
      </w:pPr>
    </w:p>
    <w:p w14:paraId="528124AE" w14:textId="77777777" w:rsidR="00FB4F7F" w:rsidRDefault="00D83B4C" w:rsidP="00F17100">
      <w:pPr>
        <w:pStyle w:val="BodyText"/>
        <w:ind w:left="115" w:right="144" w:hanging="3"/>
        <w:jc w:val="both"/>
      </w:pPr>
      <w:r>
        <w:t>Страните членки на ОИСР са: Австралия, Австрия, Белгия, Канада, Чили, Колумбия, Коста Рика, Чехия, Дания, Естония, Финландия, Франция, Германия, Гърция, Унгария, Исландия, Ирландия, Израел, Италия, Япония, Корея, Латвия, Литва, Люксембург , Мексико, Холандия, Нова Зеландия, Норвегия, Полша, Португалия, Република Словакия, Словения, Испания, Швеция, Швейцария, Турция, Обединеното кралство и Съединените щати. Европейският съюз участва в работата на ОИСР.</w:t>
      </w:r>
    </w:p>
    <w:p w14:paraId="528124AF" w14:textId="77777777" w:rsidR="00FB4F7F" w:rsidRDefault="00FB4F7F" w:rsidP="00F17100">
      <w:pPr>
        <w:pStyle w:val="BodyText"/>
        <w:jc w:val="both"/>
        <w:rPr>
          <w:sz w:val="22"/>
        </w:rPr>
      </w:pPr>
    </w:p>
    <w:p w14:paraId="528124B0" w14:textId="77777777" w:rsidR="00FB4F7F" w:rsidRDefault="00D83B4C" w:rsidP="00F17100">
      <w:pPr>
        <w:pStyle w:val="Heading2"/>
        <w:spacing w:before="141"/>
      </w:pPr>
      <w:bookmarkStart w:id="2" w:name="OECD_Legal_Instruments"/>
      <w:bookmarkEnd w:id="2"/>
      <w:r>
        <w:rPr>
          <w:color w:val="1F4679"/>
        </w:rPr>
        <w:t>Правни инструменти на ОИСР</w:t>
      </w:r>
    </w:p>
    <w:p w14:paraId="528124B1" w14:textId="77777777" w:rsidR="00FB4F7F" w:rsidRDefault="00FB4F7F" w:rsidP="00F17100">
      <w:pPr>
        <w:pStyle w:val="BodyText"/>
        <w:spacing w:before="7"/>
        <w:jc w:val="both"/>
        <w:rPr>
          <w:b/>
          <w:sz w:val="21"/>
        </w:rPr>
      </w:pPr>
    </w:p>
    <w:p w14:paraId="528124B2" w14:textId="77777777" w:rsidR="00FB4F7F" w:rsidRDefault="00D83B4C" w:rsidP="00F17100">
      <w:pPr>
        <w:pStyle w:val="BodyText"/>
        <w:ind w:left="116" w:right="150"/>
        <w:jc w:val="both"/>
      </w:pPr>
      <w:r>
        <w:t>От създаването на ОИСР през 1961 г. в рамките на ОИСР са разработени около 460 материалноправни инструмента. Те включват актове на ОИСР (т.е. решения и препоръки, приети от Съвета на ОИСР в съответствие с Конвенцията на ОИСР) и други правни инструменти, разработени в рамките на ОИСР (напр. декларации, международни споразумения).</w:t>
      </w:r>
    </w:p>
    <w:p w14:paraId="528124B3" w14:textId="77777777" w:rsidR="00FB4F7F" w:rsidRDefault="00FB4F7F" w:rsidP="00F17100">
      <w:pPr>
        <w:pStyle w:val="BodyText"/>
        <w:spacing w:before="10"/>
        <w:jc w:val="both"/>
      </w:pPr>
    </w:p>
    <w:p w14:paraId="528124B4" w14:textId="77777777" w:rsidR="00FB4F7F" w:rsidRDefault="00D83B4C" w:rsidP="00F17100">
      <w:pPr>
        <w:pStyle w:val="BodyText"/>
        <w:ind w:left="113" w:right="150"/>
        <w:jc w:val="both"/>
      </w:pPr>
      <w:r>
        <w:t>Всички съществени правни инструменти на ОИСР, независимо дали са в сила или са отменени, са изброени в онлайн сборника на правните инструменти на ОИСР. Те са представени в пет категории:</w:t>
      </w:r>
    </w:p>
    <w:p w14:paraId="528124B5" w14:textId="77777777" w:rsidR="00FB4F7F" w:rsidRDefault="00FB4F7F" w:rsidP="00F17100">
      <w:pPr>
        <w:pStyle w:val="BodyText"/>
        <w:spacing w:before="8"/>
        <w:jc w:val="both"/>
        <w:rPr>
          <w:sz w:val="18"/>
        </w:rPr>
      </w:pPr>
    </w:p>
    <w:p w14:paraId="528124B6" w14:textId="77777777" w:rsidR="00FB4F7F" w:rsidRDefault="00D83B4C" w:rsidP="00F17100">
      <w:pPr>
        <w:pStyle w:val="ListParagraph"/>
        <w:numPr>
          <w:ilvl w:val="0"/>
          <w:numId w:val="3"/>
        </w:numPr>
        <w:tabs>
          <w:tab w:val="left" w:pos="852"/>
          <w:tab w:val="left" w:pos="853"/>
        </w:tabs>
        <w:spacing w:line="242" w:lineRule="auto"/>
        <w:ind w:right="110"/>
        <w:rPr>
          <w:sz w:val="20"/>
        </w:rPr>
      </w:pPr>
      <w:r>
        <w:rPr>
          <w:b/>
          <w:sz w:val="20"/>
        </w:rPr>
        <w:t>Решенията</w:t>
      </w:r>
      <w:r>
        <w:rPr>
          <w:sz w:val="20"/>
        </w:rPr>
        <w:t xml:space="preserve"> се приемат от Съвета и са правно обвързващи за всички страни-членки с изключение на тези, които се въздържат към момента на приемане. Те определят специфични права и задължения и могат да съдържат механизми за наблюдение.</w:t>
      </w:r>
    </w:p>
    <w:p w14:paraId="528124B7" w14:textId="77777777" w:rsidR="00FB4F7F" w:rsidRDefault="00FB4F7F" w:rsidP="00F17100">
      <w:pPr>
        <w:pStyle w:val="BodyText"/>
        <w:spacing w:before="7"/>
        <w:jc w:val="both"/>
        <w:rPr>
          <w:sz w:val="17"/>
        </w:rPr>
      </w:pPr>
    </w:p>
    <w:p w14:paraId="528124B8" w14:textId="77777777" w:rsidR="00FB4F7F" w:rsidRDefault="00D83B4C" w:rsidP="00F17100">
      <w:pPr>
        <w:pStyle w:val="ListParagraph"/>
        <w:numPr>
          <w:ilvl w:val="0"/>
          <w:numId w:val="3"/>
        </w:numPr>
        <w:tabs>
          <w:tab w:val="left" w:pos="852"/>
          <w:tab w:val="left" w:pos="853"/>
        </w:tabs>
        <w:spacing w:line="242" w:lineRule="auto"/>
        <w:ind w:right="105"/>
        <w:rPr>
          <w:sz w:val="20"/>
        </w:rPr>
      </w:pPr>
      <w:r>
        <w:rPr>
          <w:b/>
          <w:sz w:val="20"/>
        </w:rPr>
        <w:t>Препоръките</w:t>
      </w:r>
      <w:r>
        <w:rPr>
          <w:sz w:val="20"/>
        </w:rPr>
        <w:t xml:space="preserve"> се приемат от Съвета и не са правно обвързващи. Те представляват политически ангажимент към принципите, които съдържат, и включват очакване, че присъединилите се държави ще направят всичко възможно, за да ги изпълнят.</w:t>
      </w:r>
    </w:p>
    <w:p w14:paraId="528124B9" w14:textId="77777777" w:rsidR="00FB4F7F" w:rsidRDefault="00FB4F7F" w:rsidP="00F17100">
      <w:pPr>
        <w:pStyle w:val="BodyText"/>
        <w:spacing w:before="7"/>
        <w:jc w:val="both"/>
        <w:rPr>
          <w:sz w:val="17"/>
        </w:rPr>
      </w:pPr>
    </w:p>
    <w:p w14:paraId="528124BA" w14:textId="77777777" w:rsidR="00FB4F7F" w:rsidRDefault="00D83B4C" w:rsidP="00F17100">
      <w:pPr>
        <w:pStyle w:val="ListParagraph"/>
        <w:numPr>
          <w:ilvl w:val="0"/>
          <w:numId w:val="3"/>
        </w:numPr>
        <w:tabs>
          <w:tab w:val="left" w:pos="852"/>
          <w:tab w:val="left" w:pos="853"/>
        </w:tabs>
        <w:spacing w:line="242" w:lineRule="auto"/>
        <w:ind w:right="103"/>
        <w:rPr>
          <w:sz w:val="20"/>
        </w:rPr>
      </w:pPr>
      <w:r>
        <w:rPr>
          <w:b/>
          <w:sz w:val="20"/>
        </w:rPr>
        <w:t>Документите за съществени резултати</w:t>
      </w:r>
      <w:r>
        <w:rPr>
          <w:sz w:val="20"/>
        </w:rPr>
        <w:t xml:space="preserve"> се приемат от отделните изброени присъединили се страни, а не от орган на ОИСР, като резултат от среща на министерско, високо ниво или друго в рамките на Организацията. Обикновено те поставят общи принципи или дългосрочни цели и имат тържествен характер.</w:t>
      </w:r>
    </w:p>
    <w:p w14:paraId="528124BB" w14:textId="77777777" w:rsidR="00FB4F7F" w:rsidRDefault="00FB4F7F" w:rsidP="00F17100">
      <w:pPr>
        <w:pStyle w:val="BodyText"/>
        <w:spacing w:before="10"/>
        <w:jc w:val="both"/>
        <w:rPr>
          <w:sz w:val="17"/>
        </w:rPr>
      </w:pPr>
    </w:p>
    <w:p w14:paraId="528124BC" w14:textId="77777777" w:rsidR="00FB4F7F" w:rsidRDefault="00D83B4C" w:rsidP="00F17100">
      <w:pPr>
        <w:pStyle w:val="ListParagraph"/>
        <w:numPr>
          <w:ilvl w:val="0"/>
          <w:numId w:val="3"/>
        </w:numPr>
        <w:tabs>
          <w:tab w:val="left" w:pos="852"/>
          <w:tab w:val="left" w:pos="853"/>
        </w:tabs>
        <w:ind w:right="114"/>
        <w:rPr>
          <w:sz w:val="20"/>
        </w:rPr>
      </w:pPr>
      <w:r>
        <w:rPr>
          <w:sz w:val="20"/>
        </w:rPr>
        <w:t xml:space="preserve">В рамките на Организацията се договарят и сключват </w:t>
      </w:r>
      <w:r>
        <w:rPr>
          <w:b/>
          <w:sz w:val="20"/>
        </w:rPr>
        <w:t>международни споразумения.</w:t>
      </w:r>
      <w:r>
        <w:rPr>
          <w:sz w:val="20"/>
        </w:rPr>
        <w:t xml:space="preserve"> Те са правно обвързващи за страните.</w:t>
      </w:r>
    </w:p>
    <w:p w14:paraId="528124BD" w14:textId="77777777" w:rsidR="00FB4F7F" w:rsidRDefault="00FB4F7F" w:rsidP="00F17100">
      <w:pPr>
        <w:pStyle w:val="BodyText"/>
        <w:spacing w:before="7"/>
        <w:jc w:val="both"/>
        <w:rPr>
          <w:sz w:val="19"/>
        </w:rPr>
      </w:pPr>
    </w:p>
    <w:p w14:paraId="528124BE" w14:textId="77777777" w:rsidR="00FB4F7F" w:rsidRDefault="00D83B4C" w:rsidP="00F17100">
      <w:pPr>
        <w:pStyle w:val="ListParagraph"/>
        <w:numPr>
          <w:ilvl w:val="0"/>
          <w:numId w:val="3"/>
        </w:numPr>
        <w:tabs>
          <w:tab w:val="left" w:pos="852"/>
          <w:tab w:val="left" w:pos="853"/>
        </w:tabs>
        <w:ind w:right="108" w:hanging="710"/>
        <w:rPr>
          <w:sz w:val="20"/>
        </w:rPr>
      </w:pPr>
      <w:r>
        <w:rPr>
          <w:b/>
          <w:sz w:val="20"/>
        </w:rPr>
        <w:t>Споразумение, разбирателство и други</w:t>
      </w:r>
      <w:r>
        <w:rPr>
          <w:sz w:val="20"/>
        </w:rPr>
        <w:t>: няколко други типа материалноправни инструменти са разработени в рамките на ОИСР с течение на времето, като споразумението за официално подкрепяни експортни кредити, международното споразумение за принципите на морския транспорт и препоръките на Комитета за подпомагане на развитието (DAC).</w:t>
      </w:r>
      <w:bookmarkEnd w:id="0"/>
    </w:p>
    <w:sectPr w:rsidR="00FB4F7F">
      <w:pgSz w:w="11940" w:h="16860"/>
      <w:pgMar w:top="1300" w:right="1260" w:bottom="280" w:left="130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Black">
    <w:altName w:val="Arial Black"/>
    <w:panose1 w:val="020B0A04020102020204"/>
    <w:charset w:val="CC"/>
    <w:family w:val="swiss"/>
    <w:pitch w:val="variable"/>
    <w:sig w:usb0="A00002AF" w:usb1="400078FB" w:usb2="00000000" w:usb3="00000000" w:csb0="0000009F"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3B38D9"/>
    <w:multiLevelType w:val="hybridMultilevel"/>
    <w:tmpl w:val="274E3464"/>
    <w:lvl w:ilvl="0" w:tplc="614ABFBE">
      <w:start w:val="1"/>
      <w:numFmt w:val="upperRoman"/>
      <w:lvlText w:val="%1."/>
      <w:lvlJc w:val="left"/>
      <w:pPr>
        <w:ind w:left="1396" w:hanging="720"/>
        <w:jc w:val="left"/>
      </w:pPr>
      <w:rPr>
        <w:rFonts w:ascii="Arial" w:eastAsia="Arial" w:hAnsi="Arial" w:cs="Arial" w:hint="default"/>
        <w:b/>
        <w:bCs/>
        <w:spacing w:val="-1"/>
        <w:w w:val="99"/>
        <w:sz w:val="20"/>
        <w:szCs w:val="20"/>
        <w:lang w:val="en-US" w:eastAsia="en-US" w:bidi="ar-SA"/>
      </w:rPr>
    </w:lvl>
    <w:lvl w:ilvl="1" w:tplc="586CB064">
      <w:start w:val="1"/>
      <w:numFmt w:val="decimal"/>
      <w:lvlText w:val="%2."/>
      <w:lvlJc w:val="left"/>
      <w:pPr>
        <w:ind w:left="676" w:hanging="720"/>
        <w:jc w:val="left"/>
      </w:pPr>
      <w:rPr>
        <w:rFonts w:ascii="Arial" w:eastAsia="Arial" w:hAnsi="Arial" w:cs="Arial" w:hint="default"/>
        <w:spacing w:val="-1"/>
        <w:w w:val="99"/>
        <w:sz w:val="20"/>
        <w:szCs w:val="20"/>
        <w:lang w:val="en-US" w:eastAsia="en-US" w:bidi="ar-SA"/>
      </w:rPr>
    </w:lvl>
    <w:lvl w:ilvl="2" w:tplc="6E44BAD4">
      <w:numFmt w:val="bullet"/>
      <w:lvlText w:val="•"/>
      <w:lvlJc w:val="left"/>
      <w:pPr>
        <w:ind w:left="2405" w:hanging="720"/>
      </w:pPr>
      <w:rPr>
        <w:rFonts w:hint="default"/>
        <w:lang w:val="en-US" w:eastAsia="en-US" w:bidi="ar-SA"/>
      </w:rPr>
    </w:lvl>
    <w:lvl w:ilvl="3" w:tplc="C7824E76">
      <w:numFmt w:val="bullet"/>
      <w:lvlText w:val="•"/>
      <w:lvlJc w:val="left"/>
      <w:pPr>
        <w:ind w:left="3410" w:hanging="720"/>
      </w:pPr>
      <w:rPr>
        <w:rFonts w:hint="default"/>
        <w:lang w:val="en-US" w:eastAsia="en-US" w:bidi="ar-SA"/>
      </w:rPr>
    </w:lvl>
    <w:lvl w:ilvl="4" w:tplc="82047CB0">
      <w:numFmt w:val="bullet"/>
      <w:lvlText w:val="•"/>
      <w:lvlJc w:val="left"/>
      <w:pPr>
        <w:ind w:left="4415" w:hanging="720"/>
      </w:pPr>
      <w:rPr>
        <w:rFonts w:hint="default"/>
        <w:lang w:val="en-US" w:eastAsia="en-US" w:bidi="ar-SA"/>
      </w:rPr>
    </w:lvl>
    <w:lvl w:ilvl="5" w:tplc="E10C4BA6">
      <w:numFmt w:val="bullet"/>
      <w:lvlText w:val="•"/>
      <w:lvlJc w:val="left"/>
      <w:pPr>
        <w:ind w:left="5420" w:hanging="720"/>
      </w:pPr>
      <w:rPr>
        <w:rFonts w:hint="default"/>
        <w:lang w:val="en-US" w:eastAsia="en-US" w:bidi="ar-SA"/>
      </w:rPr>
    </w:lvl>
    <w:lvl w:ilvl="6" w:tplc="A67EAB34">
      <w:numFmt w:val="bullet"/>
      <w:lvlText w:val="•"/>
      <w:lvlJc w:val="left"/>
      <w:pPr>
        <w:ind w:left="6425" w:hanging="720"/>
      </w:pPr>
      <w:rPr>
        <w:rFonts w:hint="default"/>
        <w:lang w:val="en-US" w:eastAsia="en-US" w:bidi="ar-SA"/>
      </w:rPr>
    </w:lvl>
    <w:lvl w:ilvl="7" w:tplc="8F10C8F8">
      <w:numFmt w:val="bullet"/>
      <w:lvlText w:val="•"/>
      <w:lvlJc w:val="left"/>
      <w:pPr>
        <w:ind w:left="7430" w:hanging="720"/>
      </w:pPr>
      <w:rPr>
        <w:rFonts w:hint="default"/>
        <w:lang w:val="en-US" w:eastAsia="en-US" w:bidi="ar-SA"/>
      </w:rPr>
    </w:lvl>
    <w:lvl w:ilvl="8" w:tplc="5B287D32">
      <w:numFmt w:val="bullet"/>
      <w:lvlText w:val="•"/>
      <w:lvlJc w:val="left"/>
      <w:pPr>
        <w:ind w:left="8435" w:hanging="720"/>
      </w:pPr>
      <w:rPr>
        <w:rFonts w:hint="default"/>
        <w:lang w:val="en-US" w:eastAsia="en-US" w:bidi="ar-SA"/>
      </w:rPr>
    </w:lvl>
  </w:abstractNum>
  <w:abstractNum w:abstractNumId="1" w15:restartNumberingAfterBreak="0">
    <w:nsid w:val="37C07914"/>
    <w:multiLevelType w:val="hybridMultilevel"/>
    <w:tmpl w:val="95288E24"/>
    <w:lvl w:ilvl="0" w:tplc="A58C9E4E">
      <w:start w:val="1"/>
      <w:numFmt w:val="upperRoman"/>
      <w:lvlText w:val="%1."/>
      <w:lvlJc w:val="left"/>
      <w:pPr>
        <w:ind w:left="1396" w:hanging="720"/>
        <w:jc w:val="left"/>
      </w:pPr>
      <w:rPr>
        <w:rFonts w:ascii="Arial" w:eastAsia="Arial" w:hAnsi="Arial" w:cs="Arial" w:hint="default"/>
        <w:b/>
        <w:bCs/>
        <w:spacing w:val="-1"/>
        <w:w w:val="99"/>
        <w:sz w:val="20"/>
        <w:szCs w:val="20"/>
        <w:lang w:val="en-US" w:eastAsia="en-US" w:bidi="ar-SA"/>
      </w:rPr>
    </w:lvl>
    <w:lvl w:ilvl="1" w:tplc="BEC41602">
      <w:start w:val="1"/>
      <w:numFmt w:val="decimal"/>
      <w:lvlText w:val="%2."/>
      <w:lvlJc w:val="left"/>
      <w:pPr>
        <w:ind w:left="676" w:hanging="720"/>
        <w:jc w:val="left"/>
      </w:pPr>
      <w:rPr>
        <w:rFonts w:ascii="Arial" w:eastAsia="Arial" w:hAnsi="Arial" w:cs="Arial" w:hint="default"/>
        <w:spacing w:val="-1"/>
        <w:w w:val="99"/>
        <w:sz w:val="20"/>
        <w:szCs w:val="20"/>
        <w:lang w:val="en-US" w:eastAsia="en-US" w:bidi="ar-SA"/>
      </w:rPr>
    </w:lvl>
    <w:lvl w:ilvl="2" w:tplc="BB4A8DB4">
      <w:numFmt w:val="bullet"/>
      <w:lvlText w:val="•"/>
      <w:lvlJc w:val="left"/>
      <w:pPr>
        <w:ind w:left="2405" w:hanging="720"/>
      </w:pPr>
      <w:rPr>
        <w:rFonts w:hint="default"/>
        <w:lang w:val="en-US" w:eastAsia="en-US" w:bidi="ar-SA"/>
      </w:rPr>
    </w:lvl>
    <w:lvl w:ilvl="3" w:tplc="B73E42FE">
      <w:numFmt w:val="bullet"/>
      <w:lvlText w:val="•"/>
      <w:lvlJc w:val="left"/>
      <w:pPr>
        <w:ind w:left="3410" w:hanging="720"/>
      </w:pPr>
      <w:rPr>
        <w:rFonts w:hint="default"/>
        <w:lang w:val="en-US" w:eastAsia="en-US" w:bidi="ar-SA"/>
      </w:rPr>
    </w:lvl>
    <w:lvl w:ilvl="4" w:tplc="6E5EAAA8">
      <w:numFmt w:val="bullet"/>
      <w:lvlText w:val="•"/>
      <w:lvlJc w:val="left"/>
      <w:pPr>
        <w:ind w:left="4415" w:hanging="720"/>
      </w:pPr>
      <w:rPr>
        <w:rFonts w:hint="default"/>
        <w:lang w:val="en-US" w:eastAsia="en-US" w:bidi="ar-SA"/>
      </w:rPr>
    </w:lvl>
    <w:lvl w:ilvl="5" w:tplc="5B32F898">
      <w:numFmt w:val="bullet"/>
      <w:lvlText w:val="•"/>
      <w:lvlJc w:val="left"/>
      <w:pPr>
        <w:ind w:left="5420" w:hanging="720"/>
      </w:pPr>
      <w:rPr>
        <w:rFonts w:hint="default"/>
        <w:lang w:val="en-US" w:eastAsia="en-US" w:bidi="ar-SA"/>
      </w:rPr>
    </w:lvl>
    <w:lvl w:ilvl="6" w:tplc="93F0FD6A">
      <w:numFmt w:val="bullet"/>
      <w:lvlText w:val="•"/>
      <w:lvlJc w:val="left"/>
      <w:pPr>
        <w:ind w:left="6425" w:hanging="720"/>
      </w:pPr>
      <w:rPr>
        <w:rFonts w:hint="default"/>
        <w:lang w:val="en-US" w:eastAsia="en-US" w:bidi="ar-SA"/>
      </w:rPr>
    </w:lvl>
    <w:lvl w:ilvl="7" w:tplc="94A88BC6">
      <w:numFmt w:val="bullet"/>
      <w:lvlText w:val="•"/>
      <w:lvlJc w:val="left"/>
      <w:pPr>
        <w:ind w:left="7430" w:hanging="720"/>
      </w:pPr>
      <w:rPr>
        <w:rFonts w:hint="default"/>
        <w:lang w:val="en-US" w:eastAsia="en-US" w:bidi="ar-SA"/>
      </w:rPr>
    </w:lvl>
    <w:lvl w:ilvl="8" w:tplc="C40818D6">
      <w:numFmt w:val="bullet"/>
      <w:lvlText w:val="•"/>
      <w:lvlJc w:val="left"/>
      <w:pPr>
        <w:ind w:left="8435" w:hanging="720"/>
      </w:pPr>
      <w:rPr>
        <w:rFonts w:hint="default"/>
        <w:lang w:val="en-US" w:eastAsia="en-US" w:bidi="ar-SA"/>
      </w:rPr>
    </w:lvl>
  </w:abstractNum>
  <w:abstractNum w:abstractNumId="2" w15:restartNumberingAfterBreak="0">
    <w:nsid w:val="3F513FEB"/>
    <w:multiLevelType w:val="hybridMultilevel"/>
    <w:tmpl w:val="A97EDE74"/>
    <w:lvl w:ilvl="0" w:tplc="8DBE1972">
      <w:numFmt w:val="bullet"/>
      <w:lvlText w:val=""/>
      <w:lvlJc w:val="left"/>
      <w:pPr>
        <w:ind w:left="852" w:hanging="711"/>
      </w:pPr>
      <w:rPr>
        <w:rFonts w:ascii="Symbol" w:eastAsia="Symbol" w:hAnsi="Symbol" w:cs="Symbol" w:hint="default"/>
        <w:w w:val="95"/>
        <w:sz w:val="20"/>
        <w:szCs w:val="20"/>
        <w:lang w:val="en-US" w:eastAsia="en-US" w:bidi="ar-SA"/>
      </w:rPr>
    </w:lvl>
    <w:lvl w:ilvl="1" w:tplc="A59A7C46">
      <w:numFmt w:val="bullet"/>
      <w:lvlText w:val="•"/>
      <w:lvlJc w:val="left"/>
      <w:pPr>
        <w:ind w:left="1712" w:hanging="711"/>
      </w:pPr>
      <w:rPr>
        <w:rFonts w:hint="default"/>
        <w:lang w:val="en-US" w:eastAsia="en-US" w:bidi="ar-SA"/>
      </w:rPr>
    </w:lvl>
    <w:lvl w:ilvl="2" w:tplc="FC6EBD40">
      <w:numFmt w:val="bullet"/>
      <w:lvlText w:val="•"/>
      <w:lvlJc w:val="left"/>
      <w:pPr>
        <w:ind w:left="2564" w:hanging="711"/>
      </w:pPr>
      <w:rPr>
        <w:rFonts w:hint="default"/>
        <w:lang w:val="en-US" w:eastAsia="en-US" w:bidi="ar-SA"/>
      </w:rPr>
    </w:lvl>
    <w:lvl w:ilvl="3" w:tplc="C28AB9F0">
      <w:numFmt w:val="bullet"/>
      <w:lvlText w:val="•"/>
      <w:lvlJc w:val="left"/>
      <w:pPr>
        <w:ind w:left="3416" w:hanging="711"/>
      </w:pPr>
      <w:rPr>
        <w:rFonts w:hint="default"/>
        <w:lang w:val="en-US" w:eastAsia="en-US" w:bidi="ar-SA"/>
      </w:rPr>
    </w:lvl>
    <w:lvl w:ilvl="4" w:tplc="E05E2C42">
      <w:numFmt w:val="bullet"/>
      <w:lvlText w:val="•"/>
      <w:lvlJc w:val="left"/>
      <w:pPr>
        <w:ind w:left="4268" w:hanging="711"/>
      </w:pPr>
      <w:rPr>
        <w:rFonts w:hint="default"/>
        <w:lang w:val="en-US" w:eastAsia="en-US" w:bidi="ar-SA"/>
      </w:rPr>
    </w:lvl>
    <w:lvl w:ilvl="5" w:tplc="3286BAF2">
      <w:numFmt w:val="bullet"/>
      <w:lvlText w:val="•"/>
      <w:lvlJc w:val="left"/>
      <w:pPr>
        <w:ind w:left="5120" w:hanging="711"/>
      </w:pPr>
      <w:rPr>
        <w:rFonts w:hint="default"/>
        <w:lang w:val="en-US" w:eastAsia="en-US" w:bidi="ar-SA"/>
      </w:rPr>
    </w:lvl>
    <w:lvl w:ilvl="6" w:tplc="66F649FA">
      <w:numFmt w:val="bullet"/>
      <w:lvlText w:val="•"/>
      <w:lvlJc w:val="left"/>
      <w:pPr>
        <w:ind w:left="5972" w:hanging="711"/>
      </w:pPr>
      <w:rPr>
        <w:rFonts w:hint="default"/>
        <w:lang w:val="en-US" w:eastAsia="en-US" w:bidi="ar-SA"/>
      </w:rPr>
    </w:lvl>
    <w:lvl w:ilvl="7" w:tplc="6306677A">
      <w:numFmt w:val="bullet"/>
      <w:lvlText w:val="•"/>
      <w:lvlJc w:val="left"/>
      <w:pPr>
        <w:ind w:left="6824" w:hanging="711"/>
      </w:pPr>
      <w:rPr>
        <w:rFonts w:hint="default"/>
        <w:lang w:val="en-US" w:eastAsia="en-US" w:bidi="ar-SA"/>
      </w:rPr>
    </w:lvl>
    <w:lvl w:ilvl="8" w:tplc="29BA336C">
      <w:numFmt w:val="bullet"/>
      <w:lvlText w:val="•"/>
      <w:lvlJc w:val="left"/>
      <w:pPr>
        <w:ind w:left="7676" w:hanging="711"/>
      </w:pPr>
      <w:rPr>
        <w:rFonts w:hint="default"/>
        <w:lang w:val="en-US" w:eastAsia="en-US" w:bidi="ar-SA"/>
      </w:rPr>
    </w:lvl>
  </w:abstractNum>
  <w:abstractNum w:abstractNumId="3" w15:restartNumberingAfterBreak="0">
    <w:nsid w:val="465E4DB7"/>
    <w:multiLevelType w:val="hybridMultilevel"/>
    <w:tmpl w:val="7A18596E"/>
    <w:lvl w:ilvl="0" w:tplc="47E2F97A">
      <w:numFmt w:val="bullet"/>
      <w:lvlText w:val=""/>
      <w:lvlJc w:val="left"/>
      <w:pPr>
        <w:ind w:left="852" w:hanging="711"/>
      </w:pPr>
      <w:rPr>
        <w:rFonts w:ascii="Symbol" w:eastAsia="Symbol" w:hAnsi="Symbol" w:cs="Symbol" w:hint="default"/>
        <w:w w:val="95"/>
        <w:sz w:val="20"/>
        <w:szCs w:val="20"/>
        <w:lang w:val="en-US" w:eastAsia="en-US" w:bidi="ar-SA"/>
      </w:rPr>
    </w:lvl>
    <w:lvl w:ilvl="1" w:tplc="7E8C6708">
      <w:numFmt w:val="bullet"/>
      <w:lvlText w:val="•"/>
      <w:lvlJc w:val="left"/>
      <w:pPr>
        <w:ind w:left="1712" w:hanging="711"/>
      </w:pPr>
      <w:rPr>
        <w:rFonts w:hint="default"/>
        <w:lang w:val="en-US" w:eastAsia="en-US" w:bidi="ar-SA"/>
      </w:rPr>
    </w:lvl>
    <w:lvl w:ilvl="2" w:tplc="09267ABC">
      <w:numFmt w:val="bullet"/>
      <w:lvlText w:val="•"/>
      <w:lvlJc w:val="left"/>
      <w:pPr>
        <w:ind w:left="2564" w:hanging="711"/>
      </w:pPr>
      <w:rPr>
        <w:rFonts w:hint="default"/>
        <w:lang w:val="en-US" w:eastAsia="en-US" w:bidi="ar-SA"/>
      </w:rPr>
    </w:lvl>
    <w:lvl w:ilvl="3" w:tplc="15968FD2">
      <w:numFmt w:val="bullet"/>
      <w:lvlText w:val="•"/>
      <w:lvlJc w:val="left"/>
      <w:pPr>
        <w:ind w:left="3416" w:hanging="711"/>
      </w:pPr>
      <w:rPr>
        <w:rFonts w:hint="default"/>
        <w:lang w:val="en-US" w:eastAsia="en-US" w:bidi="ar-SA"/>
      </w:rPr>
    </w:lvl>
    <w:lvl w:ilvl="4" w:tplc="FDECEE42">
      <w:numFmt w:val="bullet"/>
      <w:lvlText w:val="•"/>
      <w:lvlJc w:val="left"/>
      <w:pPr>
        <w:ind w:left="4268" w:hanging="711"/>
      </w:pPr>
      <w:rPr>
        <w:rFonts w:hint="default"/>
        <w:lang w:val="en-US" w:eastAsia="en-US" w:bidi="ar-SA"/>
      </w:rPr>
    </w:lvl>
    <w:lvl w:ilvl="5" w:tplc="02FCC8FE">
      <w:numFmt w:val="bullet"/>
      <w:lvlText w:val="•"/>
      <w:lvlJc w:val="left"/>
      <w:pPr>
        <w:ind w:left="5120" w:hanging="711"/>
      </w:pPr>
      <w:rPr>
        <w:rFonts w:hint="default"/>
        <w:lang w:val="en-US" w:eastAsia="en-US" w:bidi="ar-SA"/>
      </w:rPr>
    </w:lvl>
    <w:lvl w:ilvl="6" w:tplc="36C80B44">
      <w:numFmt w:val="bullet"/>
      <w:lvlText w:val="•"/>
      <w:lvlJc w:val="left"/>
      <w:pPr>
        <w:ind w:left="5972" w:hanging="711"/>
      </w:pPr>
      <w:rPr>
        <w:rFonts w:hint="default"/>
        <w:lang w:val="en-US" w:eastAsia="en-US" w:bidi="ar-SA"/>
      </w:rPr>
    </w:lvl>
    <w:lvl w:ilvl="7" w:tplc="93FA4E46">
      <w:numFmt w:val="bullet"/>
      <w:lvlText w:val="•"/>
      <w:lvlJc w:val="left"/>
      <w:pPr>
        <w:ind w:left="6824" w:hanging="711"/>
      </w:pPr>
      <w:rPr>
        <w:rFonts w:hint="default"/>
        <w:lang w:val="en-US" w:eastAsia="en-US" w:bidi="ar-SA"/>
      </w:rPr>
    </w:lvl>
    <w:lvl w:ilvl="8" w:tplc="3CC49158">
      <w:numFmt w:val="bullet"/>
      <w:lvlText w:val="•"/>
      <w:lvlJc w:val="left"/>
      <w:pPr>
        <w:ind w:left="7676" w:hanging="711"/>
      </w:pPr>
      <w:rPr>
        <w:rFonts w:hint="default"/>
        <w:lang w:val="en-US" w:eastAsia="en-US" w:bidi="ar-SA"/>
      </w:rPr>
    </w:lvl>
  </w:abstractNum>
  <w:num w:numId="1">
    <w:abstractNumId w:val="2"/>
  </w:num>
  <w:num w:numId="2">
    <w:abstractNumId w:val="0"/>
  </w:num>
  <w:num w:numId="3">
    <w:abstractNumId w:val="3"/>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hyphenationZone w:val="425"/>
  <w:drawingGridHorizontalSpacing w:val="110"/>
  <w:displayHorizontalDrawingGridEvery w:val="2"/>
  <w:characterSpacingControl w:val="doNotCompress"/>
  <w:compat>
    <w:ulTrailSpace/>
    <w:shapeLayoutLikeWW8/>
    <w:compatSetting w:name="compatibilityMode" w:uri="http://schemas.microsoft.com/office/word" w:val="12"/>
  </w:compat>
  <w:rsids>
    <w:rsidRoot w:val="004726B5"/>
    <w:rsid w:val="0000686C"/>
    <w:rsid w:val="00255CE3"/>
    <w:rsid w:val="003653AB"/>
    <w:rsid w:val="00383B71"/>
    <w:rsid w:val="004726B5"/>
    <w:rsid w:val="00611906"/>
    <w:rsid w:val="007A138D"/>
    <w:rsid w:val="00895F82"/>
    <w:rsid w:val="00AC6EE2"/>
    <w:rsid w:val="00C64A83"/>
    <w:rsid w:val="00D83B4C"/>
    <w:rsid w:val="00E27170"/>
    <w:rsid w:val="00E30016"/>
    <w:rsid w:val="00F17100"/>
    <w:rsid w:val="00FB4F7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41"/>
    <o:shapelayout v:ext="edit">
      <o:idmap v:ext="edit" data="1"/>
    </o:shapelayout>
  </w:shapeDefaults>
  <w:decimalSymbol w:val=","/>
  <w:listSeparator w:val=";"/>
  <w14:docId w14:val="52812413"/>
  <w15:docId w15:val="{5E729364-8F49-4B91-A9AD-E5764F1C38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bg-BG"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rFonts w:ascii="Arial" w:eastAsia="Arial" w:hAnsi="Arial" w:cs="Arial"/>
    </w:rPr>
  </w:style>
  <w:style w:type="paragraph" w:styleId="Heading1">
    <w:name w:val="heading 1"/>
    <w:basedOn w:val="Normal"/>
    <w:uiPriority w:val="9"/>
    <w:qFormat/>
    <w:pPr>
      <w:ind w:left="900" w:right="528"/>
      <w:jc w:val="center"/>
      <w:outlineLvl w:val="0"/>
    </w:pPr>
    <w:rPr>
      <w:sz w:val="40"/>
      <w:szCs w:val="40"/>
    </w:rPr>
  </w:style>
  <w:style w:type="paragraph" w:styleId="Heading2">
    <w:name w:val="heading 2"/>
    <w:basedOn w:val="Normal"/>
    <w:uiPriority w:val="9"/>
    <w:unhideWhenUsed/>
    <w:qFormat/>
    <w:pPr>
      <w:spacing w:before="73"/>
      <w:ind w:left="116"/>
      <w:jc w:val="both"/>
      <w:outlineLvl w:val="1"/>
    </w:pPr>
    <w:rPr>
      <w:b/>
      <w:bCs/>
      <w:sz w:val="24"/>
      <w:szCs w:val="24"/>
    </w:rPr>
  </w:style>
  <w:style w:type="paragraph" w:styleId="Heading3">
    <w:name w:val="heading 3"/>
    <w:basedOn w:val="Normal"/>
    <w:uiPriority w:val="9"/>
    <w:unhideWhenUsed/>
    <w:qFormat/>
    <w:pPr>
      <w:ind w:left="676"/>
      <w:outlineLvl w:val="2"/>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0"/>
      <w:szCs w:val="20"/>
    </w:rPr>
  </w:style>
  <w:style w:type="paragraph" w:styleId="ListParagraph">
    <w:name w:val="List Paragraph"/>
    <w:basedOn w:val="Normal"/>
    <w:uiPriority w:val="1"/>
    <w:qFormat/>
    <w:pPr>
      <w:ind w:left="676"/>
      <w:jc w:val="both"/>
    </w:pPr>
  </w:style>
  <w:style w:type="paragraph" w:customStyle="1" w:styleId="TableParagraph">
    <w:name w:val="Table Paragraph"/>
    <w:basedOn w:val="Normal"/>
    <w:uiPriority w:val="1"/>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legalinstruments.oecd.org/" TargetMode="External"/><Relationship Id="rId5" Type="http://schemas.openxmlformats.org/officeDocument/2006/relationships/styles" Target="styles.xml"/><Relationship Id="rId10" Type="http://schemas.openxmlformats.org/officeDocument/2006/relationships/hyperlink" Target="http://legalinstruments.oecd.org/" TargetMode="External"/><Relationship Id="rId4" Type="http://schemas.openxmlformats.org/officeDocument/2006/relationships/numbering" Target="numbering.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Документ" ma:contentTypeID="0x010100FE37CB227E4C7849B4B894363CED3B18" ma:contentTypeVersion="12" ma:contentTypeDescription="Създаване на нов документ" ma:contentTypeScope="" ma:versionID="fe7b4f7cbc69a318508ed03415694e09">
  <xsd:schema xmlns:xsd="http://www.w3.org/2001/XMLSchema" xmlns:xs="http://www.w3.org/2001/XMLSchema" xmlns:p="http://schemas.microsoft.com/office/2006/metadata/properties" xmlns:ns2="1c2649c6-0f6a-432e-8083-5d1192364e9a" xmlns:ns3="5adc7b8d-49ae-46df-b2d3-cd95f9860e28" targetNamespace="http://schemas.microsoft.com/office/2006/metadata/properties" ma:root="true" ma:fieldsID="a31f7c45ecc6cfeccb12657c7b0545d3" ns2:_="" ns3:_="">
    <xsd:import namespace="1c2649c6-0f6a-432e-8083-5d1192364e9a"/>
    <xsd:import namespace="5adc7b8d-49ae-46df-b2d3-cd95f9860e28"/>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649c6-0f6a-432e-8083-5d1192364e9a" elementFormDefault="qualified">
    <xsd:import namespace="http://schemas.microsoft.com/office/2006/documentManagement/types"/>
    <xsd:import namespace="http://schemas.microsoft.com/office/infopath/2007/PartnerControls"/>
    <xsd:element name="SharedWithUsers" ma:index="8" nillable="true" ma:displayName="Споделено с"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Споделени с подробности"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adc7b8d-49ae-46df-b2d3-cd95f9860e28"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съдържание"/>
        <xsd:element ref="dc:title" minOccurs="0" maxOccurs="1" ma:index="4" ma:displayName="Заглав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369CCC4-640D-4F05-B086-8D3AECE75441}">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901B2AC2-0355-4617-8C03-9413DF13209F}">
  <ds:schemaRefs>
    <ds:schemaRef ds:uri="http://schemas.microsoft.com/sharepoint/v3/contenttype/forms"/>
  </ds:schemaRefs>
</ds:datastoreItem>
</file>

<file path=customXml/itemProps3.xml><?xml version="1.0" encoding="utf-8"?>
<ds:datastoreItem xmlns:ds="http://schemas.openxmlformats.org/officeDocument/2006/customXml" ds:itemID="{B5BE2D96-AD89-4003-B83E-0A3275C7756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649c6-0f6a-432e-8083-5d1192364e9a"/>
    <ds:schemaRef ds:uri="5adc7b8d-49ae-46df-b2d3-cd95f9860e2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22</TotalTime>
  <Pages>5</Pages>
  <Words>1244</Words>
  <Characters>7094</Characters>
  <Application>Microsoft Office Word</Application>
  <DocSecurity>0</DocSecurity>
  <Lines>59</Lines>
  <Paragraphs>16</Paragraphs>
  <ScaleCrop>false</ScaleCrop>
  <Company/>
  <LinksUpToDate>false</LinksUpToDate>
  <CharactersWithSpaces>8322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Kemal ERDOGAN</dc:creator>
  <cp:lastModifiedBy>Neli Mutafova</cp:lastModifiedBy>
  <cp:revision>14</cp:revision>
  <dcterms:created xsi:type="dcterms:W3CDTF">2022-01-19T08:08:00Z</dcterms:created>
  <dcterms:modified xsi:type="dcterms:W3CDTF">2022-02-03T08:40:00Z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2022-01-01T00:00:00Z</vt:filetime>
  </property>
  <property fmtid="{D5CDD505-2E9C-101B-9397-08002B2CF9AE}" pid="3" name="Creator">
    <vt:lpwstr>Microsoft® Word 2016</vt:lpwstr>
  </property>
  <property fmtid="{D5CDD505-2E9C-101B-9397-08002B2CF9AE}" pid="4" name="LastSaved">
    <vt:filetime>2022-01-19T00:00:00Z</vt:filetime>
  </property>
  <property fmtid="{D5CDD505-2E9C-101B-9397-08002B2CF9AE}" pid="5" name="ContentTypeId">
    <vt:lpwstr>0x010100FE37CB227E4C7849B4B894363CED3B18</vt:lpwstr>
  </property>
</Properties>
</file>