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3F04AF" w14:textId="77777777" w:rsidR="005412E7" w:rsidRDefault="00C0081B">
      <w:pPr>
        <w:pStyle w:val="BodyText"/>
        <w:rPr>
          <w:rFonts w:ascii="Times New Roman"/>
        </w:rPr>
      </w:pPr>
      <w:r>
        <w:pict w14:anchorId="243F05AA">
          <v:group id="_x0000_s2053" style="position:absolute;margin-left:-.5pt;margin-top:35.8pt;width:595.6pt;height:567.95pt;z-index:-15901184;mso-position-horizontal-relative:page;mso-position-vertical-relative:page" coordorigin="-10,716" coordsize="11912,11359">
            <v:shape id="_x0000_s2060" style="position:absolute;top:3316;width:9396;height:6273" coordorigin=",3316" coordsize="9396,6273" path="m,9589r5527,l9396,3316,,3316e" filled="f" strokecolor="#8dc53e" strokeweight="1pt">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9" type="#_x0000_t75" style="position:absolute;left:5242;top:5292;width:6660;height:6280">
              <v:imagedata r:id="rId10" o:title=""/>
            </v:shape>
            <v:shape id="_x0000_s2058" style="position:absolute;left:1204;top:11026;width:3651;height:396" coordorigin="1204,11026" coordsize="3651,396" path="m4855,11026r-3402,l1204,11422r3401,l4855,11026xe" fillcolor="#004674" stroked="f">
              <v:path arrowok="t"/>
            </v:shape>
            <v:shape id="_x0000_s2057" style="position:absolute;left:2108;top:716;width:7959;height:11359" coordorigin="2109,716" coordsize="7959,11359" o:spt="100" adj="0,,0" path="m2696,1661l2109,716r,601l2509,1962r187,-301xm9759,4506r-283,l4778,12075r279,l9759,4506xm10068,2551r-283,l4855,10502r283,l10068,2551xe" fillcolor="#8dc53e" stroked="f">
              <v:stroke joinstyle="round"/>
              <v:formulas/>
              <v:path arrowok="t" o:connecttype="segments"/>
            </v:shape>
            <v:shape id="_x0000_s2056" style="position:absolute;left:2109;top:1661;width:587;height:1546" coordorigin="2109,1661" coordsize="587,1546" path="m2696,1661r-587,945l2109,3207r587,-945l2696,1661xe" fillcolor="#6c6d70" stroked="f">
              <v:path arrowok="t"/>
            </v:shape>
            <v:shape id="_x0000_s2055" style="position:absolute;left:2720;top:716;width:587;height:1246" coordorigin="2720,716" coordsize="587,1246" path="m2720,716r,601l3120,1962r187,-301l2720,716xe" fillcolor="#8dc53e" stroked="f">
              <v:path arrowok="t"/>
            </v:shape>
            <v:shape id="_x0000_s2054" style="position:absolute;left:2720;top:1661;width:587;height:1546" coordorigin="2720,1661" coordsize="587,1546" path="m3307,1661r-587,945l2720,3207r587,-945l3307,1661xe" fillcolor="#6c6d70" stroked="f">
              <v:path arrowok="t"/>
            </v:shape>
            <w10:wrap anchorx="page" anchory="page"/>
          </v:group>
        </w:pict>
      </w:r>
    </w:p>
    <w:p w14:paraId="243F04B0" w14:textId="77777777" w:rsidR="005412E7" w:rsidRDefault="005412E7">
      <w:pPr>
        <w:pStyle w:val="BodyText"/>
        <w:rPr>
          <w:rFonts w:ascii="Times New Roman"/>
        </w:rPr>
      </w:pPr>
    </w:p>
    <w:p w14:paraId="243F04B1" w14:textId="77777777" w:rsidR="005412E7" w:rsidRDefault="005412E7">
      <w:pPr>
        <w:pStyle w:val="BodyText"/>
        <w:rPr>
          <w:rFonts w:ascii="Times New Roman"/>
        </w:rPr>
      </w:pPr>
    </w:p>
    <w:p w14:paraId="243F04B2" w14:textId="77777777" w:rsidR="005412E7" w:rsidRDefault="005412E7">
      <w:pPr>
        <w:pStyle w:val="BodyText"/>
        <w:rPr>
          <w:rFonts w:ascii="Times New Roman"/>
        </w:rPr>
      </w:pPr>
    </w:p>
    <w:p w14:paraId="243F04B3" w14:textId="77777777" w:rsidR="005412E7" w:rsidRDefault="005412E7">
      <w:pPr>
        <w:pStyle w:val="BodyText"/>
        <w:rPr>
          <w:rFonts w:ascii="Times New Roman"/>
        </w:rPr>
      </w:pPr>
    </w:p>
    <w:p w14:paraId="243F04B4" w14:textId="77777777" w:rsidR="005412E7" w:rsidRDefault="005412E7">
      <w:pPr>
        <w:pStyle w:val="BodyText"/>
        <w:rPr>
          <w:rFonts w:ascii="Times New Roman"/>
        </w:rPr>
      </w:pPr>
    </w:p>
    <w:p w14:paraId="243F04B5" w14:textId="77777777" w:rsidR="005412E7" w:rsidRDefault="005412E7">
      <w:pPr>
        <w:pStyle w:val="BodyText"/>
        <w:rPr>
          <w:rFonts w:ascii="Times New Roman"/>
        </w:rPr>
      </w:pPr>
    </w:p>
    <w:p w14:paraId="243F04B6" w14:textId="77777777" w:rsidR="005412E7" w:rsidRDefault="005412E7">
      <w:pPr>
        <w:pStyle w:val="BodyText"/>
        <w:rPr>
          <w:rFonts w:ascii="Times New Roman"/>
        </w:rPr>
      </w:pPr>
    </w:p>
    <w:p w14:paraId="243F04B7" w14:textId="77777777" w:rsidR="005412E7" w:rsidRDefault="005412E7">
      <w:pPr>
        <w:pStyle w:val="BodyText"/>
        <w:rPr>
          <w:rFonts w:ascii="Times New Roman"/>
        </w:rPr>
      </w:pPr>
    </w:p>
    <w:p w14:paraId="243F04B8" w14:textId="77777777" w:rsidR="005412E7" w:rsidRDefault="005412E7">
      <w:pPr>
        <w:pStyle w:val="BodyText"/>
        <w:rPr>
          <w:rFonts w:ascii="Times New Roman"/>
        </w:rPr>
      </w:pPr>
    </w:p>
    <w:p w14:paraId="243F04B9" w14:textId="77777777" w:rsidR="005412E7" w:rsidRDefault="005412E7">
      <w:pPr>
        <w:pStyle w:val="BodyText"/>
        <w:rPr>
          <w:rFonts w:ascii="Times New Roman"/>
        </w:rPr>
      </w:pPr>
    </w:p>
    <w:p w14:paraId="243F04BA" w14:textId="77777777" w:rsidR="005412E7" w:rsidRDefault="00602F65">
      <w:pPr>
        <w:pStyle w:val="Title"/>
        <w:spacing w:line="264" w:lineRule="auto"/>
      </w:pPr>
      <w:r>
        <w:rPr>
          <w:color w:val="57585B"/>
        </w:rPr>
        <w:t>Препоръка на Съвета за въглища и околна среда</w:t>
      </w:r>
    </w:p>
    <w:p w14:paraId="243F04BB" w14:textId="77777777" w:rsidR="005412E7" w:rsidRDefault="005412E7">
      <w:pPr>
        <w:pStyle w:val="BodyText"/>
      </w:pPr>
    </w:p>
    <w:p w14:paraId="243F04BC" w14:textId="77777777" w:rsidR="005412E7" w:rsidRDefault="005412E7">
      <w:pPr>
        <w:pStyle w:val="BodyText"/>
      </w:pPr>
    </w:p>
    <w:p w14:paraId="243F04BD" w14:textId="77777777" w:rsidR="005412E7" w:rsidRDefault="005412E7">
      <w:pPr>
        <w:pStyle w:val="BodyText"/>
      </w:pPr>
    </w:p>
    <w:p w14:paraId="243F04BE" w14:textId="77777777" w:rsidR="005412E7" w:rsidRDefault="005412E7">
      <w:pPr>
        <w:pStyle w:val="BodyText"/>
      </w:pPr>
    </w:p>
    <w:p w14:paraId="243F04BF" w14:textId="77777777" w:rsidR="005412E7" w:rsidRDefault="005412E7">
      <w:pPr>
        <w:pStyle w:val="BodyText"/>
      </w:pPr>
    </w:p>
    <w:p w14:paraId="243F04C0" w14:textId="77777777" w:rsidR="005412E7" w:rsidRDefault="005412E7">
      <w:pPr>
        <w:pStyle w:val="BodyText"/>
      </w:pPr>
    </w:p>
    <w:p w14:paraId="243F04C1" w14:textId="77777777" w:rsidR="005412E7" w:rsidRDefault="005412E7">
      <w:pPr>
        <w:pStyle w:val="BodyText"/>
      </w:pPr>
    </w:p>
    <w:p w14:paraId="243F04C2" w14:textId="77777777" w:rsidR="005412E7" w:rsidRDefault="005412E7">
      <w:pPr>
        <w:pStyle w:val="BodyText"/>
      </w:pPr>
    </w:p>
    <w:p w14:paraId="243F04C3" w14:textId="77777777" w:rsidR="005412E7" w:rsidRDefault="005412E7">
      <w:pPr>
        <w:pStyle w:val="BodyText"/>
      </w:pPr>
    </w:p>
    <w:p w14:paraId="243F04C4" w14:textId="77777777" w:rsidR="005412E7" w:rsidRDefault="005412E7">
      <w:pPr>
        <w:pStyle w:val="BodyText"/>
      </w:pPr>
    </w:p>
    <w:p w14:paraId="243F04C5" w14:textId="77777777" w:rsidR="005412E7" w:rsidRDefault="005412E7">
      <w:pPr>
        <w:pStyle w:val="BodyText"/>
      </w:pPr>
    </w:p>
    <w:p w14:paraId="243F04C6" w14:textId="77777777" w:rsidR="005412E7" w:rsidRDefault="005412E7">
      <w:pPr>
        <w:pStyle w:val="BodyText"/>
      </w:pPr>
    </w:p>
    <w:p w14:paraId="243F04C7" w14:textId="77777777" w:rsidR="005412E7" w:rsidRDefault="005412E7">
      <w:pPr>
        <w:pStyle w:val="BodyText"/>
      </w:pPr>
    </w:p>
    <w:p w14:paraId="243F04C8" w14:textId="77777777" w:rsidR="005412E7" w:rsidRDefault="005412E7">
      <w:pPr>
        <w:pStyle w:val="BodyText"/>
      </w:pPr>
    </w:p>
    <w:p w14:paraId="243F04C9" w14:textId="77777777" w:rsidR="005412E7" w:rsidRDefault="005412E7">
      <w:pPr>
        <w:pStyle w:val="BodyText"/>
      </w:pPr>
    </w:p>
    <w:p w14:paraId="243F04CA" w14:textId="77777777" w:rsidR="005412E7" w:rsidRDefault="005412E7">
      <w:pPr>
        <w:pStyle w:val="BodyText"/>
      </w:pPr>
    </w:p>
    <w:p w14:paraId="243F04CB" w14:textId="77777777" w:rsidR="005412E7" w:rsidRDefault="005412E7">
      <w:pPr>
        <w:pStyle w:val="BodyText"/>
      </w:pPr>
    </w:p>
    <w:p w14:paraId="243F04CC" w14:textId="77777777" w:rsidR="005412E7" w:rsidRDefault="005412E7">
      <w:pPr>
        <w:pStyle w:val="BodyText"/>
      </w:pPr>
    </w:p>
    <w:p w14:paraId="243F04CD" w14:textId="77777777" w:rsidR="005412E7" w:rsidRDefault="005412E7">
      <w:pPr>
        <w:pStyle w:val="BodyText"/>
      </w:pPr>
    </w:p>
    <w:p w14:paraId="243F04CE" w14:textId="77777777" w:rsidR="005412E7" w:rsidRDefault="005412E7">
      <w:pPr>
        <w:pStyle w:val="BodyText"/>
      </w:pPr>
    </w:p>
    <w:p w14:paraId="243F04CF" w14:textId="77777777" w:rsidR="005412E7" w:rsidRDefault="005412E7">
      <w:pPr>
        <w:pStyle w:val="BodyText"/>
      </w:pPr>
    </w:p>
    <w:p w14:paraId="243F04D0" w14:textId="77777777" w:rsidR="005412E7" w:rsidRDefault="005412E7">
      <w:pPr>
        <w:pStyle w:val="BodyText"/>
      </w:pPr>
    </w:p>
    <w:p w14:paraId="243F04D1" w14:textId="77777777" w:rsidR="005412E7" w:rsidRDefault="005412E7">
      <w:pPr>
        <w:pStyle w:val="BodyText"/>
      </w:pPr>
    </w:p>
    <w:p w14:paraId="243F04D2" w14:textId="77777777" w:rsidR="005412E7" w:rsidRDefault="005412E7">
      <w:pPr>
        <w:pStyle w:val="BodyText"/>
      </w:pPr>
    </w:p>
    <w:p w14:paraId="243F04D3" w14:textId="77777777" w:rsidR="005412E7" w:rsidRDefault="005412E7">
      <w:pPr>
        <w:pStyle w:val="BodyText"/>
      </w:pPr>
    </w:p>
    <w:p w14:paraId="243F04D4" w14:textId="77777777" w:rsidR="005412E7" w:rsidRDefault="005412E7">
      <w:pPr>
        <w:pStyle w:val="BodyText"/>
      </w:pPr>
    </w:p>
    <w:p w14:paraId="243F04D5" w14:textId="77777777" w:rsidR="005412E7" w:rsidRDefault="005412E7">
      <w:pPr>
        <w:pStyle w:val="BodyText"/>
      </w:pPr>
    </w:p>
    <w:p w14:paraId="243F04D6" w14:textId="77777777" w:rsidR="005412E7" w:rsidRDefault="005412E7">
      <w:pPr>
        <w:pStyle w:val="BodyText"/>
      </w:pPr>
    </w:p>
    <w:p w14:paraId="243F04D7" w14:textId="77777777" w:rsidR="005412E7" w:rsidRDefault="005412E7">
      <w:pPr>
        <w:pStyle w:val="BodyText"/>
      </w:pPr>
    </w:p>
    <w:p w14:paraId="243F04D8" w14:textId="77777777" w:rsidR="005412E7" w:rsidRDefault="005412E7">
      <w:pPr>
        <w:pStyle w:val="BodyText"/>
        <w:spacing w:before="8"/>
        <w:rPr>
          <w:sz w:val="19"/>
        </w:rPr>
      </w:pPr>
    </w:p>
    <w:p w14:paraId="243F04D9" w14:textId="77777777" w:rsidR="005412E7" w:rsidRDefault="00602F65" w:rsidP="008631C4">
      <w:pPr>
        <w:spacing w:before="142" w:line="204" w:lineRule="auto"/>
        <w:ind w:left="811" w:right="7088" w:hanging="811"/>
        <w:rPr>
          <w:rFonts w:ascii="Arial Black"/>
          <w:sz w:val="26"/>
        </w:rPr>
      </w:pPr>
      <w:r>
        <w:rPr>
          <w:rFonts w:ascii="Arial Black"/>
          <w:color w:val="004674"/>
          <w:sz w:val="26"/>
        </w:rPr>
        <w:t>Правни</w:t>
      </w:r>
      <w:r>
        <w:rPr>
          <w:rFonts w:ascii="Arial Black"/>
          <w:color w:val="004674"/>
          <w:sz w:val="26"/>
        </w:rPr>
        <w:t xml:space="preserve"> </w:t>
      </w:r>
      <w:r>
        <w:rPr>
          <w:rFonts w:ascii="Arial Black"/>
          <w:color w:val="004674"/>
          <w:sz w:val="26"/>
        </w:rPr>
        <w:t>инструменти</w:t>
      </w:r>
      <w:r>
        <w:rPr>
          <w:rFonts w:ascii="Arial Black"/>
          <w:color w:val="004674"/>
          <w:sz w:val="26"/>
        </w:rPr>
        <w:t xml:space="preserve"> </w:t>
      </w:r>
      <w:r>
        <w:rPr>
          <w:rFonts w:ascii="Arial Black"/>
          <w:color w:val="004674"/>
          <w:sz w:val="26"/>
        </w:rPr>
        <w:t>на</w:t>
      </w:r>
      <w:r>
        <w:rPr>
          <w:rFonts w:ascii="Arial Black"/>
          <w:color w:val="004674"/>
          <w:sz w:val="26"/>
        </w:rPr>
        <w:t xml:space="preserve"> </w:t>
      </w:r>
      <w:r>
        <w:rPr>
          <w:rFonts w:ascii="Arial Black"/>
          <w:color w:val="004674"/>
          <w:sz w:val="26"/>
        </w:rPr>
        <w:t>ОИСР</w:t>
      </w:r>
    </w:p>
    <w:p w14:paraId="243F04DA" w14:textId="77777777" w:rsidR="005412E7" w:rsidRDefault="005412E7">
      <w:pPr>
        <w:pStyle w:val="BodyText"/>
        <w:rPr>
          <w:rFonts w:ascii="Arial Black"/>
        </w:rPr>
      </w:pPr>
    </w:p>
    <w:p w14:paraId="243F04DB" w14:textId="77777777" w:rsidR="005412E7" w:rsidRDefault="005412E7">
      <w:pPr>
        <w:pStyle w:val="BodyText"/>
        <w:rPr>
          <w:rFonts w:ascii="Arial Black"/>
        </w:rPr>
      </w:pPr>
    </w:p>
    <w:p w14:paraId="243F04DC" w14:textId="77777777" w:rsidR="005412E7" w:rsidRDefault="005412E7">
      <w:pPr>
        <w:pStyle w:val="BodyText"/>
        <w:rPr>
          <w:rFonts w:ascii="Arial Black"/>
        </w:rPr>
      </w:pPr>
    </w:p>
    <w:p w14:paraId="243F04DD" w14:textId="77777777" w:rsidR="005412E7" w:rsidRDefault="005412E7">
      <w:pPr>
        <w:pStyle w:val="BodyText"/>
        <w:rPr>
          <w:rFonts w:ascii="Arial Black"/>
        </w:rPr>
      </w:pPr>
    </w:p>
    <w:p w14:paraId="243F04DE" w14:textId="77777777" w:rsidR="005412E7" w:rsidRDefault="005412E7">
      <w:pPr>
        <w:pStyle w:val="BodyText"/>
        <w:rPr>
          <w:rFonts w:ascii="Arial Black"/>
        </w:rPr>
      </w:pPr>
    </w:p>
    <w:p w14:paraId="243F04E3" w14:textId="77777777" w:rsidR="005412E7" w:rsidRDefault="005412E7">
      <w:pPr>
        <w:pStyle w:val="BodyText"/>
        <w:rPr>
          <w:rFonts w:ascii="Arial Black"/>
        </w:rPr>
      </w:pPr>
    </w:p>
    <w:p w14:paraId="243F04E4" w14:textId="77777777" w:rsidR="005412E7" w:rsidRDefault="00602F65">
      <w:pPr>
        <w:pStyle w:val="BodyText"/>
        <w:spacing w:before="7"/>
        <w:rPr>
          <w:rFonts w:ascii="Arial Black"/>
          <w:sz w:val="19"/>
        </w:rPr>
      </w:pPr>
      <w:r>
        <w:rPr>
          <w:noProof/>
        </w:rPr>
        <w:drawing>
          <wp:anchor distT="0" distB="0" distL="0" distR="0" simplePos="0" relativeHeight="251659264" behindDoc="0" locked="0" layoutInCell="1" allowOverlap="1" wp14:anchorId="243F05AB" wp14:editId="243F05AC">
            <wp:simplePos x="0" y="0"/>
            <wp:positionH relativeFrom="page">
              <wp:posOffset>5058409</wp:posOffset>
            </wp:positionH>
            <wp:positionV relativeFrom="paragraph">
              <wp:posOffset>199379</wp:posOffset>
            </wp:positionV>
            <wp:extent cx="2165036" cy="666750"/>
            <wp:effectExtent l="0" t="0" r="0" b="0"/>
            <wp:wrapTopAndBottom/>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1" cstate="print"/>
                    <a:stretch>
                      <a:fillRect/>
                    </a:stretch>
                  </pic:blipFill>
                  <pic:spPr>
                    <a:xfrm>
                      <a:off x="0" y="0"/>
                      <a:ext cx="2165036" cy="666750"/>
                    </a:xfrm>
                    <a:prstGeom prst="rect">
                      <a:avLst/>
                    </a:prstGeom>
                  </pic:spPr>
                </pic:pic>
              </a:graphicData>
            </a:graphic>
          </wp:anchor>
        </w:drawing>
      </w:r>
    </w:p>
    <w:p w14:paraId="243F04E5" w14:textId="77777777" w:rsidR="005412E7" w:rsidRDefault="005412E7">
      <w:pPr>
        <w:rPr>
          <w:rFonts w:ascii="Arial Black"/>
          <w:sz w:val="19"/>
        </w:rPr>
        <w:sectPr w:rsidR="005412E7">
          <w:type w:val="continuous"/>
          <w:pgSz w:w="11920" w:h="16850"/>
          <w:pgMar w:top="720" w:right="420" w:bottom="280" w:left="1680" w:header="720" w:footer="720" w:gutter="0"/>
          <w:cols w:space="720"/>
        </w:sectPr>
      </w:pPr>
    </w:p>
    <w:p w14:paraId="243F04E6" w14:textId="77777777" w:rsidR="005412E7" w:rsidRDefault="005412E7">
      <w:pPr>
        <w:pStyle w:val="BodyText"/>
        <w:rPr>
          <w:rFonts w:ascii="Arial Black"/>
        </w:rPr>
      </w:pPr>
    </w:p>
    <w:p w14:paraId="243F04E7" w14:textId="77777777" w:rsidR="005412E7" w:rsidRDefault="005412E7">
      <w:pPr>
        <w:pStyle w:val="BodyText"/>
        <w:rPr>
          <w:rFonts w:ascii="Arial Black"/>
        </w:rPr>
      </w:pPr>
    </w:p>
    <w:p w14:paraId="243F04E8" w14:textId="77777777" w:rsidR="005412E7" w:rsidRDefault="005412E7">
      <w:pPr>
        <w:pStyle w:val="BodyText"/>
        <w:rPr>
          <w:rFonts w:ascii="Arial Black"/>
        </w:rPr>
      </w:pPr>
    </w:p>
    <w:p w14:paraId="243F04E9" w14:textId="77777777" w:rsidR="005412E7" w:rsidRDefault="005412E7">
      <w:pPr>
        <w:pStyle w:val="BodyText"/>
        <w:rPr>
          <w:rFonts w:ascii="Arial Black"/>
        </w:rPr>
      </w:pPr>
    </w:p>
    <w:p w14:paraId="243F04EA" w14:textId="77777777" w:rsidR="005412E7" w:rsidRDefault="005412E7">
      <w:pPr>
        <w:pStyle w:val="BodyText"/>
        <w:rPr>
          <w:rFonts w:ascii="Arial Black"/>
        </w:rPr>
      </w:pPr>
    </w:p>
    <w:p w14:paraId="243F04EB" w14:textId="77777777" w:rsidR="005412E7" w:rsidRDefault="005412E7">
      <w:pPr>
        <w:pStyle w:val="BodyText"/>
        <w:spacing w:before="1"/>
        <w:rPr>
          <w:rFonts w:ascii="Arial Black"/>
          <w:sz w:val="22"/>
        </w:rPr>
      </w:pPr>
    </w:p>
    <w:p w14:paraId="243F04EC" w14:textId="77777777" w:rsidR="005412E7" w:rsidRDefault="00602F65">
      <w:pPr>
        <w:spacing w:before="94" w:line="242" w:lineRule="auto"/>
        <w:ind w:left="237" w:right="237"/>
        <w:jc w:val="both"/>
        <w:rPr>
          <w:sz w:val="18"/>
        </w:rPr>
      </w:pPr>
      <w:r>
        <w:rPr>
          <w:sz w:val="18"/>
        </w:rPr>
        <w:t>Този документ е публикуван под отговорността на генералния секретар на ОИСР. Той пресъздава правен инструмент на ОИСР и може да съдържа допълнителен материал. Изразените мнения и аргументите, използвани в допълнителния материал, не отразяват непременно официалните възгледи на страните-членки на ОИСР.</w:t>
      </w:r>
    </w:p>
    <w:p w14:paraId="243F04ED" w14:textId="77777777" w:rsidR="005412E7" w:rsidRDefault="005412E7">
      <w:pPr>
        <w:pStyle w:val="BodyText"/>
        <w:spacing w:before="10"/>
        <w:rPr>
          <w:sz w:val="15"/>
        </w:rPr>
      </w:pPr>
    </w:p>
    <w:p w14:paraId="243F04EE" w14:textId="77777777" w:rsidR="005412E7" w:rsidRDefault="00602F65">
      <w:pPr>
        <w:spacing w:line="242" w:lineRule="auto"/>
        <w:ind w:left="237" w:right="235"/>
        <w:jc w:val="both"/>
        <w:rPr>
          <w:sz w:val="18"/>
        </w:rPr>
      </w:pPr>
      <w:r>
        <w:rPr>
          <w:sz w:val="18"/>
        </w:rPr>
        <w:t>Този документ, както и всички данни и всяка карта, включени тук, не засягат статута или суверенитета върху която и да е територия, разграничаването на международни граници и наименованието на която и да е територия, град или област.</w:t>
      </w:r>
    </w:p>
    <w:p w14:paraId="243F04EF" w14:textId="77777777" w:rsidR="005412E7" w:rsidRDefault="005412E7">
      <w:pPr>
        <w:pStyle w:val="BodyText"/>
      </w:pPr>
    </w:p>
    <w:p w14:paraId="243F04F0" w14:textId="77777777" w:rsidR="005412E7" w:rsidRDefault="005412E7">
      <w:pPr>
        <w:pStyle w:val="BodyText"/>
      </w:pPr>
    </w:p>
    <w:p w14:paraId="243F04F1" w14:textId="77777777" w:rsidR="005412E7" w:rsidRDefault="005412E7">
      <w:pPr>
        <w:pStyle w:val="BodyText"/>
      </w:pPr>
    </w:p>
    <w:p w14:paraId="243F04F2" w14:textId="77777777" w:rsidR="005412E7" w:rsidRDefault="005412E7">
      <w:pPr>
        <w:pStyle w:val="BodyText"/>
      </w:pPr>
    </w:p>
    <w:p w14:paraId="243F04F3" w14:textId="77777777" w:rsidR="005412E7" w:rsidRDefault="005412E7">
      <w:pPr>
        <w:pStyle w:val="BodyText"/>
      </w:pPr>
    </w:p>
    <w:p w14:paraId="243F04F4" w14:textId="77777777" w:rsidR="005412E7" w:rsidRDefault="005412E7">
      <w:pPr>
        <w:pStyle w:val="BodyText"/>
      </w:pPr>
    </w:p>
    <w:p w14:paraId="243F04F5" w14:textId="77777777" w:rsidR="005412E7" w:rsidRDefault="005412E7">
      <w:pPr>
        <w:pStyle w:val="BodyText"/>
      </w:pPr>
    </w:p>
    <w:p w14:paraId="243F04F6" w14:textId="77777777" w:rsidR="005412E7" w:rsidRDefault="005412E7">
      <w:pPr>
        <w:pStyle w:val="BodyText"/>
      </w:pPr>
    </w:p>
    <w:p w14:paraId="243F04F7" w14:textId="77777777" w:rsidR="005412E7" w:rsidRDefault="005412E7">
      <w:pPr>
        <w:pStyle w:val="BodyText"/>
      </w:pPr>
    </w:p>
    <w:p w14:paraId="243F04F8" w14:textId="77777777" w:rsidR="005412E7" w:rsidRDefault="005412E7">
      <w:pPr>
        <w:pStyle w:val="BodyText"/>
      </w:pPr>
    </w:p>
    <w:p w14:paraId="243F04F9" w14:textId="77777777" w:rsidR="005412E7" w:rsidRDefault="005412E7">
      <w:pPr>
        <w:pStyle w:val="BodyText"/>
      </w:pPr>
    </w:p>
    <w:p w14:paraId="243F04FA" w14:textId="77777777" w:rsidR="005412E7" w:rsidRDefault="005412E7">
      <w:pPr>
        <w:pStyle w:val="BodyText"/>
      </w:pPr>
    </w:p>
    <w:p w14:paraId="243F04FB" w14:textId="77777777" w:rsidR="005412E7" w:rsidRDefault="005412E7">
      <w:pPr>
        <w:pStyle w:val="BodyText"/>
      </w:pPr>
    </w:p>
    <w:p w14:paraId="243F04FC" w14:textId="77777777" w:rsidR="005412E7" w:rsidRDefault="005412E7">
      <w:pPr>
        <w:pStyle w:val="BodyText"/>
      </w:pPr>
    </w:p>
    <w:p w14:paraId="243F04FD" w14:textId="77777777" w:rsidR="005412E7" w:rsidRDefault="005412E7">
      <w:pPr>
        <w:pStyle w:val="BodyText"/>
      </w:pPr>
    </w:p>
    <w:p w14:paraId="243F04FE" w14:textId="77777777" w:rsidR="005412E7" w:rsidRDefault="005412E7">
      <w:pPr>
        <w:pStyle w:val="BodyText"/>
      </w:pPr>
    </w:p>
    <w:p w14:paraId="243F04FF" w14:textId="77777777" w:rsidR="005412E7" w:rsidRDefault="005412E7">
      <w:pPr>
        <w:pStyle w:val="BodyText"/>
      </w:pPr>
    </w:p>
    <w:p w14:paraId="243F0500" w14:textId="77777777" w:rsidR="005412E7" w:rsidRDefault="005412E7">
      <w:pPr>
        <w:pStyle w:val="BodyText"/>
      </w:pPr>
    </w:p>
    <w:p w14:paraId="243F0501" w14:textId="77777777" w:rsidR="005412E7" w:rsidRDefault="005412E7">
      <w:pPr>
        <w:pStyle w:val="BodyText"/>
      </w:pPr>
    </w:p>
    <w:p w14:paraId="243F0502" w14:textId="77777777" w:rsidR="005412E7" w:rsidRDefault="005412E7">
      <w:pPr>
        <w:pStyle w:val="BodyText"/>
      </w:pPr>
    </w:p>
    <w:p w14:paraId="243F0503" w14:textId="77777777" w:rsidR="005412E7" w:rsidRDefault="005412E7">
      <w:pPr>
        <w:pStyle w:val="BodyText"/>
      </w:pPr>
    </w:p>
    <w:p w14:paraId="243F0504" w14:textId="77777777" w:rsidR="005412E7" w:rsidRDefault="005412E7">
      <w:pPr>
        <w:pStyle w:val="BodyText"/>
      </w:pPr>
    </w:p>
    <w:p w14:paraId="243F0505" w14:textId="77777777" w:rsidR="005412E7" w:rsidRDefault="005412E7">
      <w:pPr>
        <w:pStyle w:val="BodyText"/>
      </w:pPr>
    </w:p>
    <w:p w14:paraId="243F0506" w14:textId="77777777" w:rsidR="005412E7" w:rsidRDefault="005412E7">
      <w:pPr>
        <w:pStyle w:val="BodyText"/>
      </w:pPr>
    </w:p>
    <w:p w14:paraId="243F0507" w14:textId="77777777" w:rsidR="005412E7" w:rsidRDefault="005412E7">
      <w:pPr>
        <w:pStyle w:val="BodyText"/>
      </w:pPr>
    </w:p>
    <w:p w14:paraId="243F0508" w14:textId="77777777" w:rsidR="005412E7" w:rsidRDefault="005412E7">
      <w:pPr>
        <w:pStyle w:val="BodyText"/>
      </w:pPr>
    </w:p>
    <w:p w14:paraId="243F0509" w14:textId="77777777" w:rsidR="005412E7" w:rsidRDefault="005412E7">
      <w:pPr>
        <w:pStyle w:val="BodyText"/>
      </w:pPr>
    </w:p>
    <w:p w14:paraId="243F050A" w14:textId="77777777" w:rsidR="005412E7" w:rsidRDefault="005412E7">
      <w:pPr>
        <w:pStyle w:val="BodyText"/>
      </w:pPr>
    </w:p>
    <w:p w14:paraId="243F050B" w14:textId="77777777" w:rsidR="005412E7" w:rsidRDefault="005412E7">
      <w:pPr>
        <w:pStyle w:val="BodyText"/>
        <w:spacing w:before="4"/>
      </w:pPr>
    </w:p>
    <w:p w14:paraId="243F050C" w14:textId="77777777" w:rsidR="005412E7" w:rsidRDefault="00602F65">
      <w:pPr>
        <w:spacing w:line="242" w:lineRule="auto"/>
        <w:ind w:left="237"/>
        <w:rPr>
          <w:sz w:val="18"/>
        </w:rPr>
      </w:pPr>
      <w:r>
        <w:rPr>
          <w:sz w:val="18"/>
        </w:rPr>
        <w:t>За достъп до официалните и актуални текстове на правните инструменти на ОИСР, както и друга свързана информация, моля, направете справка със Сборника на правните инструменти на ОИСР на</w:t>
      </w:r>
      <w:r>
        <w:t xml:space="preserve"> </w:t>
      </w:r>
      <w:hyperlink r:id="rId12">
        <w:r>
          <w:rPr>
            <w:color w:val="0000ED"/>
            <w:sz w:val="18"/>
            <w:u w:val="single" w:color="0000ED"/>
          </w:rPr>
          <w:t>http://legalinstruments.oecd.org</w:t>
        </w:r>
      </w:hyperlink>
      <w:r>
        <w:t xml:space="preserve"> </w:t>
      </w:r>
      <w:r>
        <w:rPr>
          <w:sz w:val="18"/>
        </w:rPr>
        <w:t>.</w:t>
      </w:r>
    </w:p>
    <w:p w14:paraId="243F050D" w14:textId="77777777" w:rsidR="005412E7" w:rsidRDefault="00C0081B">
      <w:pPr>
        <w:pStyle w:val="BodyText"/>
        <w:rPr>
          <w:sz w:val="14"/>
        </w:rPr>
      </w:pPr>
      <w:r>
        <w:pict w14:anchorId="243F05AE">
          <v:shapetype id="_x0000_t202" coordsize="21600,21600" o:spt="202" path="m,l,21600r21600,l21600,xe">
            <v:stroke joinstyle="miter"/>
            <v:path gradientshapeok="t" o:connecttype="rect"/>
          </v:shapetype>
          <v:shape id="_x0000_s2052" type="#_x0000_t202" style="position:absolute;margin-left:76.85pt;margin-top:9.3pt;width:441.5pt;height:21.5pt;z-index:-15727616;mso-wrap-distance-left:0;mso-wrap-distance-right:0;mso-position-horizontal-relative:page" fillcolor="#dcd8c2" stroked="f">
            <v:textbox inset="0,0,0,0">
              <w:txbxContent>
                <w:p w14:paraId="243F05B8" w14:textId="77777777" w:rsidR="005412E7" w:rsidRDefault="00602F65">
                  <w:pPr>
                    <w:spacing w:before="1"/>
                    <w:rPr>
                      <w:b/>
                      <w:sz w:val="18"/>
                    </w:rPr>
                  </w:pPr>
                  <w:r>
                    <w:rPr>
                      <w:b/>
                      <w:sz w:val="18"/>
                    </w:rPr>
                    <w:t>Моля, цитирайте този документ като:</w:t>
                  </w:r>
                </w:p>
                <w:p w14:paraId="243F05B9" w14:textId="77777777" w:rsidR="005412E7" w:rsidRDefault="00602F65">
                  <w:pPr>
                    <w:spacing w:before="8"/>
                    <w:rPr>
                      <w:sz w:val="18"/>
                    </w:rPr>
                  </w:pPr>
                  <w:r>
                    <w:rPr>
                      <w:sz w:val="18"/>
                    </w:rPr>
                    <w:t xml:space="preserve">ОИСР, </w:t>
                  </w:r>
                  <w:r>
                    <w:rPr>
                      <w:i/>
                      <w:sz w:val="18"/>
                    </w:rPr>
                    <w:t>Препоръка на Съвета за въглища и околна среда</w:t>
                  </w:r>
                  <w:r>
                    <w:rPr>
                      <w:sz w:val="18"/>
                    </w:rPr>
                    <w:t>, OECD/LEGAL/0173</w:t>
                  </w:r>
                </w:p>
              </w:txbxContent>
            </v:textbox>
            <w10:wrap type="topAndBottom" anchorx="page"/>
          </v:shape>
        </w:pict>
      </w:r>
    </w:p>
    <w:p w14:paraId="243F050E" w14:textId="77777777" w:rsidR="005412E7" w:rsidRDefault="005412E7">
      <w:pPr>
        <w:pStyle w:val="BodyText"/>
        <w:rPr>
          <w:sz w:val="15"/>
        </w:rPr>
      </w:pPr>
    </w:p>
    <w:p w14:paraId="243F050F" w14:textId="77777777" w:rsidR="005412E7" w:rsidRDefault="00602F65">
      <w:pPr>
        <w:spacing w:before="96"/>
        <w:ind w:left="237"/>
        <w:jc w:val="both"/>
        <w:rPr>
          <w:sz w:val="14"/>
        </w:rPr>
      </w:pPr>
      <w:r>
        <w:rPr>
          <w:sz w:val="14"/>
        </w:rPr>
        <w:t>Серия: Правни инструменти на ОИСР</w:t>
      </w:r>
    </w:p>
    <w:p w14:paraId="243F0510" w14:textId="77777777" w:rsidR="005412E7" w:rsidRDefault="005412E7">
      <w:pPr>
        <w:pStyle w:val="BodyText"/>
        <w:rPr>
          <w:sz w:val="16"/>
        </w:rPr>
      </w:pPr>
    </w:p>
    <w:p w14:paraId="243F0511" w14:textId="77777777" w:rsidR="005412E7" w:rsidRDefault="005412E7">
      <w:pPr>
        <w:pStyle w:val="BodyText"/>
        <w:rPr>
          <w:sz w:val="16"/>
        </w:rPr>
      </w:pPr>
    </w:p>
    <w:p w14:paraId="243F0512" w14:textId="77777777" w:rsidR="005412E7" w:rsidRDefault="005412E7">
      <w:pPr>
        <w:pStyle w:val="BodyText"/>
        <w:spacing w:before="3"/>
        <w:rPr>
          <w:sz w:val="17"/>
        </w:rPr>
      </w:pPr>
    </w:p>
    <w:p w14:paraId="243F0513" w14:textId="77777777" w:rsidR="005412E7" w:rsidRDefault="00602F65">
      <w:pPr>
        <w:ind w:left="237"/>
        <w:jc w:val="both"/>
        <w:rPr>
          <w:sz w:val="18"/>
        </w:rPr>
      </w:pPr>
      <w:r>
        <w:rPr>
          <w:sz w:val="18"/>
        </w:rPr>
        <w:t>© ОИСР 2022</w:t>
      </w:r>
    </w:p>
    <w:p w14:paraId="243F0514" w14:textId="77777777" w:rsidR="005412E7" w:rsidRDefault="00C0081B">
      <w:pPr>
        <w:pStyle w:val="BodyText"/>
        <w:rPr>
          <w:sz w:val="22"/>
        </w:rPr>
      </w:pPr>
      <w:r>
        <w:pict w14:anchorId="243F05AF">
          <v:rect id="_x0000_s2051" style="position:absolute;margin-left:76.85pt;margin-top:14.6pt;width:441.5pt;height:.5pt;z-index:-15727104;mso-wrap-distance-left:0;mso-wrap-distance-right:0;mso-position-horizontal-relative:page" fillcolor="black" stroked="f">
            <w10:wrap type="topAndBottom" anchorx="page"/>
          </v:rect>
        </w:pict>
      </w:r>
    </w:p>
    <w:p w14:paraId="243F0515" w14:textId="77777777" w:rsidR="005412E7" w:rsidRDefault="00602F65">
      <w:pPr>
        <w:spacing w:before="83" w:line="242" w:lineRule="auto"/>
        <w:ind w:left="237" w:right="241"/>
        <w:jc w:val="both"/>
        <w:rPr>
          <w:sz w:val="12"/>
        </w:rPr>
      </w:pPr>
      <w:r>
        <w:rPr>
          <w:sz w:val="12"/>
        </w:rPr>
        <w:t>Този документ се предоставя безплатно. Може да се възпроизвежда и разпространява безплатно, без да се изискват допълнителни разрешения, стига да не се променя по никакъв начин. Не може да се продава.</w:t>
      </w:r>
    </w:p>
    <w:p w14:paraId="243F0516" w14:textId="77777777" w:rsidR="005412E7" w:rsidRDefault="005412E7">
      <w:pPr>
        <w:pStyle w:val="BodyText"/>
        <w:spacing w:before="6"/>
        <w:rPr>
          <w:sz w:val="10"/>
        </w:rPr>
      </w:pPr>
    </w:p>
    <w:p w14:paraId="243F0517" w14:textId="77777777" w:rsidR="005412E7" w:rsidRDefault="00C0081B">
      <w:pPr>
        <w:spacing w:line="252" w:lineRule="auto"/>
        <w:ind w:left="237" w:right="237"/>
        <w:jc w:val="both"/>
        <w:rPr>
          <w:i/>
          <w:sz w:val="12"/>
        </w:rPr>
      </w:pPr>
      <w:r>
        <w:pict w14:anchorId="243F05B0">
          <v:rect id="_x0000_s2050" style="position:absolute;left:0;text-align:left;margin-left:76.85pt;margin-top:35.15pt;width:441.5pt;height:.5pt;z-index:-15726592;mso-wrap-distance-left:0;mso-wrap-distance-right:0;mso-position-horizontal-relative:page" fillcolor="black" stroked="f">
            <w10:wrap type="topAndBottom" anchorx="page"/>
          </v:rect>
        </w:pict>
      </w:r>
      <w:r w:rsidR="00602F65">
        <w:rPr>
          <w:sz w:val="12"/>
        </w:rPr>
        <w:t xml:space="preserve">Този документ е достъпен на двата официални езика на ОИСР (английски и френски). Може да бъде преведен на други езици, стига преводът да е обозначен като „неофициален превод“ и да включва следната декларация за отказ от отговорност: </w:t>
      </w:r>
      <w:r w:rsidR="00602F65">
        <w:rPr>
          <w:i/>
          <w:sz w:val="12"/>
        </w:rPr>
        <w:t>„Този превод е изготвен от [ИМЕ НА АВТОРА НА ПРЕВОДА] само с информационна цел и неговата точност не може да бъде гарантирана от ОИСР. Единствените официални версии са английските и френските текстове, достъпни на уебсайта на ОИСР</w:t>
      </w:r>
      <w:r w:rsidR="00602F65">
        <w:t xml:space="preserve"> </w:t>
      </w:r>
      <w:hyperlink r:id="rId13">
        <w:r w:rsidR="00602F65">
          <w:rPr>
            <w:i/>
            <w:color w:val="0000ED"/>
            <w:sz w:val="12"/>
            <w:u w:val="single" w:color="0000ED"/>
          </w:rPr>
          <w:t>http://legalinstruments.oecd.org</w:t>
        </w:r>
      </w:hyperlink>
      <w:r w:rsidR="00602F65">
        <w:t xml:space="preserve"> </w:t>
      </w:r>
      <w:r w:rsidR="00602F65">
        <w:rPr>
          <w:i/>
          <w:sz w:val="12"/>
        </w:rPr>
        <w:t>"</w:t>
      </w:r>
    </w:p>
    <w:p w14:paraId="243F0518" w14:textId="77777777" w:rsidR="005412E7" w:rsidRDefault="005412E7">
      <w:pPr>
        <w:spacing w:line="252" w:lineRule="auto"/>
        <w:jc w:val="both"/>
        <w:rPr>
          <w:sz w:val="12"/>
        </w:rPr>
        <w:sectPr w:rsidR="005412E7">
          <w:pgSz w:w="11910" w:h="16840"/>
          <w:pgMar w:top="1580" w:right="1299" w:bottom="280" w:left="1300" w:header="720" w:footer="720" w:gutter="0"/>
          <w:cols w:space="720"/>
        </w:sectPr>
      </w:pPr>
    </w:p>
    <w:p w14:paraId="243F0519" w14:textId="77777777" w:rsidR="005412E7" w:rsidRDefault="00602F65">
      <w:pPr>
        <w:pStyle w:val="Heading1"/>
        <w:spacing w:before="98"/>
        <w:ind w:left="237"/>
      </w:pPr>
      <w:r>
        <w:rPr>
          <w:color w:val="1E487C"/>
        </w:rPr>
        <w:lastRenderedPageBreak/>
        <w:t>Обща информация</w:t>
      </w:r>
    </w:p>
    <w:p w14:paraId="243F051A" w14:textId="77777777" w:rsidR="005412E7" w:rsidRDefault="005412E7">
      <w:pPr>
        <w:pStyle w:val="BodyText"/>
        <w:rPr>
          <w:b/>
          <w:sz w:val="26"/>
        </w:rPr>
      </w:pPr>
    </w:p>
    <w:p w14:paraId="243F051B" w14:textId="77777777" w:rsidR="005412E7" w:rsidRDefault="005412E7">
      <w:pPr>
        <w:pStyle w:val="BodyText"/>
        <w:spacing w:before="2"/>
        <w:rPr>
          <w:b/>
          <w:sz w:val="23"/>
        </w:rPr>
      </w:pPr>
    </w:p>
    <w:p w14:paraId="243F051C" w14:textId="77777777" w:rsidR="005412E7" w:rsidRDefault="00602F65">
      <w:pPr>
        <w:pStyle w:val="BodyText"/>
        <w:spacing w:before="1"/>
        <w:ind w:left="237" w:right="235"/>
        <w:jc w:val="both"/>
      </w:pPr>
      <w:r>
        <w:t>Препоръката за въглища и околна среда е приета от Съвета на ОИСР на 8 май 1979 г. по предложение на Комитета по околна среда (сега наричан Комитет по екологична политика). Препоръката съветва присъединилите се страни, при разработването на политики за разширено използване на въглища, да разработят или подобрят мерките за опазване на околната среда и контрол, които да влизат в сила от етапа на планиране и изготвяне на политики, за да постигнат интегрирани политики за околната среда и енергетиката.</w:t>
      </w:r>
    </w:p>
    <w:p w14:paraId="243F051D" w14:textId="77777777" w:rsidR="005412E7" w:rsidRDefault="005412E7">
      <w:pPr>
        <w:jc w:val="both"/>
        <w:sectPr w:rsidR="005412E7">
          <w:headerReference w:type="even" r:id="rId14"/>
          <w:headerReference w:type="default" r:id="rId15"/>
          <w:pgSz w:w="11910" w:h="16840"/>
          <w:pgMar w:top="1320" w:right="1299" w:bottom="280" w:left="1300" w:header="849" w:footer="0" w:gutter="0"/>
          <w:pgNumType w:start="3"/>
          <w:cols w:space="720"/>
        </w:sectPr>
      </w:pPr>
    </w:p>
    <w:p w14:paraId="243F051E" w14:textId="77777777" w:rsidR="005412E7" w:rsidRDefault="00602F65">
      <w:pPr>
        <w:pStyle w:val="Heading2"/>
        <w:spacing w:before="88"/>
        <w:ind w:left="116" w:firstLine="0"/>
        <w:jc w:val="both"/>
        <w:rPr>
          <w:b w:val="0"/>
        </w:rPr>
      </w:pPr>
      <w:r>
        <w:lastRenderedPageBreak/>
        <w:t>СЪВЕТЪТ</w:t>
      </w:r>
      <w:r>
        <w:rPr>
          <w:b w:val="0"/>
        </w:rPr>
        <w:t>,</w:t>
      </w:r>
    </w:p>
    <w:p w14:paraId="243F051F" w14:textId="77777777" w:rsidR="005412E7" w:rsidRDefault="005412E7">
      <w:pPr>
        <w:pStyle w:val="BodyText"/>
        <w:spacing w:before="11"/>
      </w:pPr>
    </w:p>
    <w:p w14:paraId="243F0520" w14:textId="77777777" w:rsidR="005412E7" w:rsidRDefault="00602F65">
      <w:pPr>
        <w:pStyle w:val="BodyText"/>
        <w:spacing w:line="242" w:lineRule="auto"/>
        <w:ind w:left="116" w:right="114"/>
        <w:jc w:val="both"/>
      </w:pPr>
      <w:r>
        <w:rPr>
          <w:b/>
        </w:rPr>
        <w:t>КАТО ВЗЕ ПРЕДВИД</w:t>
      </w:r>
      <w:r>
        <w:t xml:space="preserve"> член 5б) от Конвенцията за Организацията за икономическо сътрудничество и развитие от 14 декември 1960 г.;</w:t>
      </w:r>
    </w:p>
    <w:p w14:paraId="243F0521" w14:textId="77777777" w:rsidR="005412E7" w:rsidRDefault="005412E7">
      <w:pPr>
        <w:pStyle w:val="BodyText"/>
        <w:spacing w:before="6"/>
      </w:pPr>
    </w:p>
    <w:p w14:paraId="243F0522" w14:textId="77777777" w:rsidR="005412E7" w:rsidRDefault="00602F65">
      <w:pPr>
        <w:pStyle w:val="BodyText"/>
        <w:spacing w:line="242" w:lineRule="auto"/>
        <w:ind w:left="116" w:right="118"/>
        <w:jc w:val="both"/>
      </w:pPr>
      <w:r>
        <w:rPr>
          <w:b/>
        </w:rPr>
        <w:t>КАТО ВЗЕ ПРЕДВИД</w:t>
      </w:r>
      <w:r>
        <w:t xml:space="preserve"> Препоръката на Съвета от 26 май 1972 г. относно ръководните принципи за международните икономически аспекти на политиките в областта на околната среда [C(72)128];</w:t>
      </w:r>
    </w:p>
    <w:p w14:paraId="243F0523" w14:textId="77777777" w:rsidR="005412E7" w:rsidRDefault="005412E7">
      <w:pPr>
        <w:pStyle w:val="BodyText"/>
        <w:spacing w:before="4"/>
      </w:pPr>
    </w:p>
    <w:p w14:paraId="243F0524" w14:textId="77777777" w:rsidR="005412E7" w:rsidRDefault="00602F65">
      <w:pPr>
        <w:pStyle w:val="BodyText"/>
        <w:spacing w:line="242" w:lineRule="auto"/>
        <w:ind w:left="116" w:right="116"/>
        <w:jc w:val="both"/>
      </w:pPr>
      <w:r>
        <w:rPr>
          <w:b/>
        </w:rPr>
        <w:t>КАТО ВЗЕ ПРЕДВИД</w:t>
      </w:r>
      <w:r>
        <w:t xml:space="preserve"> Препоръката на Съвета от 18 юни 1974 г. относно Насоки за действие за намаляване на емисиите на серни оксиди и прахови частици от изгаряне на гориво в стационарни източници [C(74)16(Final)];</w:t>
      </w:r>
    </w:p>
    <w:p w14:paraId="243F0525" w14:textId="77777777" w:rsidR="005412E7" w:rsidRDefault="005412E7">
      <w:pPr>
        <w:pStyle w:val="BodyText"/>
        <w:spacing w:before="4"/>
      </w:pPr>
    </w:p>
    <w:p w14:paraId="243F0526" w14:textId="77777777" w:rsidR="005412E7" w:rsidRDefault="00602F65">
      <w:pPr>
        <w:pStyle w:val="BodyText"/>
        <w:spacing w:line="242" w:lineRule="auto"/>
        <w:ind w:left="116" w:right="118"/>
        <w:jc w:val="both"/>
      </w:pPr>
      <w:r>
        <w:rPr>
          <w:b/>
        </w:rPr>
        <w:t>КАТО ВЗЕ ПРЕДВИД</w:t>
      </w:r>
      <w:r>
        <w:t xml:space="preserve"> Препоръката на Съвета от 14 ноември 1974 г. относно мерките, необходими за по-нататъшен контрол на замърсяването на въздуха [C(74)219];</w:t>
      </w:r>
    </w:p>
    <w:p w14:paraId="243F0527" w14:textId="77777777" w:rsidR="005412E7" w:rsidRDefault="005412E7">
      <w:pPr>
        <w:pStyle w:val="BodyText"/>
        <w:spacing w:before="4"/>
      </w:pPr>
    </w:p>
    <w:p w14:paraId="243F0528" w14:textId="77777777" w:rsidR="005412E7" w:rsidRDefault="00602F65">
      <w:pPr>
        <w:pStyle w:val="BodyText"/>
        <w:spacing w:line="242" w:lineRule="auto"/>
        <w:ind w:left="116" w:right="117"/>
        <w:jc w:val="both"/>
      </w:pPr>
      <w:r>
        <w:rPr>
          <w:b/>
        </w:rPr>
        <w:t>КАТО ВЗЕ ПРЕДВИД</w:t>
      </w:r>
      <w:r>
        <w:t xml:space="preserve"> Препоръката на Съвета от 14 ноември 1974 г. относно енергията и околната среда [C(74)222];</w:t>
      </w:r>
    </w:p>
    <w:p w14:paraId="243F0529" w14:textId="77777777" w:rsidR="005412E7" w:rsidRDefault="005412E7">
      <w:pPr>
        <w:pStyle w:val="BodyText"/>
        <w:spacing w:before="7"/>
      </w:pPr>
    </w:p>
    <w:p w14:paraId="243F052A" w14:textId="77777777" w:rsidR="005412E7" w:rsidRDefault="00602F65">
      <w:pPr>
        <w:pStyle w:val="BodyText"/>
        <w:spacing w:line="242" w:lineRule="auto"/>
        <w:ind w:left="116" w:right="117"/>
        <w:jc w:val="both"/>
      </w:pPr>
      <w:r>
        <w:rPr>
          <w:b/>
        </w:rPr>
        <w:t>КАТО ВЗЕ ПРЕДВИД</w:t>
      </w:r>
      <w:r>
        <w:t xml:space="preserve"> Препоръката на Съвета от 14 ноември 1974 г. относно прилагането на принципа „замърсителят плаща“ [C(74)223];</w:t>
      </w:r>
    </w:p>
    <w:p w14:paraId="243F052B" w14:textId="77777777" w:rsidR="005412E7" w:rsidRDefault="005412E7">
      <w:pPr>
        <w:pStyle w:val="BodyText"/>
        <w:spacing w:before="6"/>
      </w:pPr>
    </w:p>
    <w:p w14:paraId="243F052C" w14:textId="77777777" w:rsidR="005412E7" w:rsidRDefault="00602F65">
      <w:pPr>
        <w:pStyle w:val="BodyText"/>
        <w:spacing w:line="242" w:lineRule="auto"/>
        <w:ind w:left="116" w:right="118"/>
        <w:jc w:val="both"/>
      </w:pPr>
      <w:r>
        <w:rPr>
          <w:b/>
        </w:rPr>
        <w:t>КАТО ВЗЕ ПРЕДВИД</w:t>
      </w:r>
      <w:r>
        <w:t xml:space="preserve"> Препоръката на Съвета от 12 октомври 1976 г. относно намаляването на въздействието върху околната среда от производството и използването на енергия [C(76)162(Final)];</w:t>
      </w:r>
    </w:p>
    <w:p w14:paraId="243F052D" w14:textId="77777777" w:rsidR="005412E7" w:rsidRDefault="005412E7">
      <w:pPr>
        <w:pStyle w:val="BodyText"/>
        <w:spacing w:before="4"/>
      </w:pPr>
    </w:p>
    <w:p w14:paraId="243F052E" w14:textId="77777777" w:rsidR="005412E7" w:rsidRDefault="00602F65">
      <w:pPr>
        <w:pStyle w:val="BodyText"/>
        <w:spacing w:line="242" w:lineRule="auto"/>
        <w:ind w:left="116" w:right="113"/>
        <w:jc w:val="both"/>
      </w:pPr>
      <w:r>
        <w:rPr>
          <w:b/>
        </w:rPr>
        <w:t>КАТО ОТБЕЛЯЗА</w:t>
      </w:r>
      <w:r>
        <w:t xml:space="preserve"> приемането на принципа за подобряване на процедурите за разрешаване на конфликти, които могат да съществуват между проблемите на околната среда и енергийните изисквания и на принципа за насърчаване на международната търговия с въглища в рамката на Международната агенция по енергетика на 5 октомври 1977 г.;</w:t>
      </w:r>
    </w:p>
    <w:p w14:paraId="243F052F" w14:textId="77777777" w:rsidR="005412E7" w:rsidRDefault="005412E7">
      <w:pPr>
        <w:pStyle w:val="BodyText"/>
        <w:spacing w:before="4"/>
      </w:pPr>
    </w:p>
    <w:p w14:paraId="243F0530" w14:textId="77777777" w:rsidR="005412E7" w:rsidRDefault="00602F65">
      <w:pPr>
        <w:pStyle w:val="BodyText"/>
        <w:spacing w:before="1" w:line="242" w:lineRule="auto"/>
        <w:ind w:left="116" w:right="117"/>
        <w:jc w:val="both"/>
      </w:pPr>
      <w:r>
        <w:rPr>
          <w:b/>
        </w:rPr>
        <w:t>КАТО ОТБЕЛЯЗА</w:t>
      </w:r>
      <w:r>
        <w:t xml:space="preserve"> заключенията и насоките на публикацията на Международната агенция по енергетика „Парнокотлови въглища – перспективи до 2000 г.“, публикацията на ОИСР „Снабдяване с чисто гориво“ и доклада на Комитета по околна среда „Въглища и околна среда“;</w:t>
      </w:r>
    </w:p>
    <w:p w14:paraId="243F0531" w14:textId="77777777" w:rsidR="005412E7" w:rsidRDefault="005412E7">
      <w:pPr>
        <w:pStyle w:val="BodyText"/>
        <w:spacing w:before="2"/>
      </w:pPr>
    </w:p>
    <w:p w14:paraId="243F0532" w14:textId="77777777" w:rsidR="005412E7" w:rsidRDefault="00602F65">
      <w:pPr>
        <w:pStyle w:val="BodyText"/>
        <w:spacing w:line="242" w:lineRule="auto"/>
        <w:ind w:left="116" w:right="119"/>
        <w:jc w:val="both"/>
      </w:pPr>
      <w:r>
        <w:rPr>
          <w:b/>
        </w:rPr>
        <w:t>КАТО ПРИЗНАВА,</w:t>
      </w:r>
      <w:r>
        <w:t xml:space="preserve"> че при осигуряването на достатъчно доставки на енергия в средносрочен план, където въглищата ще играят все по-важна роля, е необходимо да се гарантира, че това ускорено развитие протича по екологично приемлив начин;</w:t>
      </w:r>
    </w:p>
    <w:p w14:paraId="243F0533" w14:textId="77777777" w:rsidR="005412E7" w:rsidRDefault="005412E7">
      <w:pPr>
        <w:pStyle w:val="BodyText"/>
        <w:spacing w:before="4"/>
      </w:pPr>
    </w:p>
    <w:p w14:paraId="243F0534" w14:textId="77777777" w:rsidR="005412E7" w:rsidRDefault="00602F65">
      <w:pPr>
        <w:pStyle w:val="BodyText"/>
        <w:spacing w:line="242" w:lineRule="auto"/>
        <w:ind w:left="116" w:right="127"/>
        <w:jc w:val="both"/>
      </w:pPr>
      <w:r>
        <w:rPr>
          <w:b/>
        </w:rPr>
        <w:t>КАТО ПРИЗНАВА,</w:t>
      </w:r>
      <w:r>
        <w:t xml:space="preserve"> че въглеродният диоксид, получен от изгарянето на всички изкопаеми горива, може да създаде екологични проблеми;</w:t>
      </w:r>
    </w:p>
    <w:p w14:paraId="243F0535" w14:textId="77777777" w:rsidR="005412E7" w:rsidRDefault="005412E7">
      <w:pPr>
        <w:pStyle w:val="BodyText"/>
        <w:spacing w:before="6"/>
      </w:pPr>
    </w:p>
    <w:p w14:paraId="243F0536" w14:textId="77777777" w:rsidR="005412E7" w:rsidRDefault="00602F65">
      <w:pPr>
        <w:pStyle w:val="BodyText"/>
        <w:spacing w:before="1" w:line="242" w:lineRule="auto"/>
        <w:ind w:left="116" w:right="124"/>
        <w:jc w:val="both"/>
      </w:pPr>
      <w:r>
        <w:rPr>
          <w:b/>
        </w:rPr>
        <w:t>КАТО ПРИЗНАВА,</w:t>
      </w:r>
      <w:r>
        <w:t xml:space="preserve"> че разширяването на производството и използването на въглища може да доведе до по-голям стрес върху околната среда и последици за здравето и безопасността;</w:t>
      </w:r>
    </w:p>
    <w:p w14:paraId="243F0537" w14:textId="77777777" w:rsidR="005412E7" w:rsidRDefault="005412E7">
      <w:pPr>
        <w:pStyle w:val="BodyText"/>
        <w:spacing w:before="6"/>
      </w:pPr>
    </w:p>
    <w:p w14:paraId="243F0538" w14:textId="77777777" w:rsidR="005412E7" w:rsidRDefault="00602F65">
      <w:pPr>
        <w:pStyle w:val="ListParagraph"/>
        <w:numPr>
          <w:ilvl w:val="0"/>
          <w:numId w:val="4"/>
        </w:numPr>
        <w:tabs>
          <w:tab w:val="left" w:pos="1250"/>
        </w:tabs>
        <w:ind w:right="120"/>
        <w:jc w:val="both"/>
        <w:rPr>
          <w:sz w:val="20"/>
        </w:rPr>
      </w:pPr>
      <w:r>
        <w:rPr>
          <w:sz w:val="20"/>
        </w:rPr>
        <w:t>Много неблагоприятни ефекти са локални, въпреки че резултатите от изследванията показват и регионални ефекти, особено поради транспортиране на серни съединения на далечни разстояния и вероятно дори глобални ефекти; и</w:t>
      </w:r>
    </w:p>
    <w:p w14:paraId="243F0539" w14:textId="77777777" w:rsidR="005412E7" w:rsidRDefault="005412E7">
      <w:pPr>
        <w:pStyle w:val="BodyText"/>
        <w:spacing w:before="11"/>
      </w:pPr>
    </w:p>
    <w:p w14:paraId="243F053A" w14:textId="77777777" w:rsidR="005412E7" w:rsidRDefault="00602F65">
      <w:pPr>
        <w:pStyle w:val="ListParagraph"/>
        <w:numPr>
          <w:ilvl w:val="0"/>
          <w:numId w:val="4"/>
        </w:numPr>
        <w:tabs>
          <w:tab w:val="left" w:pos="1250"/>
        </w:tabs>
        <w:ind w:right="128"/>
        <w:jc w:val="both"/>
        <w:rPr>
          <w:sz w:val="20"/>
        </w:rPr>
      </w:pPr>
      <w:r>
        <w:rPr>
          <w:sz w:val="20"/>
        </w:rPr>
        <w:t>Опитът показва, че разходите за контрол за намаляване на тези въздействия могат да бъдат балансирани спрямо постигнатите екологични, социални и икономически ползи;</w:t>
      </w:r>
    </w:p>
    <w:p w14:paraId="243F053B" w14:textId="77777777" w:rsidR="005412E7" w:rsidRDefault="005412E7">
      <w:pPr>
        <w:pStyle w:val="BodyText"/>
        <w:spacing w:before="7"/>
      </w:pPr>
    </w:p>
    <w:p w14:paraId="243F053C" w14:textId="77777777" w:rsidR="005412E7" w:rsidRDefault="00602F65">
      <w:pPr>
        <w:pStyle w:val="BodyText"/>
        <w:spacing w:line="242" w:lineRule="auto"/>
        <w:ind w:left="116" w:right="117"/>
        <w:jc w:val="both"/>
      </w:pPr>
      <w:r>
        <w:rPr>
          <w:b/>
        </w:rPr>
        <w:t>КАТО ПРИЗНАВА,</w:t>
      </w:r>
      <w:r>
        <w:t xml:space="preserve"> че вече са предприети или се подготвят значителни мерки за гарантиране, че производството и използването на въглища са екологично и социално приемливи;</w:t>
      </w:r>
    </w:p>
    <w:p w14:paraId="243F053D" w14:textId="77777777" w:rsidR="005412E7" w:rsidRDefault="005412E7">
      <w:pPr>
        <w:pStyle w:val="BodyText"/>
        <w:spacing w:before="6"/>
      </w:pPr>
    </w:p>
    <w:p w14:paraId="243F053E" w14:textId="77777777" w:rsidR="005412E7" w:rsidRDefault="00602F65">
      <w:pPr>
        <w:pStyle w:val="BodyText"/>
        <w:ind w:left="116"/>
        <w:jc w:val="both"/>
      </w:pPr>
      <w:r>
        <w:rPr>
          <w:b/>
        </w:rPr>
        <w:t>КАТО ПРИЗНАВА</w:t>
      </w:r>
      <w:r>
        <w:t xml:space="preserve"> последиците от различните конституционни и правни системи в страните-членки;</w:t>
      </w:r>
    </w:p>
    <w:p w14:paraId="243F053F" w14:textId="77777777" w:rsidR="005412E7" w:rsidRDefault="005412E7">
      <w:pPr>
        <w:pStyle w:val="BodyText"/>
        <w:spacing w:before="10"/>
      </w:pPr>
    </w:p>
    <w:p w14:paraId="243F0540" w14:textId="77777777" w:rsidR="005412E7" w:rsidRDefault="00602F65">
      <w:pPr>
        <w:ind w:left="116"/>
        <w:jc w:val="both"/>
        <w:rPr>
          <w:sz w:val="20"/>
        </w:rPr>
      </w:pPr>
      <w:r>
        <w:rPr>
          <w:b/>
          <w:sz w:val="20"/>
        </w:rPr>
        <w:t>ПРЕПОРЪЧВА</w:t>
      </w:r>
      <w:r>
        <w:rPr>
          <w:sz w:val="20"/>
        </w:rPr>
        <w:t>:</w:t>
      </w:r>
    </w:p>
    <w:p w14:paraId="243F0541" w14:textId="77777777" w:rsidR="005412E7" w:rsidRDefault="005412E7">
      <w:pPr>
        <w:pStyle w:val="BodyText"/>
        <w:spacing w:before="2"/>
        <w:rPr>
          <w:sz w:val="21"/>
        </w:rPr>
      </w:pPr>
    </w:p>
    <w:p w14:paraId="243F0542" w14:textId="77777777" w:rsidR="005412E7" w:rsidRDefault="00602F65">
      <w:pPr>
        <w:pStyle w:val="ListParagraph"/>
        <w:numPr>
          <w:ilvl w:val="0"/>
          <w:numId w:val="3"/>
        </w:numPr>
        <w:tabs>
          <w:tab w:val="left" w:pos="837"/>
        </w:tabs>
        <w:ind w:right="117" w:firstLine="0"/>
        <w:jc w:val="both"/>
        <w:rPr>
          <w:sz w:val="20"/>
        </w:rPr>
      </w:pPr>
      <w:r>
        <w:rPr>
          <w:sz w:val="20"/>
        </w:rPr>
        <w:t>Страните-членки, при разработването на политики за разширено използване на въглища, да разработят или подобрят мерките за опазване на околната среда и контрол, които да влизат в сила от етапа на планиране и изготвяне на политики, за да постигнат интегрирани политики за околната среда и енергетиката, проектирани да балансират от една страна</w:t>
      </w:r>
    </w:p>
    <w:p w14:paraId="243F0543" w14:textId="77777777" w:rsidR="005412E7" w:rsidRDefault="005412E7">
      <w:pPr>
        <w:jc w:val="both"/>
        <w:rPr>
          <w:sz w:val="20"/>
        </w:rPr>
        <w:sectPr w:rsidR="005412E7">
          <w:pgSz w:w="11910" w:h="16840"/>
          <w:pgMar w:top="1320" w:right="1300" w:bottom="280" w:left="1300" w:header="849" w:footer="0" w:gutter="0"/>
          <w:cols w:space="720"/>
        </w:sectPr>
      </w:pPr>
    </w:p>
    <w:p w14:paraId="243F0544" w14:textId="77777777" w:rsidR="005412E7" w:rsidRDefault="00602F65">
      <w:pPr>
        <w:pStyle w:val="BodyText"/>
        <w:spacing w:before="90"/>
        <w:ind w:left="116"/>
      </w:pPr>
      <w:r>
        <w:lastRenderedPageBreak/>
        <w:t>последиците за околната среда, здравето и безопасността, а от друга страна енергийните и икономическите последици за всеки етап от цикъла на въглищата, както и за целия цикъл.</w:t>
      </w:r>
    </w:p>
    <w:p w14:paraId="243F0545" w14:textId="77777777" w:rsidR="005412E7" w:rsidRDefault="005412E7">
      <w:pPr>
        <w:pStyle w:val="BodyText"/>
        <w:rPr>
          <w:sz w:val="21"/>
        </w:rPr>
      </w:pPr>
    </w:p>
    <w:p w14:paraId="243F0546" w14:textId="77777777" w:rsidR="005412E7" w:rsidRDefault="00602F65">
      <w:pPr>
        <w:pStyle w:val="ListParagraph"/>
        <w:numPr>
          <w:ilvl w:val="0"/>
          <w:numId w:val="3"/>
        </w:numPr>
        <w:tabs>
          <w:tab w:val="left" w:pos="837"/>
        </w:tabs>
        <w:ind w:right="115" w:firstLine="0"/>
        <w:jc w:val="both"/>
        <w:rPr>
          <w:sz w:val="20"/>
        </w:rPr>
      </w:pPr>
      <w:r>
        <w:rPr>
          <w:sz w:val="20"/>
        </w:rPr>
        <w:t>Да проучат използването на изкопаеми горива, особено по отношение на рентабилни и екологично приемливи съвременни технологии за контрол на изгарянето на въглища.</w:t>
      </w:r>
    </w:p>
    <w:p w14:paraId="243F0547" w14:textId="77777777" w:rsidR="005412E7" w:rsidRDefault="005412E7">
      <w:pPr>
        <w:pStyle w:val="BodyText"/>
        <w:spacing w:before="11"/>
      </w:pPr>
    </w:p>
    <w:p w14:paraId="243F0548" w14:textId="77777777" w:rsidR="005412E7" w:rsidRDefault="00602F65">
      <w:pPr>
        <w:pStyle w:val="ListParagraph"/>
        <w:numPr>
          <w:ilvl w:val="0"/>
          <w:numId w:val="3"/>
        </w:numPr>
        <w:tabs>
          <w:tab w:val="left" w:pos="837"/>
        </w:tabs>
        <w:ind w:right="127" w:firstLine="0"/>
        <w:jc w:val="both"/>
        <w:rPr>
          <w:sz w:val="20"/>
        </w:rPr>
      </w:pPr>
      <w:r>
        <w:rPr>
          <w:sz w:val="20"/>
        </w:rPr>
        <w:t>Страните-членки, в светлината на подходящи резултати от изследвания, се стремят да определят приемливи качества на горивото, нива на емисии или качества на околната среда, според случая, за:</w:t>
      </w:r>
    </w:p>
    <w:p w14:paraId="243F0549" w14:textId="77777777" w:rsidR="005412E7" w:rsidRDefault="005412E7">
      <w:pPr>
        <w:pStyle w:val="BodyText"/>
        <w:spacing w:before="7"/>
      </w:pPr>
    </w:p>
    <w:p w14:paraId="243F054A" w14:textId="77777777" w:rsidR="005412E7" w:rsidRDefault="00602F65">
      <w:pPr>
        <w:pStyle w:val="ListParagraph"/>
        <w:numPr>
          <w:ilvl w:val="1"/>
          <w:numId w:val="3"/>
        </w:numPr>
        <w:tabs>
          <w:tab w:val="left" w:pos="1249"/>
          <w:tab w:val="left" w:pos="1250"/>
        </w:tabs>
        <w:ind w:hanging="426"/>
        <w:jc w:val="left"/>
        <w:rPr>
          <w:sz w:val="20"/>
        </w:rPr>
      </w:pPr>
      <w:r>
        <w:rPr>
          <w:sz w:val="20"/>
        </w:rPr>
        <w:t>Въглероден двуокис;</w:t>
      </w:r>
    </w:p>
    <w:p w14:paraId="243F054B" w14:textId="77777777" w:rsidR="005412E7" w:rsidRDefault="00602F65">
      <w:pPr>
        <w:pStyle w:val="ListParagraph"/>
        <w:numPr>
          <w:ilvl w:val="1"/>
          <w:numId w:val="3"/>
        </w:numPr>
        <w:tabs>
          <w:tab w:val="left" w:pos="1249"/>
          <w:tab w:val="left" w:pos="1250"/>
        </w:tabs>
        <w:spacing w:before="120"/>
        <w:ind w:hanging="426"/>
        <w:jc w:val="left"/>
        <w:rPr>
          <w:sz w:val="20"/>
        </w:rPr>
      </w:pPr>
      <w:r>
        <w:rPr>
          <w:sz w:val="20"/>
        </w:rPr>
        <w:t>Следи от метали;</w:t>
      </w:r>
    </w:p>
    <w:p w14:paraId="243F054C" w14:textId="77777777" w:rsidR="005412E7" w:rsidRDefault="00602F65">
      <w:pPr>
        <w:pStyle w:val="ListParagraph"/>
        <w:numPr>
          <w:ilvl w:val="1"/>
          <w:numId w:val="3"/>
        </w:numPr>
        <w:tabs>
          <w:tab w:val="left" w:pos="1249"/>
          <w:tab w:val="left" w:pos="1250"/>
        </w:tabs>
        <w:spacing w:before="117"/>
        <w:ind w:hanging="426"/>
        <w:jc w:val="left"/>
        <w:rPr>
          <w:sz w:val="20"/>
        </w:rPr>
      </w:pPr>
      <w:r>
        <w:rPr>
          <w:sz w:val="20"/>
        </w:rPr>
        <w:t>Вторични замърсители като сулфати и нитрати;</w:t>
      </w:r>
    </w:p>
    <w:p w14:paraId="243F054D" w14:textId="77777777" w:rsidR="005412E7" w:rsidRDefault="00602F65">
      <w:pPr>
        <w:pStyle w:val="ListParagraph"/>
        <w:numPr>
          <w:ilvl w:val="1"/>
          <w:numId w:val="3"/>
        </w:numPr>
        <w:tabs>
          <w:tab w:val="left" w:pos="1249"/>
          <w:tab w:val="left" w:pos="1250"/>
        </w:tabs>
        <w:spacing w:before="120"/>
        <w:ind w:hanging="426"/>
        <w:jc w:val="left"/>
        <w:rPr>
          <w:sz w:val="20"/>
        </w:rPr>
      </w:pPr>
      <w:r>
        <w:rPr>
          <w:sz w:val="20"/>
        </w:rPr>
        <w:t>Канцерогенни вещества;</w:t>
      </w:r>
    </w:p>
    <w:p w14:paraId="243F054E" w14:textId="77777777" w:rsidR="005412E7" w:rsidRDefault="00602F65">
      <w:pPr>
        <w:pStyle w:val="ListParagraph"/>
        <w:numPr>
          <w:ilvl w:val="1"/>
          <w:numId w:val="3"/>
        </w:numPr>
        <w:tabs>
          <w:tab w:val="left" w:pos="1249"/>
          <w:tab w:val="left" w:pos="1250"/>
        </w:tabs>
        <w:spacing w:before="117"/>
        <w:ind w:hanging="426"/>
        <w:jc w:val="left"/>
        <w:rPr>
          <w:sz w:val="20"/>
        </w:rPr>
      </w:pPr>
      <w:r>
        <w:rPr>
          <w:sz w:val="20"/>
        </w:rPr>
        <w:t>Други съединения и материали, които може да се нуждаят от гаранция;</w:t>
      </w:r>
    </w:p>
    <w:p w14:paraId="243F054F" w14:textId="77777777" w:rsidR="005412E7" w:rsidRDefault="005412E7">
      <w:pPr>
        <w:pStyle w:val="BodyText"/>
        <w:spacing w:before="10"/>
      </w:pPr>
    </w:p>
    <w:p w14:paraId="243F0550" w14:textId="77777777" w:rsidR="005412E7" w:rsidRDefault="00602F65">
      <w:pPr>
        <w:pStyle w:val="BodyText"/>
        <w:ind w:left="116"/>
      </w:pPr>
      <w:r>
        <w:t>като се вземат предвид разходите за технологиите за контрол за постигане на тези нива, както и социалните ползи, произтичащи от това, включително предимствата на увеличеното използване на въглища.</w:t>
      </w:r>
    </w:p>
    <w:p w14:paraId="243F0551" w14:textId="77777777" w:rsidR="005412E7" w:rsidRDefault="005412E7">
      <w:pPr>
        <w:pStyle w:val="BodyText"/>
        <w:spacing w:before="10"/>
      </w:pPr>
    </w:p>
    <w:p w14:paraId="243F0552" w14:textId="77777777" w:rsidR="005412E7" w:rsidRDefault="00602F65">
      <w:pPr>
        <w:pStyle w:val="ListParagraph"/>
        <w:numPr>
          <w:ilvl w:val="0"/>
          <w:numId w:val="3"/>
        </w:numPr>
        <w:tabs>
          <w:tab w:val="left" w:pos="837"/>
        </w:tabs>
        <w:spacing w:before="1"/>
        <w:ind w:right="125" w:firstLine="0"/>
        <w:jc w:val="both"/>
        <w:rPr>
          <w:sz w:val="20"/>
        </w:rPr>
      </w:pPr>
      <w:r>
        <w:rPr>
          <w:sz w:val="20"/>
        </w:rPr>
        <w:t>За да се гарантира правилното използване на различни енергийни ресурси, разходите за опазване на околната среда и контрол на замърсяването трябва да бъдат отразени в цената на енергията, както се изисква от принципа „Замърсителят плаща“.</w:t>
      </w:r>
    </w:p>
    <w:p w14:paraId="243F0553" w14:textId="77777777" w:rsidR="005412E7" w:rsidRDefault="005412E7">
      <w:pPr>
        <w:pStyle w:val="BodyText"/>
        <w:spacing w:before="11"/>
      </w:pPr>
    </w:p>
    <w:p w14:paraId="243F0554" w14:textId="77777777" w:rsidR="005412E7" w:rsidRDefault="00602F65">
      <w:pPr>
        <w:pStyle w:val="ListParagraph"/>
        <w:numPr>
          <w:ilvl w:val="0"/>
          <w:numId w:val="3"/>
        </w:numPr>
        <w:tabs>
          <w:tab w:val="left" w:pos="837"/>
        </w:tabs>
        <w:ind w:right="121" w:firstLine="0"/>
        <w:jc w:val="both"/>
        <w:rPr>
          <w:sz w:val="20"/>
        </w:rPr>
      </w:pPr>
      <w:r>
        <w:rPr>
          <w:sz w:val="20"/>
        </w:rPr>
        <w:t>Да се направи оценка на екологичните и социалните последици от широкомащабното въвеждане на въглища, включително национални и регионални аспекти, особено в страни, където въглищата в момента не се използват.</w:t>
      </w:r>
    </w:p>
    <w:p w14:paraId="243F0555" w14:textId="77777777" w:rsidR="005412E7" w:rsidRDefault="005412E7">
      <w:pPr>
        <w:pStyle w:val="BodyText"/>
        <w:spacing w:before="9"/>
      </w:pPr>
    </w:p>
    <w:p w14:paraId="243F0556" w14:textId="77777777" w:rsidR="005412E7" w:rsidRDefault="00602F65">
      <w:pPr>
        <w:pStyle w:val="ListParagraph"/>
        <w:numPr>
          <w:ilvl w:val="0"/>
          <w:numId w:val="3"/>
        </w:numPr>
        <w:tabs>
          <w:tab w:val="left" w:pos="837"/>
        </w:tabs>
        <w:ind w:right="115" w:firstLine="0"/>
        <w:jc w:val="both"/>
        <w:rPr>
          <w:sz w:val="20"/>
        </w:rPr>
      </w:pPr>
      <w:r>
        <w:rPr>
          <w:sz w:val="20"/>
        </w:rPr>
        <w:t>Страните-членки прилагат ефективни информационни програми, насочени към политиците и към инвеститорите, търговците и потребителите, както и към широката общественост, за да развият повишена осведоменост за необходимостта от разрешаване на проблемите на политиката за околната среда, свързани с въглищата.</w:t>
      </w:r>
    </w:p>
    <w:p w14:paraId="243F0557" w14:textId="77777777" w:rsidR="005412E7" w:rsidRDefault="005412E7">
      <w:pPr>
        <w:pStyle w:val="BodyText"/>
        <w:spacing w:before="9"/>
      </w:pPr>
    </w:p>
    <w:p w14:paraId="243F0558" w14:textId="77777777" w:rsidR="005412E7" w:rsidRDefault="00602F65">
      <w:pPr>
        <w:pStyle w:val="ListParagraph"/>
        <w:numPr>
          <w:ilvl w:val="0"/>
          <w:numId w:val="3"/>
        </w:numPr>
        <w:tabs>
          <w:tab w:val="left" w:pos="837"/>
        </w:tabs>
        <w:ind w:right="127" w:firstLine="0"/>
        <w:jc w:val="both"/>
        <w:rPr>
          <w:sz w:val="20"/>
        </w:rPr>
      </w:pPr>
      <w:r>
        <w:rPr>
          <w:sz w:val="20"/>
        </w:rPr>
        <w:t>Страните-членки, при разработването на своите политики за въглища, следват насоките, изложени в приложението към настоящата препоръка, от която то е неразделна част.</w:t>
      </w:r>
    </w:p>
    <w:p w14:paraId="243F0559" w14:textId="77777777" w:rsidR="005412E7" w:rsidRDefault="005412E7">
      <w:pPr>
        <w:jc w:val="both"/>
        <w:rPr>
          <w:sz w:val="20"/>
        </w:rPr>
        <w:sectPr w:rsidR="005412E7">
          <w:pgSz w:w="11910" w:h="16840"/>
          <w:pgMar w:top="1320" w:right="1300" w:bottom="280" w:left="1300" w:header="849" w:footer="0" w:gutter="0"/>
          <w:cols w:space="720"/>
        </w:sectPr>
      </w:pPr>
    </w:p>
    <w:p w14:paraId="243F055A" w14:textId="77777777" w:rsidR="005412E7" w:rsidRDefault="00602F65" w:rsidP="0096578A">
      <w:pPr>
        <w:ind w:left="346" w:right="341"/>
        <w:jc w:val="center"/>
        <w:rPr>
          <w:sz w:val="24"/>
        </w:rPr>
      </w:pPr>
      <w:r>
        <w:rPr>
          <w:sz w:val="24"/>
        </w:rPr>
        <w:lastRenderedPageBreak/>
        <w:t>ПРИЛОЖЕНИЕ</w:t>
      </w:r>
    </w:p>
    <w:p w14:paraId="243F055B" w14:textId="77777777" w:rsidR="005412E7" w:rsidRDefault="00602F65" w:rsidP="0096578A">
      <w:pPr>
        <w:pStyle w:val="Heading2"/>
        <w:ind w:left="346" w:right="342" w:firstLine="0"/>
        <w:jc w:val="center"/>
      </w:pPr>
      <w:r>
        <w:t>НАСОКИ ЗА ГАРАНТИРАНЕ НА ЕКОЛОГИЧНО УСПЕШНО РАЗВИТИЕ НА СЕКТОРА НА ВЪГЛИЩАТА</w:t>
      </w:r>
    </w:p>
    <w:p w14:paraId="243F055C" w14:textId="77777777" w:rsidR="005412E7" w:rsidRDefault="005412E7" w:rsidP="0096578A">
      <w:pPr>
        <w:pStyle w:val="BodyText"/>
        <w:rPr>
          <w:b/>
        </w:rPr>
      </w:pPr>
    </w:p>
    <w:p w14:paraId="243F055D" w14:textId="77777777" w:rsidR="005412E7" w:rsidRDefault="00602F65" w:rsidP="0096578A">
      <w:pPr>
        <w:pStyle w:val="ListParagraph"/>
        <w:numPr>
          <w:ilvl w:val="0"/>
          <w:numId w:val="2"/>
        </w:numPr>
        <w:tabs>
          <w:tab w:val="left" w:pos="836"/>
          <w:tab w:val="left" w:pos="837"/>
        </w:tabs>
        <w:ind w:hanging="721"/>
        <w:rPr>
          <w:b/>
          <w:sz w:val="20"/>
        </w:rPr>
      </w:pPr>
      <w:r>
        <w:rPr>
          <w:b/>
          <w:sz w:val="20"/>
        </w:rPr>
        <w:t>Добив</w:t>
      </w:r>
    </w:p>
    <w:p w14:paraId="243F055E" w14:textId="77777777" w:rsidR="005412E7" w:rsidRDefault="005412E7">
      <w:pPr>
        <w:pStyle w:val="BodyText"/>
        <w:spacing w:before="10"/>
        <w:rPr>
          <w:b/>
        </w:rPr>
      </w:pPr>
    </w:p>
    <w:p w14:paraId="243F055F" w14:textId="77777777" w:rsidR="005412E7" w:rsidRDefault="00602F65">
      <w:pPr>
        <w:pStyle w:val="BodyText"/>
        <w:ind w:left="116" w:right="115"/>
        <w:jc w:val="both"/>
      </w:pPr>
      <w:r>
        <w:t>Възстановяването на земята след добив е основната грижа за околната среда. Това е технически осъществимо, на определена цена, в повечето области. Възстановяването може да се осъществи най-успешно и рентабилно, когато осигуряването му е неразделна част от плана за развитие на мината. За успешното развитие на минните дейности:</w:t>
      </w:r>
    </w:p>
    <w:p w14:paraId="243F0560" w14:textId="77777777" w:rsidR="005412E7" w:rsidRDefault="005412E7">
      <w:pPr>
        <w:pStyle w:val="BodyText"/>
        <w:spacing w:before="11"/>
      </w:pPr>
    </w:p>
    <w:p w14:paraId="243F0561" w14:textId="77777777" w:rsidR="005412E7" w:rsidRDefault="00602F65">
      <w:pPr>
        <w:pStyle w:val="ListParagraph"/>
        <w:numPr>
          <w:ilvl w:val="1"/>
          <w:numId w:val="2"/>
        </w:numPr>
        <w:tabs>
          <w:tab w:val="left" w:pos="1249"/>
          <w:tab w:val="left" w:pos="1250"/>
        </w:tabs>
        <w:ind w:right="117"/>
        <w:jc w:val="left"/>
        <w:rPr>
          <w:sz w:val="20"/>
        </w:rPr>
      </w:pPr>
      <w:r>
        <w:rPr>
          <w:sz w:val="20"/>
        </w:rPr>
        <w:t>Процесът на прилагане на законодателството в областта на околната среда, напр. възстановяването, трябва да се провежда по начин, който избягва или минимизира забавянията и свързаните с тях разходи;</w:t>
      </w:r>
    </w:p>
    <w:p w14:paraId="243F0562" w14:textId="77777777" w:rsidR="005412E7" w:rsidRDefault="00602F65">
      <w:pPr>
        <w:pStyle w:val="ListParagraph"/>
        <w:numPr>
          <w:ilvl w:val="1"/>
          <w:numId w:val="2"/>
        </w:numPr>
        <w:tabs>
          <w:tab w:val="left" w:pos="1249"/>
          <w:tab w:val="left" w:pos="1250"/>
        </w:tabs>
        <w:spacing w:before="118"/>
        <w:ind w:right="125"/>
        <w:jc w:val="left"/>
        <w:rPr>
          <w:sz w:val="20"/>
        </w:rPr>
      </w:pPr>
      <w:r>
        <w:rPr>
          <w:sz w:val="20"/>
        </w:rPr>
        <w:t>Изчисляването на себестойността на въглищата трябва да отчита разходите за бъдещо възстановяване на земите, което е необходимо при тяхното производство;</w:t>
      </w:r>
    </w:p>
    <w:p w14:paraId="243F0563" w14:textId="77777777" w:rsidR="005412E7" w:rsidRDefault="00602F65">
      <w:pPr>
        <w:pStyle w:val="ListParagraph"/>
        <w:numPr>
          <w:ilvl w:val="1"/>
          <w:numId w:val="2"/>
        </w:numPr>
        <w:tabs>
          <w:tab w:val="left" w:pos="1249"/>
          <w:tab w:val="left" w:pos="1250"/>
        </w:tabs>
        <w:spacing w:before="118"/>
        <w:ind w:right="120"/>
        <w:jc w:val="left"/>
        <w:rPr>
          <w:sz w:val="20"/>
        </w:rPr>
      </w:pPr>
      <w:r>
        <w:rPr>
          <w:sz w:val="20"/>
        </w:rPr>
        <w:t>При установяване на минни дейности в райони, където не е имало въгледобив, трябва да се направи оценка на екологичното и социално-икономическото въздействие;</w:t>
      </w:r>
    </w:p>
    <w:p w14:paraId="243F0564" w14:textId="77777777" w:rsidR="005412E7" w:rsidRDefault="00602F65">
      <w:pPr>
        <w:pStyle w:val="ListParagraph"/>
        <w:numPr>
          <w:ilvl w:val="1"/>
          <w:numId w:val="2"/>
        </w:numPr>
        <w:tabs>
          <w:tab w:val="left" w:pos="1250"/>
        </w:tabs>
        <w:spacing w:before="120"/>
        <w:ind w:right="122"/>
        <w:rPr>
          <w:sz w:val="20"/>
        </w:rPr>
      </w:pPr>
      <w:r>
        <w:rPr>
          <w:sz w:val="20"/>
        </w:rPr>
        <w:t>Отвеждането на води, съдържащи киселини и тежки метали от добив и/или депониране на отпадъци, което представлява заплаха за подземните и повърхностните води, трябва да бъде намалено и да се използват техники, които минимизират общите разходи, включително социалните разходи;</w:t>
      </w:r>
    </w:p>
    <w:p w14:paraId="243F0565" w14:textId="77777777" w:rsidR="005412E7" w:rsidRDefault="00602F65">
      <w:pPr>
        <w:pStyle w:val="ListParagraph"/>
        <w:numPr>
          <w:ilvl w:val="1"/>
          <w:numId w:val="2"/>
        </w:numPr>
        <w:tabs>
          <w:tab w:val="left" w:pos="1250"/>
        </w:tabs>
        <w:spacing w:before="118"/>
        <w:ind w:right="126"/>
        <w:rPr>
          <w:sz w:val="20"/>
        </w:rPr>
      </w:pPr>
      <w:r>
        <w:rPr>
          <w:sz w:val="20"/>
        </w:rPr>
        <w:t>Трябва да се осигури най-високата практическа степен на здраве и безопасност на работното място за миньорите.</w:t>
      </w:r>
    </w:p>
    <w:p w14:paraId="243F0566" w14:textId="77777777" w:rsidR="005412E7" w:rsidRPr="0096578A" w:rsidRDefault="005412E7">
      <w:pPr>
        <w:pStyle w:val="BodyText"/>
        <w:spacing w:before="7"/>
        <w:rPr>
          <w:sz w:val="16"/>
          <w:szCs w:val="16"/>
        </w:rPr>
      </w:pPr>
    </w:p>
    <w:p w14:paraId="243F0567" w14:textId="77777777" w:rsidR="005412E7" w:rsidRDefault="00602F65" w:rsidP="0096578A">
      <w:pPr>
        <w:pStyle w:val="Heading2"/>
        <w:numPr>
          <w:ilvl w:val="0"/>
          <w:numId w:val="2"/>
        </w:numPr>
        <w:tabs>
          <w:tab w:val="left" w:pos="836"/>
          <w:tab w:val="left" w:pos="837"/>
        </w:tabs>
        <w:ind w:left="835"/>
      </w:pPr>
      <w:r>
        <w:t>Превоз и обработка</w:t>
      </w:r>
    </w:p>
    <w:p w14:paraId="243F0568" w14:textId="77777777" w:rsidR="005412E7" w:rsidRPr="0096578A" w:rsidRDefault="005412E7">
      <w:pPr>
        <w:pStyle w:val="BodyText"/>
        <w:spacing w:before="1"/>
        <w:rPr>
          <w:b/>
          <w:sz w:val="16"/>
          <w:szCs w:val="16"/>
        </w:rPr>
      </w:pPr>
    </w:p>
    <w:p w14:paraId="243F0569" w14:textId="77777777" w:rsidR="005412E7" w:rsidRDefault="00602F65">
      <w:pPr>
        <w:pStyle w:val="BodyText"/>
        <w:spacing w:before="1"/>
        <w:ind w:left="116" w:right="122"/>
        <w:jc w:val="both"/>
      </w:pPr>
      <w:r>
        <w:t>Превозът на въглища има екологични предимства пред превоза на нефт и течен природен газ, когато се вземе предвид възможното въздействие от аварии при корабоплаването. За подобрения в превоза и обработката на въглища:</w:t>
      </w:r>
    </w:p>
    <w:p w14:paraId="243F056A" w14:textId="77777777" w:rsidR="005412E7" w:rsidRDefault="005412E7">
      <w:pPr>
        <w:pStyle w:val="BodyText"/>
        <w:rPr>
          <w:sz w:val="12"/>
        </w:rPr>
      </w:pPr>
    </w:p>
    <w:p w14:paraId="243F056B" w14:textId="77777777" w:rsidR="005412E7" w:rsidRDefault="00602F65">
      <w:pPr>
        <w:pStyle w:val="ListParagraph"/>
        <w:numPr>
          <w:ilvl w:val="1"/>
          <w:numId w:val="2"/>
        </w:numPr>
        <w:tabs>
          <w:tab w:val="left" w:pos="1250"/>
        </w:tabs>
        <w:spacing w:before="99"/>
        <w:ind w:right="116"/>
        <w:rPr>
          <w:sz w:val="20"/>
        </w:rPr>
      </w:pPr>
      <w:r>
        <w:rPr>
          <w:sz w:val="20"/>
        </w:rPr>
        <w:t>Трябва да се прилагат мерки за контрол на смущенията на околната среда при товарене и разтоварване на въглища, от складове за въглища и от железопътни вагони, камиони и шлепове и при използване на нови системи за превоз на въглища;</w:t>
      </w:r>
    </w:p>
    <w:p w14:paraId="243F056C" w14:textId="77777777" w:rsidR="005412E7" w:rsidRDefault="00602F65">
      <w:pPr>
        <w:pStyle w:val="ListParagraph"/>
        <w:numPr>
          <w:ilvl w:val="1"/>
          <w:numId w:val="2"/>
        </w:numPr>
        <w:tabs>
          <w:tab w:val="left" w:pos="1250"/>
        </w:tabs>
        <w:spacing w:before="119"/>
        <w:ind w:right="119"/>
        <w:rPr>
          <w:sz w:val="20"/>
        </w:rPr>
      </w:pPr>
      <w:r>
        <w:rPr>
          <w:sz w:val="20"/>
        </w:rPr>
        <w:t>Трябва да се обърне внимание на продължаващите изисквания към водните ресурси и необходимостта да се гарантира, че заустваната вода е с приемливо качество, когато се използват техники за транспортиране на въглищен шлам или промиване на въглища;</w:t>
      </w:r>
    </w:p>
    <w:p w14:paraId="243F056D" w14:textId="77777777" w:rsidR="005412E7" w:rsidRDefault="00602F65">
      <w:pPr>
        <w:pStyle w:val="ListParagraph"/>
        <w:numPr>
          <w:ilvl w:val="1"/>
          <w:numId w:val="2"/>
        </w:numPr>
        <w:tabs>
          <w:tab w:val="left" w:pos="1250"/>
        </w:tabs>
        <w:spacing w:before="118"/>
        <w:ind w:right="124"/>
        <w:rPr>
          <w:sz w:val="20"/>
        </w:rPr>
      </w:pPr>
      <w:r>
        <w:rPr>
          <w:sz w:val="20"/>
        </w:rPr>
        <w:t>Трябва да се засилят усилията в техниките за почистване и смесване на въглища, за да се осигурят въглища с еднакво качество, което е особено важно за малките инсталации.</w:t>
      </w:r>
    </w:p>
    <w:p w14:paraId="243F056E" w14:textId="77777777" w:rsidR="005412E7" w:rsidRPr="0096578A" w:rsidRDefault="005412E7" w:rsidP="0096578A">
      <w:pPr>
        <w:pStyle w:val="BodyText"/>
        <w:rPr>
          <w:sz w:val="16"/>
          <w:szCs w:val="16"/>
        </w:rPr>
      </w:pPr>
    </w:p>
    <w:p w14:paraId="243F056F" w14:textId="77777777" w:rsidR="005412E7" w:rsidRDefault="00602F65" w:rsidP="0096578A">
      <w:pPr>
        <w:pStyle w:val="Heading2"/>
        <w:numPr>
          <w:ilvl w:val="0"/>
          <w:numId w:val="2"/>
        </w:numPr>
        <w:tabs>
          <w:tab w:val="left" w:pos="836"/>
          <w:tab w:val="left" w:pos="837"/>
        </w:tabs>
        <w:ind w:hanging="721"/>
      </w:pPr>
      <w:r>
        <w:t>Използване - замърсяване на въздуха</w:t>
      </w:r>
    </w:p>
    <w:p w14:paraId="243F0570" w14:textId="77777777" w:rsidR="005412E7" w:rsidRPr="0096578A" w:rsidRDefault="005412E7" w:rsidP="0096578A">
      <w:pPr>
        <w:pStyle w:val="BodyText"/>
        <w:rPr>
          <w:b/>
          <w:sz w:val="16"/>
          <w:szCs w:val="16"/>
        </w:rPr>
      </w:pPr>
    </w:p>
    <w:p w14:paraId="243F0571" w14:textId="77777777" w:rsidR="005412E7" w:rsidRDefault="00602F65">
      <w:pPr>
        <w:pStyle w:val="BodyText"/>
        <w:spacing w:before="1"/>
        <w:ind w:left="116" w:right="115"/>
        <w:jc w:val="both"/>
      </w:pPr>
      <w:r>
        <w:t>Повечето държави вече са предприели мерки за постигане на приемливо качество на атмосферния въздух, включително, наред с другото, ограничаване на използването на въглища до определени по-малко замърсяващи системи или режими на горене. В райони, където използването на въглища трябва да се увеличи:</w:t>
      </w:r>
    </w:p>
    <w:p w14:paraId="243F0572" w14:textId="77777777" w:rsidR="005412E7" w:rsidRPr="0096578A" w:rsidRDefault="005412E7" w:rsidP="0096578A">
      <w:pPr>
        <w:pStyle w:val="BodyText"/>
        <w:rPr>
          <w:sz w:val="16"/>
          <w:szCs w:val="16"/>
        </w:rPr>
      </w:pPr>
    </w:p>
    <w:p w14:paraId="243F0573" w14:textId="77777777" w:rsidR="005412E7" w:rsidRDefault="00602F65">
      <w:pPr>
        <w:pStyle w:val="ListParagraph"/>
        <w:numPr>
          <w:ilvl w:val="1"/>
          <w:numId w:val="2"/>
        </w:numPr>
        <w:tabs>
          <w:tab w:val="left" w:pos="1250"/>
        </w:tabs>
        <w:ind w:right="117"/>
        <w:rPr>
          <w:sz w:val="20"/>
        </w:rPr>
      </w:pPr>
      <w:r>
        <w:rPr>
          <w:sz w:val="20"/>
        </w:rPr>
        <w:t>Следва да се оцени възможното въздействие върху околната среда и да се използват най-подходящите икономически ефективни средства за защита, както краткосрочни, така и дългосрочни, за минимизиране на щетите;</w:t>
      </w:r>
    </w:p>
    <w:p w14:paraId="243F0574" w14:textId="77777777" w:rsidR="005412E7" w:rsidRDefault="00602F65">
      <w:pPr>
        <w:pStyle w:val="ListParagraph"/>
        <w:numPr>
          <w:ilvl w:val="1"/>
          <w:numId w:val="2"/>
        </w:numPr>
        <w:tabs>
          <w:tab w:val="left" w:pos="1250"/>
        </w:tabs>
        <w:spacing w:before="118"/>
        <w:ind w:right="117"/>
        <w:rPr>
          <w:sz w:val="20"/>
        </w:rPr>
      </w:pPr>
      <w:r>
        <w:rPr>
          <w:sz w:val="20"/>
        </w:rPr>
        <w:t>Като се има предвид тяхната рентабилност, следва да се използват най-добрите налични техники за намаляване на емисиите на прахови частици и SOx, за да се гарантира, че няма да настъпи значително влошаване на околната среда, както в рамките на националните граници, така и извън тях;</w:t>
      </w:r>
    </w:p>
    <w:p w14:paraId="243F0575" w14:textId="77777777" w:rsidR="005412E7" w:rsidRDefault="00602F65">
      <w:pPr>
        <w:pStyle w:val="ListParagraph"/>
        <w:numPr>
          <w:ilvl w:val="1"/>
          <w:numId w:val="2"/>
        </w:numPr>
        <w:tabs>
          <w:tab w:val="left" w:pos="1250"/>
        </w:tabs>
        <w:spacing w:before="119"/>
        <w:ind w:right="123"/>
        <w:rPr>
          <w:sz w:val="20"/>
        </w:rPr>
      </w:pPr>
      <w:r>
        <w:rPr>
          <w:sz w:val="20"/>
        </w:rPr>
        <w:t>Следва да се използват доказани технологии за намаляване на емисиите на NOx, като се вземат предвид техните разходи и предимства. Тези технологии ще включват нови проекти на горивни системи, включително подобрена горелка, кипящ слой и денитрификация на димните газове;</w:t>
      </w:r>
    </w:p>
    <w:p w14:paraId="243F0576" w14:textId="77777777" w:rsidR="005412E7" w:rsidRDefault="005412E7">
      <w:pPr>
        <w:jc w:val="both"/>
        <w:rPr>
          <w:sz w:val="20"/>
        </w:rPr>
        <w:sectPr w:rsidR="005412E7">
          <w:pgSz w:w="11910" w:h="16840"/>
          <w:pgMar w:top="1320" w:right="1300" w:bottom="280" w:left="1300" w:header="849" w:footer="0" w:gutter="0"/>
          <w:cols w:space="720"/>
        </w:sectPr>
      </w:pPr>
    </w:p>
    <w:p w14:paraId="243F0577" w14:textId="77777777" w:rsidR="005412E7" w:rsidRDefault="00602F65">
      <w:pPr>
        <w:pStyle w:val="ListParagraph"/>
        <w:numPr>
          <w:ilvl w:val="1"/>
          <w:numId w:val="2"/>
        </w:numPr>
        <w:tabs>
          <w:tab w:val="left" w:pos="1250"/>
        </w:tabs>
        <w:spacing w:before="89"/>
        <w:ind w:right="116"/>
        <w:rPr>
          <w:sz w:val="20"/>
        </w:rPr>
      </w:pPr>
      <w:r>
        <w:rPr>
          <w:sz w:val="20"/>
        </w:rPr>
        <w:lastRenderedPageBreak/>
        <w:t>Газообразните и праховите канцерогенни замърсители и странични продукти трябва да бъдат строго контролирани;</w:t>
      </w:r>
    </w:p>
    <w:p w14:paraId="243F0578" w14:textId="77777777" w:rsidR="005412E7" w:rsidRDefault="00602F65">
      <w:pPr>
        <w:pStyle w:val="ListParagraph"/>
        <w:numPr>
          <w:ilvl w:val="1"/>
          <w:numId w:val="2"/>
        </w:numPr>
        <w:tabs>
          <w:tab w:val="left" w:pos="1250"/>
        </w:tabs>
        <w:spacing w:before="120"/>
        <w:ind w:right="123"/>
        <w:rPr>
          <w:sz w:val="20"/>
        </w:rPr>
      </w:pPr>
      <w:r>
        <w:rPr>
          <w:sz w:val="20"/>
        </w:rPr>
        <w:t>емисиите и качеството на околния въздух следва да се наблюдават по подходящ начин, за да се гарантира, че се спазват необходимите насоки и стандарти;</w:t>
      </w:r>
    </w:p>
    <w:p w14:paraId="243F0579" w14:textId="77777777" w:rsidR="005412E7" w:rsidRDefault="00602F65">
      <w:pPr>
        <w:pStyle w:val="ListParagraph"/>
        <w:numPr>
          <w:ilvl w:val="1"/>
          <w:numId w:val="2"/>
        </w:numPr>
        <w:tabs>
          <w:tab w:val="left" w:pos="1250"/>
        </w:tabs>
        <w:spacing w:before="118"/>
        <w:ind w:right="121"/>
        <w:rPr>
          <w:sz w:val="20"/>
        </w:rPr>
      </w:pPr>
      <w:r>
        <w:rPr>
          <w:sz w:val="20"/>
        </w:rPr>
        <w:t>следва да се даде приоритет на изгарянето на по-малко замърсяващи въглища при прилагане и по-нататъшно развитие на подходящи технически и икономически средства за контрол на емисиите от по-замърсяващи въглища, като се вземат предвид съответните ограничения.</w:t>
      </w:r>
    </w:p>
    <w:p w14:paraId="243F057A" w14:textId="77777777" w:rsidR="005412E7" w:rsidRPr="00382CA1" w:rsidRDefault="005412E7" w:rsidP="00382CA1">
      <w:pPr>
        <w:pStyle w:val="BodyText"/>
        <w:rPr>
          <w:sz w:val="16"/>
          <w:szCs w:val="16"/>
        </w:rPr>
      </w:pPr>
    </w:p>
    <w:p w14:paraId="243F057B" w14:textId="77777777" w:rsidR="005412E7" w:rsidRDefault="00602F65" w:rsidP="00382CA1">
      <w:pPr>
        <w:pStyle w:val="Heading2"/>
        <w:numPr>
          <w:ilvl w:val="0"/>
          <w:numId w:val="2"/>
        </w:numPr>
        <w:tabs>
          <w:tab w:val="left" w:pos="836"/>
          <w:tab w:val="left" w:pos="837"/>
        </w:tabs>
        <w:ind w:hanging="721"/>
      </w:pPr>
      <w:r>
        <w:t>Употреба -- Твърди отпадъци</w:t>
      </w:r>
    </w:p>
    <w:p w14:paraId="243F057C" w14:textId="77777777" w:rsidR="005412E7" w:rsidRPr="00382CA1" w:rsidRDefault="005412E7" w:rsidP="00382CA1">
      <w:pPr>
        <w:pStyle w:val="BodyText"/>
        <w:rPr>
          <w:b/>
          <w:sz w:val="16"/>
          <w:szCs w:val="16"/>
        </w:rPr>
      </w:pPr>
    </w:p>
    <w:p w14:paraId="243F057D" w14:textId="77777777" w:rsidR="005412E7" w:rsidRDefault="00602F65">
      <w:pPr>
        <w:pStyle w:val="BodyText"/>
        <w:ind w:left="116" w:right="112"/>
        <w:jc w:val="both"/>
      </w:pPr>
      <w:r>
        <w:t>Разширяването на използването на въглища ще увеличи количествата отпадъци, които изискват обезвреждане или оползотворяване. За райони, където използването на въглища трябва да се увеличи:</w:t>
      </w:r>
    </w:p>
    <w:p w14:paraId="243F057E" w14:textId="77777777" w:rsidR="005412E7" w:rsidRPr="00382CA1" w:rsidRDefault="005412E7">
      <w:pPr>
        <w:pStyle w:val="BodyText"/>
        <w:spacing w:before="9"/>
        <w:rPr>
          <w:sz w:val="16"/>
          <w:szCs w:val="16"/>
        </w:rPr>
      </w:pPr>
    </w:p>
    <w:p w14:paraId="243F057F" w14:textId="77777777" w:rsidR="005412E7" w:rsidRDefault="00602F65">
      <w:pPr>
        <w:pStyle w:val="ListParagraph"/>
        <w:numPr>
          <w:ilvl w:val="1"/>
          <w:numId w:val="2"/>
        </w:numPr>
        <w:tabs>
          <w:tab w:val="left" w:pos="1250"/>
        </w:tabs>
        <w:ind w:right="117"/>
        <w:rPr>
          <w:sz w:val="20"/>
        </w:rPr>
      </w:pPr>
      <w:r>
        <w:rPr>
          <w:sz w:val="20"/>
        </w:rPr>
        <w:t>Следва да се направи оценка на всички последици за околната среда и свързаните с тях екологични разходи за онези технологии за контрол на замърсяването на въздуха, които произвеждат твърди отпадъци, за да се гарантира, че въздействието върху водата и земята се контролира;</w:t>
      </w:r>
    </w:p>
    <w:p w14:paraId="243F0580" w14:textId="77777777" w:rsidR="005412E7" w:rsidRDefault="00602F65" w:rsidP="00382CA1">
      <w:pPr>
        <w:pStyle w:val="ListParagraph"/>
        <w:numPr>
          <w:ilvl w:val="1"/>
          <w:numId w:val="2"/>
        </w:numPr>
        <w:tabs>
          <w:tab w:val="left" w:pos="1250"/>
        </w:tabs>
        <w:ind w:left="1253" w:hanging="426"/>
        <w:rPr>
          <w:sz w:val="20"/>
        </w:rPr>
      </w:pPr>
      <w:r>
        <w:rPr>
          <w:sz w:val="20"/>
        </w:rPr>
        <w:t>Следва да се разработят практически насоки за контролирано изхвърляне на пепел;</w:t>
      </w:r>
    </w:p>
    <w:p w14:paraId="243F0581" w14:textId="77777777" w:rsidR="005412E7" w:rsidRDefault="00602F65" w:rsidP="00382CA1">
      <w:pPr>
        <w:pStyle w:val="ListParagraph"/>
        <w:numPr>
          <w:ilvl w:val="1"/>
          <w:numId w:val="2"/>
        </w:numPr>
        <w:tabs>
          <w:tab w:val="left" w:pos="1250"/>
        </w:tabs>
        <w:ind w:left="1253" w:right="127"/>
        <w:rPr>
          <w:sz w:val="20"/>
        </w:rPr>
      </w:pPr>
      <w:r>
        <w:rPr>
          <w:sz w:val="20"/>
        </w:rPr>
        <w:t>Следва да се проучат последиците за околната среда и разходите от подготовката на въглищата и обезвреждането на получените отпадъци преди изгарянето;</w:t>
      </w:r>
    </w:p>
    <w:p w14:paraId="243F0582" w14:textId="77777777" w:rsidR="005412E7" w:rsidRDefault="00602F65">
      <w:pPr>
        <w:pStyle w:val="ListParagraph"/>
        <w:numPr>
          <w:ilvl w:val="1"/>
          <w:numId w:val="2"/>
        </w:numPr>
        <w:tabs>
          <w:tab w:val="left" w:pos="1250"/>
        </w:tabs>
        <w:spacing w:before="117"/>
        <w:ind w:right="117"/>
        <w:rPr>
          <w:sz w:val="20"/>
        </w:rPr>
      </w:pPr>
      <w:r>
        <w:rPr>
          <w:sz w:val="20"/>
        </w:rPr>
        <w:t>Следва да се направи преглед на желателността на стимули, необходими за разширяване на съществуващите търговски употреби на летлива пепел и отпадъци от десулфуризация; и следва да се насочат повече усилия към демонстриране на практичността на оползотворяването на твърди отпадъци, като се вземе предвид тяхното въздействие върху околната среда;</w:t>
      </w:r>
    </w:p>
    <w:p w14:paraId="243F0583" w14:textId="77777777" w:rsidR="005412E7" w:rsidRDefault="00602F65">
      <w:pPr>
        <w:pStyle w:val="ListParagraph"/>
        <w:numPr>
          <w:ilvl w:val="1"/>
          <w:numId w:val="2"/>
        </w:numPr>
        <w:tabs>
          <w:tab w:val="left" w:pos="1250"/>
        </w:tabs>
        <w:spacing w:before="119"/>
        <w:ind w:right="127"/>
        <w:rPr>
          <w:sz w:val="20"/>
        </w:rPr>
      </w:pPr>
      <w:r>
        <w:rPr>
          <w:sz w:val="20"/>
        </w:rPr>
        <w:t>Следва да се направи проверка на желателността на стимулите, необходими за насърчаване на изхвърлянето на отпадъците в мината и техните последици за околната среда.</w:t>
      </w:r>
    </w:p>
    <w:p w14:paraId="243F0584" w14:textId="77777777" w:rsidR="005412E7" w:rsidRPr="00382CA1" w:rsidRDefault="005412E7" w:rsidP="00382CA1">
      <w:pPr>
        <w:pStyle w:val="BodyText"/>
        <w:rPr>
          <w:sz w:val="16"/>
          <w:szCs w:val="16"/>
        </w:rPr>
      </w:pPr>
    </w:p>
    <w:p w14:paraId="243F0585" w14:textId="77777777" w:rsidR="005412E7" w:rsidRDefault="00602F65" w:rsidP="00382CA1">
      <w:pPr>
        <w:pStyle w:val="Heading2"/>
        <w:numPr>
          <w:ilvl w:val="0"/>
          <w:numId w:val="2"/>
        </w:numPr>
        <w:tabs>
          <w:tab w:val="left" w:pos="836"/>
          <w:tab w:val="left" w:pos="837"/>
        </w:tabs>
        <w:ind w:left="835"/>
      </w:pPr>
      <w:r>
        <w:t>Употреба -- Етикетиране на въглища</w:t>
      </w:r>
    </w:p>
    <w:p w14:paraId="243F0586" w14:textId="77777777" w:rsidR="005412E7" w:rsidRPr="00382CA1" w:rsidRDefault="005412E7" w:rsidP="00382CA1">
      <w:pPr>
        <w:pStyle w:val="BodyText"/>
        <w:rPr>
          <w:b/>
          <w:sz w:val="16"/>
          <w:szCs w:val="16"/>
        </w:rPr>
      </w:pPr>
    </w:p>
    <w:p w14:paraId="243F0587" w14:textId="77777777" w:rsidR="005412E7" w:rsidRDefault="00602F65">
      <w:pPr>
        <w:pStyle w:val="BodyText"/>
        <w:spacing w:before="1"/>
        <w:ind w:left="116" w:right="124"/>
        <w:jc w:val="both"/>
      </w:pPr>
      <w:r>
        <w:t>Въглищата, навлизащи в световната търговия, може да не са достатъчно характеризирани по отношение на свойствата, които имат потенциално въздействие върху околната среда, което затруднява потребителите да преценят дали съставът е подходящ да отговори на националните екологични стандарти. За да се подобри тази ситуация:</w:t>
      </w:r>
    </w:p>
    <w:p w14:paraId="243F0588" w14:textId="77777777" w:rsidR="005412E7" w:rsidRPr="00382CA1" w:rsidRDefault="005412E7">
      <w:pPr>
        <w:pStyle w:val="BodyText"/>
        <w:spacing w:before="9"/>
        <w:rPr>
          <w:sz w:val="16"/>
          <w:szCs w:val="16"/>
        </w:rPr>
      </w:pPr>
    </w:p>
    <w:p w14:paraId="243F0589" w14:textId="77777777" w:rsidR="005412E7" w:rsidRDefault="00602F65">
      <w:pPr>
        <w:pStyle w:val="ListParagraph"/>
        <w:numPr>
          <w:ilvl w:val="1"/>
          <w:numId w:val="2"/>
        </w:numPr>
        <w:tabs>
          <w:tab w:val="left" w:pos="1250"/>
        </w:tabs>
        <w:ind w:right="124"/>
        <w:rPr>
          <w:sz w:val="20"/>
        </w:rPr>
      </w:pPr>
      <w:r>
        <w:rPr>
          <w:sz w:val="20"/>
        </w:rPr>
        <w:t>Характеристиките на сярата (напр. данни, необходими на заводите за физическа подготовка) на всички въглища, влизащи в световната търговия, трябва да бъдат посочени по стандартизиран начин;</w:t>
      </w:r>
    </w:p>
    <w:p w14:paraId="243F058A" w14:textId="77777777" w:rsidR="005412E7" w:rsidRDefault="00602F65">
      <w:pPr>
        <w:pStyle w:val="ListParagraph"/>
        <w:numPr>
          <w:ilvl w:val="1"/>
          <w:numId w:val="2"/>
        </w:numPr>
        <w:tabs>
          <w:tab w:val="left" w:pos="1250"/>
        </w:tabs>
        <w:spacing w:before="118"/>
        <w:ind w:right="120"/>
        <w:rPr>
          <w:sz w:val="20"/>
        </w:rPr>
      </w:pPr>
      <w:r>
        <w:rPr>
          <w:sz w:val="20"/>
        </w:rPr>
        <w:t>Следва да се направи преглед на това как въглищата, които влизат в световната търговия, трябва да бъдат анализирани по отношение на съдържанието на метал в тях.</w:t>
      </w:r>
    </w:p>
    <w:p w14:paraId="243F058B" w14:textId="77777777" w:rsidR="005412E7" w:rsidRPr="00382CA1" w:rsidRDefault="005412E7" w:rsidP="00382CA1">
      <w:pPr>
        <w:pStyle w:val="BodyText"/>
        <w:rPr>
          <w:sz w:val="16"/>
          <w:szCs w:val="16"/>
        </w:rPr>
      </w:pPr>
    </w:p>
    <w:p w14:paraId="243F058C" w14:textId="77777777" w:rsidR="005412E7" w:rsidRDefault="00602F65" w:rsidP="00382CA1">
      <w:pPr>
        <w:pStyle w:val="Heading2"/>
        <w:numPr>
          <w:ilvl w:val="0"/>
          <w:numId w:val="2"/>
        </w:numPr>
        <w:tabs>
          <w:tab w:val="left" w:pos="836"/>
          <w:tab w:val="left" w:pos="837"/>
        </w:tabs>
        <w:ind w:hanging="721"/>
      </w:pPr>
      <w:r>
        <w:t>Употреба - Изисквания за научноизследователска и развойна дейност</w:t>
      </w:r>
    </w:p>
    <w:p w14:paraId="243F058D" w14:textId="77777777" w:rsidR="005412E7" w:rsidRPr="00382CA1" w:rsidRDefault="005412E7">
      <w:pPr>
        <w:pStyle w:val="BodyText"/>
        <w:spacing w:before="1"/>
        <w:rPr>
          <w:b/>
          <w:sz w:val="16"/>
          <w:szCs w:val="16"/>
        </w:rPr>
      </w:pPr>
    </w:p>
    <w:p w14:paraId="243F058E" w14:textId="77777777" w:rsidR="005412E7" w:rsidRDefault="00602F65">
      <w:pPr>
        <w:pStyle w:val="BodyText"/>
        <w:ind w:left="116" w:right="116"/>
        <w:jc w:val="both"/>
      </w:pPr>
      <w:r>
        <w:t>Има много екологични аспекти на въглищния цикъл, които изискват допълнителни изследвания. Координацията на това изследване в международен план може да бъде от полза. И по-конкретно:</w:t>
      </w:r>
    </w:p>
    <w:p w14:paraId="243F058F" w14:textId="77777777" w:rsidR="005412E7" w:rsidRPr="00382CA1" w:rsidRDefault="005412E7">
      <w:pPr>
        <w:pStyle w:val="BodyText"/>
        <w:spacing w:before="10"/>
        <w:rPr>
          <w:sz w:val="16"/>
          <w:szCs w:val="16"/>
        </w:rPr>
      </w:pPr>
    </w:p>
    <w:p w14:paraId="243F0590" w14:textId="77777777" w:rsidR="005412E7" w:rsidRDefault="00602F65">
      <w:pPr>
        <w:pStyle w:val="ListParagraph"/>
        <w:numPr>
          <w:ilvl w:val="1"/>
          <w:numId w:val="2"/>
        </w:numPr>
        <w:tabs>
          <w:tab w:val="left" w:pos="1250"/>
        </w:tabs>
        <w:ind w:right="118"/>
        <w:rPr>
          <w:sz w:val="20"/>
        </w:rPr>
      </w:pPr>
      <w:r>
        <w:rPr>
          <w:sz w:val="20"/>
        </w:rPr>
        <w:t>Следва да се положат по-големи усилия за разработване и предлагане на пазара на рентабилни модерни технологии за управление на изгарянето на въглища, включително нови системи като горене с кипящ слой, за да се използват въглищата по-ефективно и да се намали неблагоприятното въздействие върху околната среда;</w:t>
      </w:r>
    </w:p>
    <w:p w14:paraId="243F0591" w14:textId="77777777" w:rsidR="005412E7" w:rsidRDefault="00602F65">
      <w:pPr>
        <w:pStyle w:val="ListParagraph"/>
        <w:numPr>
          <w:ilvl w:val="1"/>
          <w:numId w:val="2"/>
        </w:numPr>
        <w:tabs>
          <w:tab w:val="left" w:pos="1250"/>
        </w:tabs>
        <w:spacing w:before="119"/>
        <w:ind w:right="123"/>
        <w:rPr>
          <w:sz w:val="20"/>
        </w:rPr>
      </w:pPr>
      <w:r>
        <w:rPr>
          <w:sz w:val="20"/>
        </w:rPr>
        <w:t>Следва да се извършват повече изследвания и разработки за разработване на агенти за кондициониране на въглища, които биха насърчили улавянето на сяра от пепелта;</w:t>
      </w:r>
    </w:p>
    <w:p w14:paraId="243F0592" w14:textId="77777777" w:rsidR="005412E7" w:rsidRDefault="00602F65">
      <w:pPr>
        <w:pStyle w:val="ListParagraph"/>
        <w:numPr>
          <w:ilvl w:val="1"/>
          <w:numId w:val="2"/>
        </w:numPr>
        <w:tabs>
          <w:tab w:val="left" w:pos="1250"/>
        </w:tabs>
        <w:spacing w:before="118"/>
        <w:ind w:right="123"/>
        <w:rPr>
          <w:sz w:val="20"/>
        </w:rPr>
      </w:pPr>
      <w:r>
        <w:rPr>
          <w:sz w:val="20"/>
        </w:rPr>
        <w:t>Следва да се направи оценка на случващото се с металите, освободени от въглищата по време на горенето, последвана от контрол на частиците с помощта на електростатични утаители и ръкавни филтри;</w:t>
      </w:r>
    </w:p>
    <w:p w14:paraId="243F0593" w14:textId="77777777" w:rsidR="005412E7" w:rsidRDefault="00602F65" w:rsidP="00382CA1">
      <w:pPr>
        <w:pStyle w:val="ListParagraph"/>
        <w:numPr>
          <w:ilvl w:val="1"/>
          <w:numId w:val="2"/>
        </w:numPr>
        <w:tabs>
          <w:tab w:val="left" w:pos="1250"/>
        </w:tabs>
        <w:ind w:left="1253" w:right="130" w:hanging="432"/>
        <w:rPr>
          <w:sz w:val="20"/>
        </w:rPr>
      </w:pPr>
      <w:r>
        <w:rPr>
          <w:sz w:val="20"/>
        </w:rPr>
        <w:t>Алтернативните горивни системи следва да бъдат оценени за способността им да контролират емисиите на NOx;</w:t>
      </w:r>
    </w:p>
    <w:p w14:paraId="243F0594" w14:textId="77777777" w:rsidR="005412E7" w:rsidRDefault="005412E7">
      <w:pPr>
        <w:jc w:val="both"/>
        <w:rPr>
          <w:sz w:val="20"/>
        </w:rPr>
        <w:sectPr w:rsidR="005412E7">
          <w:pgSz w:w="11910" w:h="16840"/>
          <w:pgMar w:top="1320" w:right="1300" w:bottom="280" w:left="1300" w:header="849" w:footer="0" w:gutter="0"/>
          <w:cols w:space="720"/>
        </w:sectPr>
      </w:pPr>
    </w:p>
    <w:p w14:paraId="243F0595" w14:textId="77777777" w:rsidR="005412E7" w:rsidRDefault="00602F65">
      <w:pPr>
        <w:pStyle w:val="ListParagraph"/>
        <w:numPr>
          <w:ilvl w:val="1"/>
          <w:numId w:val="2"/>
        </w:numPr>
        <w:tabs>
          <w:tab w:val="left" w:pos="1249"/>
          <w:tab w:val="left" w:pos="1250"/>
        </w:tabs>
        <w:spacing w:before="89"/>
        <w:ind w:right="121"/>
        <w:jc w:val="left"/>
        <w:rPr>
          <w:sz w:val="20"/>
        </w:rPr>
      </w:pPr>
      <w:r>
        <w:rPr>
          <w:sz w:val="20"/>
        </w:rPr>
        <w:lastRenderedPageBreak/>
        <w:t>Нови процеси за използване на въглища (напр. газификация на въглища, втечняване на въглища), които са полезни за околната среда, следва да бъдат доразвити;</w:t>
      </w:r>
    </w:p>
    <w:p w14:paraId="243F0596" w14:textId="77777777" w:rsidR="005412E7" w:rsidRDefault="00602F65">
      <w:pPr>
        <w:pStyle w:val="ListParagraph"/>
        <w:numPr>
          <w:ilvl w:val="1"/>
          <w:numId w:val="2"/>
        </w:numPr>
        <w:tabs>
          <w:tab w:val="left" w:pos="1249"/>
          <w:tab w:val="left" w:pos="1250"/>
        </w:tabs>
        <w:spacing w:before="120"/>
        <w:ind w:right="121"/>
        <w:jc w:val="left"/>
        <w:rPr>
          <w:sz w:val="20"/>
        </w:rPr>
      </w:pPr>
      <w:r>
        <w:rPr>
          <w:sz w:val="20"/>
        </w:rPr>
        <w:t>Следва да се насърчава ползотворното използване на страничните продукти, включително отпадната топлина и химическите съставки на течните отпадъци.</w:t>
      </w:r>
    </w:p>
    <w:p w14:paraId="243F0597" w14:textId="77777777" w:rsidR="005412E7" w:rsidRDefault="005412E7">
      <w:pPr>
        <w:rPr>
          <w:sz w:val="20"/>
        </w:rPr>
        <w:sectPr w:rsidR="005412E7">
          <w:pgSz w:w="11910" w:h="16840"/>
          <w:pgMar w:top="1320" w:right="1300" w:bottom="280" w:left="1300" w:header="849" w:footer="0" w:gutter="0"/>
          <w:cols w:space="720"/>
        </w:sectPr>
      </w:pPr>
    </w:p>
    <w:p w14:paraId="243F0598" w14:textId="77777777" w:rsidR="005412E7" w:rsidRDefault="00602F65">
      <w:pPr>
        <w:pStyle w:val="Heading1"/>
      </w:pPr>
      <w:bookmarkStart w:id="0" w:name="About_the_OECD"/>
      <w:bookmarkEnd w:id="0"/>
      <w:r>
        <w:rPr>
          <w:color w:val="1F4679"/>
        </w:rPr>
        <w:lastRenderedPageBreak/>
        <w:t>Относно ОИСР</w:t>
      </w:r>
    </w:p>
    <w:p w14:paraId="243F0599" w14:textId="77777777" w:rsidR="005412E7" w:rsidRDefault="005412E7">
      <w:pPr>
        <w:pStyle w:val="BodyText"/>
        <w:spacing w:before="5"/>
        <w:rPr>
          <w:b/>
          <w:sz w:val="21"/>
        </w:rPr>
      </w:pPr>
    </w:p>
    <w:p w14:paraId="243F059A" w14:textId="77777777" w:rsidR="005412E7" w:rsidRDefault="00602F65">
      <w:pPr>
        <w:pStyle w:val="BodyText"/>
        <w:ind w:left="116" w:right="156"/>
        <w:jc w:val="both"/>
      </w:pPr>
      <w:r>
        <w:t>ОИСР е уникален форум, където правителствата работят заедно за справяне с икономическите, социалните и екологичните предизвикателства на глобализацията. ОИСР също е в челните редици на усилията за разбиране и подпомагане на правителствата да отговорят на новите развития и опасения, като корпоративно управление, информационна икономика и предизвикателствата на застаряващото население. Организацията осигурява среда, в която правителствата могат да сравняват политическия опит, да търсят отговори на общи проблеми, да идентифицират добри практики и да работят за координиране на вътрешни и международни политики.</w:t>
      </w:r>
    </w:p>
    <w:p w14:paraId="243F059B" w14:textId="77777777" w:rsidR="005412E7" w:rsidRDefault="005412E7">
      <w:pPr>
        <w:pStyle w:val="BodyText"/>
        <w:spacing w:before="10"/>
      </w:pPr>
    </w:p>
    <w:p w14:paraId="243F059C" w14:textId="77777777" w:rsidR="005412E7" w:rsidRDefault="00602F65">
      <w:pPr>
        <w:pStyle w:val="BodyText"/>
        <w:ind w:left="115" w:right="144" w:hanging="3"/>
        <w:jc w:val="both"/>
      </w:pPr>
      <w:r>
        <w:t>Страните членки на ОИСР са: Австралия, Австрия, Белгия, Канада, Чили, Колумбия, Коста Рика, Чехия, Дания, Естония, Финландия, Франция, Германия, Гърция, Унгария, Исландия, Ирландия, Израел, Италия, Япония, Корея, Латвия, Литва, Люксембург , Мексико, Холандия, Нова Зеландия, Норвегия, Полша, Португалия, Република Словакия, Словения, Испания, Швеция, Швейцария, Турция, Обединеното кралство и Съединените щати. Европейският съюз участва в работата на ОИСР.</w:t>
      </w:r>
    </w:p>
    <w:p w14:paraId="243F059D" w14:textId="77777777" w:rsidR="005412E7" w:rsidRDefault="005412E7">
      <w:pPr>
        <w:pStyle w:val="BodyText"/>
        <w:rPr>
          <w:sz w:val="22"/>
        </w:rPr>
      </w:pPr>
    </w:p>
    <w:p w14:paraId="243F059E" w14:textId="77777777" w:rsidR="005412E7" w:rsidRDefault="00602F65">
      <w:pPr>
        <w:pStyle w:val="Heading1"/>
        <w:spacing w:before="141"/>
      </w:pPr>
      <w:bookmarkStart w:id="1" w:name="OECD_Legal_Instruments"/>
      <w:bookmarkEnd w:id="1"/>
      <w:r>
        <w:rPr>
          <w:color w:val="1F4679"/>
        </w:rPr>
        <w:t>Правни инструменти на ОИСР</w:t>
      </w:r>
    </w:p>
    <w:p w14:paraId="243F059F" w14:textId="77777777" w:rsidR="005412E7" w:rsidRDefault="005412E7">
      <w:pPr>
        <w:pStyle w:val="BodyText"/>
        <w:spacing w:before="7"/>
        <w:rPr>
          <w:b/>
          <w:sz w:val="21"/>
        </w:rPr>
      </w:pPr>
    </w:p>
    <w:p w14:paraId="243F05A0" w14:textId="77777777" w:rsidR="005412E7" w:rsidRDefault="00602F65">
      <w:pPr>
        <w:pStyle w:val="BodyText"/>
        <w:ind w:left="116" w:right="150"/>
        <w:jc w:val="both"/>
      </w:pPr>
      <w:r>
        <w:t>От създаването на ОИСР през 1961 г. в рамките на ОИСР са разработени около 460 материалноправни инструмента. Те включват актове на ОИСР (т.е. решения и препоръки, приети от Съвета на ОИСР в съответствие с Конвенцията на ОИСР) и други правни инструменти, разработени в рамките на ОИСР (напр. декларации, международни споразумения).</w:t>
      </w:r>
    </w:p>
    <w:p w14:paraId="243F05A1" w14:textId="77777777" w:rsidR="005412E7" w:rsidRDefault="005412E7">
      <w:pPr>
        <w:pStyle w:val="BodyText"/>
        <w:spacing w:before="10"/>
      </w:pPr>
    </w:p>
    <w:p w14:paraId="243F05A2" w14:textId="77777777" w:rsidR="005412E7" w:rsidRDefault="00602F65">
      <w:pPr>
        <w:pStyle w:val="BodyText"/>
        <w:ind w:left="113" w:right="150"/>
        <w:jc w:val="both"/>
      </w:pPr>
      <w:r>
        <w:t>Всички съществени правни инструменти на ОИСР, независимо дали са в сила или са отменени, са изброени в онлайн сборника на правните инструменти на ОИСР. Те са представени в пет категории:</w:t>
      </w:r>
    </w:p>
    <w:p w14:paraId="243F05A3" w14:textId="77777777" w:rsidR="005412E7" w:rsidRDefault="005412E7">
      <w:pPr>
        <w:pStyle w:val="BodyText"/>
        <w:spacing w:before="8"/>
        <w:rPr>
          <w:sz w:val="18"/>
        </w:rPr>
      </w:pPr>
    </w:p>
    <w:p w14:paraId="243F05A4" w14:textId="77777777" w:rsidR="005412E7" w:rsidRDefault="00602F65">
      <w:pPr>
        <w:pStyle w:val="ListParagraph"/>
        <w:numPr>
          <w:ilvl w:val="0"/>
          <w:numId w:val="1"/>
        </w:numPr>
        <w:tabs>
          <w:tab w:val="left" w:pos="853"/>
        </w:tabs>
        <w:spacing w:line="244" w:lineRule="auto"/>
        <w:ind w:right="110"/>
        <w:rPr>
          <w:sz w:val="20"/>
        </w:rPr>
      </w:pPr>
      <w:r>
        <w:rPr>
          <w:b/>
          <w:sz w:val="20"/>
        </w:rPr>
        <w:t>Решенията</w:t>
      </w:r>
      <w:r>
        <w:rPr>
          <w:sz w:val="20"/>
        </w:rPr>
        <w:t xml:space="preserve"> се приемат от Съвета и са правно обвързващи за всички страни-членки с изключение на тези, които се въздържат към момента на приемане. Те определят специфични права и задължения и могат да съдържат механизми за наблюдение.</w:t>
      </w:r>
    </w:p>
    <w:p w14:paraId="243F05A5" w14:textId="77777777" w:rsidR="005412E7" w:rsidRDefault="00602F65">
      <w:pPr>
        <w:pStyle w:val="ListParagraph"/>
        <w:numPr>
          <w:ilvl w:val="0"/>
          <w:numId w:val="1"/>
        </w:numPr>
        <w:tabs>
          <w:tab w:val="left" w:pos="853"/>
        </w:tabs>
        <w:spacing w:before="197" w:line="244" w:lineRule="auto"/>
        <w:ind w:right="105"/>
        <w:rPr>
          <w:sz w:val="20"/>
        </w:rPr>
      </w:pPr>
      <w:r>
        <w:rPr>
          <w:b/>
          <w:sz w:val="20"/>
        </w:rPr>
        <w:t>Препоръките</w:t>
      </w:r>
      <w:r>
        <w:rPr>
          <w:sz w:val="20"/>
        </w:rPr>
        <w:t xml:space="preserve"> се приемат от Съвета и не са правно обвързващи. Те представляват политически ангажимент към принципите, които съдържат, и включват очакване, че присъединилите се страни ще направят всичко възможно, за да ги изпълнят.</w:t>
      </w:r>
    </w:p>
    <w:p w14:paraId="243F05A6" w14:textId="77777777" w:rsidR="005412E7" w:rsidRDefault="00602F65">
      <w:pPr>
        <w:pStyle w:val="ListParagraph"/>
        <w:numPr>
          <w:ilvl w:val="0"/>
          <w:numId w:val="1"/>
        </w:numPr>
        <w:tabs>
          <w:tab w:val="left" w:pos="853"/>
        </w:tabs>
        <w:spacing w:before="197" w:line="244" w:lineRule="auto"/>
        <w:ind w:right="103"/>
        <w:rPr>
          <w:sz w:val="20"/>
        </w:rPr>
      </w:pPr>
      <w:r>
        <w:rPr>
          <w:b/>
          <w:sz w:val="20"/>
        </w:rPr>
        <w:t>Документите за съществени резултати</w:t>
      </w:r>
      <w:r>
        <w:rPr>
          <w:sz w:val="20"/>
        </w:rPr>
        <w:t xml:space="preserve"> се приемат от отделните изброени присъединили се страни, а не от орган на ОИСР, като резултат от среща на министерско, високо ниво или друго в рамките на Организацията. Обикновено те поставят общи принципи или дългосрочни цели и имат тържествен характер.</w:t>
      </w:r>
    </w:p>
    <w:p w14:paraId="243F05A7" w14:textId="77777777" w:rsidR="005412E7" w:rsidRDefault="00602F65">
      <w:pPr>
        <w:pStyle w:val="ListParagraph"/>
        <w:numPr>
          <w:ilvl w:val="0"/>
          <w:numId w:val="1"/>
        </w:numPr>
        <w:tabs>
          <w:tab w:val="left" w:pos="853"/>
        </w:tabs>
        <w:spacing w:before="198" w:line="242" w:lineRule="auto"/>
        <w:ind w:right="114"/>
        <w:rPr>
          <w:sz w:val="20"/>
        </w:rPr>
      </w:pPr>
      <w:r>
        <w:rPr>
          <w:sz w:val="20"/>
        </w:rPr>
        <w:t xml:space="preserve">В рамките на Организацията се договарят и сключват </w:t>
      </w:r>
      <w:r>
        <w:rPr>
          <w:b/>
          <w:sz w:val="20"/>
        </w:rPr>
        <w:t>международни споразумения.</w:t>
      </w:r>
      <w:r>
        <w:rPr>
          <w:sz w:val="20"/>
        </w:rPr>
        <w:t xml:space="preserve"> Те са правно обвързващи за страните.</w:t>
      </w:r>
    </w:p>
    <w:p w14:paraId="243F05A8" w14:textId="77777777" w:rsidR="005412E7" w:rsidRDefault="005412E7">
      <w:pPr>
        <w:pStyle w:val="BodyText"/>
        <w:spacing w:before="3"/>
        <w:rPr>
          <w:sz w:val="19"/>
        </w:rPr>
      </w:pPr>
    </w:p>
    <w:p w14:paraId="243F05A9" w14:textId="77777777" w:rsidR="005412E7" w:rsidRDefault="00602F65">
      <w:pPr>
        <w:pStyle w:val="ListParagraph"/>
        <w:numPr>
          <w:ilvl w:val="0"/>
          <w:numId w:val="1"/>
        </w:numPr>
        <w:tabs>
          <w:tab w:val="left" w:pos="853"/>
        </w:tabs>
        <w:spacing w:before="1"/>
        <w:ind w:right="108" w:hanging="710"/>
        <w:rPr>
          <w:sz w:val="20"/>
        </w:rPr>
      </w:pPr>
      <w:r>
        <w:rPr>
          <w:b/>
          <w:sz w:val="20"/>
        </w:rPr>
        <w:t>Споразумение, разбирателство и други</w:t>
      </w:r>
      <w:r>
        <w:rPr>
          <w:sz w:val="20"/>
        </w:rPr>
        <w:t>: няколко други типа материалноправни инструменти са разработени в рамките на ОИСР с течение на времето, като споразумението за официално подкрепяни експортни кредити, международното споразумение за принципите на морския транспорт и препоръките на Комитета за подпомагане на развитието (DAC).</w:t>
      </w:r>
    </w:p>
    <w:sectPr w:rsidR="005412E7">
      <w:headerReference w:type="default" r:id="rId16"/>
      <w:pgSz w:w="11940" w:h="16860"/>
      <w:pgMar w:top="1300" w:right="1260" w:bottom="280" w:left="130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A6C4EA" w14:textId="77777777" w:rsidR="00C0081B" w:rsidRDefault="00C0081B">
      <w:r>
        <w:separator/>
      </w:r>
    </w:p>
  </w:endnote>
  <w:endnote w:type="continuationSeparator" w:id="0">
    <w:p w14:paraId="6FE50257" w14:textId="77777777" w:rsidR="00C0081B" w:rsidRDefault="00C008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Black">
    <w:altName w:val="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A13ABC" w14:textId="77777777" w:rsidR="00C0081B" w:rsidRDefault="00C0081B">
      <w:r>
        <w:separator/>
      </w:r>
    </w:p>
  </w:footnote>
  <w:footnote w:type="continuationSeparator" w:id="0">
    <w:p w14:paraId="5251F5E9" w14:textId="77777777" w:rsidR="00C0081B" w:rsidRDefault="00C008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F05B1" w14:textId="77777777" w:rsidR="005412E7" w:rsidRDefault="00C0081B">
    <w:pPr>
      <w:pStyle w:val="BodyText"/>
      <w:spacing w:line="14" w:lineRule="auto"/>
    </w:pPr>
    <w:r>
      <w:pict w14:anchorId="243F05B4">
        <v:line id="_x0000_s1026" style="position:absolute;z-index:-15900672;mso-position-horizontal-relative:page;mso-position-vertical-relative:page" from="158pt,56.05pt" to="554.1pt,56.05pt" strokecolor="#2a2928" strokeweight=".63pt">
          <w10:wrap anchorx="page" anchory="page"/>
        </v:line>
      </w:pict>
    </w:r>
    <w:r>
      <w:pict w14:anchorId="243F05B5">
        <v:shapetype id="_x0000_t202" coordsize="21600,21600" o:spt="202" path="m,l,21600r21600,l21600,xe">
          <v:stroke joinstyle="miter"/>
          <v:path gradientshapeok="t" o:connecttype="rect"/>
        </v:shapetype>
        <v:shape id="_x0000_s1025" type="#_x0000_t202" style="position:absolute;margin-left:39.5pt;margin-top:41.45pt;width:124.15pt;height:16.05pt;z-index:-15900160;mso-position-horizontal-relative:page;mso-position-vertical-relative:page" filled="f" stroked="f">
          <v:textbox inset="0,0,0,0">
            <w:txbxContent>
              <w:p w14:paraId="243F05BB" w14:textId="47DC355E" w:rsidR="005412E7" w:rsidRPr="00470C57" w:rsidRDefault="00470C57" w:rsidP="00DA3520">
                <w:pPr>
                  <w:pStyle w:val="BodyText"/>
                  <w:tabs>
                    <w:tab w:val="left" w:pos="626"/>
                  </w:tabs>
                  <w:spacing w:before="18"/>
                  <w:rPr>
                    <w:lang/>
                  </w:rPr>
                </w:pPr>
                <w:r>
                  <w:rPr>
                    <w:lang/>
                  </w:rPr>
                  <w:t>OECD/LEGAL/0173</w:t>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F05B2" w14:textId="77777777" w:rsidR="005412E7" w:rsidRDefault="00C0081B">
    <w:pPr>
      <w:pStyle w:val="BodyText"/>
      <w:spacing w:line="14" w:lineRule="auto"/>
    </w:pPr>
    <w:r>
      <w:pict w14:anchorId="243F05B6">
        <v:line id="_x0000_s1028" style="position:absolute;z-index:-15901696;mso-position-horizontal-relative:page;mso-position-vertical-relative:page" from="42.5pt,56.05pt" to="438.6pt,56.05pt" strokecolor="#2a2928" strokeweight=".63pt">
          <w10:wrap anchorx="page" anchory="page"/>
        </v:line>
      </w:pict>
    </w:r>
    <w:r>
      <w:pict w14:anchorId="243F05B7">
        <v:shapetype id="_x0000_t202" coordsize="21600,21600" o:spt="202" path="m,l,21600r21600,l21600,xe">
          <v:stroke joinstyle="miter"/>
          <v:path gradientshapeok="t" o:connecttype="rect"/>
        </v:shapetype>
        <v:shape id="_x0000_s1027" type="#_x0000_t202" style="position:absolute;margin-left:432.1pt;margin-top:41.45pt;width:126pt;height:16.05pt;z-index:-15901184;mso-position-horizontal-relative:page;mso-position-vertical-relative:page" filled="f" stroked="f">
          <v:textbox inset="0,0,0,0">
            <w:txbxContent>
              <w:p w14:paraId="243F05BA" w14:textId="30DFA6A6" w:rsidR="005412E7" w:rsidRPr="00DA3520" w:rsidRDefault="00DA3520">
                <w:pPr>
                  <w:pStyle w:val="BodyText"/>
                  <w:tabs>
                    <w:tab w:val="left" w:pos="2308"/>
                  </w:tabs>
                  <w:spacing w:before="18"/>
                  <w:ind w:left="20"/>
                  <w:rPr>
                    <w:lang/>
                  </w:rPr>
                </w:pPr>
                <w:r>
                  <w:rPr>
                    <w:lang/>
                  </w:rPr>
                  <w:t>OECD/LEGAL/0173</w:t>
                </w:r>
              </w:p>
            </w:txbxContent>
          </v:textbox>
          <w10:wrap anchorx="page"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F05B3" w14:textId="77777777" w:rsidR="005412E7" w:rsidRDefault="005412E7">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0A339E2"/>
    <w:multiLevelType w:val="hybridMultilevel"/>
    <w:tmpl w:val="8BA47D28"/>
    <w:lvl w:ilvl="0" w:tplc="F410A256">
      <w:numFmt w:val="bullet"/>
      <w:lvlText w:val="•"/>
      <w:lvlJc w:val="left"/>
      <w:pPr>
        <w:ind w:left="852" w:hanging="711"/>
      </w:pPr>
      <w:rPr>
        <w:rFonts w:ascii="Verdana" w:eastAsia="Verdana" w:hAnsi="Verdana" w:cs="Verdana" w:hint="default"/>
        <w:w w:val="80"/>
        <w:sz w:val="20"/>
        <w:szCs w:val="20"/>
        <w:lang w:val="en-US" w:eastAsia="en-US" w:bidi="ar-SA"/>
      </w:rPr>
    </w:lvl>
    <w:lvl w:ilvl="1" w:tplc="3D30C920">
      <w:numFmt w:val="bullet"/>
      <w:lvlText w:val="•"/>
      <w:lvlJc w:val="left"/>
      <w:pPr>
        <w:ind w:left="1712" w:hanging="711"/>
      </w:pPr>
      <w:rPr>
        <w:rFonts w:hint="default"/>
        <w:lang w:val="en-US" w:eastAsia="en-US" w:bidi="ar-SA"/>
      </w:rPr>
    </w:lvl>
    <w:lvl w:ilvl="2" w:tplc="6540B626">
      <w:numFmt w:val="bullet"/>
      <w:lvlText w:val="•"/>
      <w:lvlJc w:val="left"/>
      <w:pPr>
        <w:ind w:left="2564" w:hanging="711"/>
      </w:pPr>
      <w:rPr>
        <w:rFonts w:hint="default"/>
        <w:lang w:val="en-US" w:eastAsia="en-US" w:bidi="ar-SA"/>
      </w:rPr>
    </w:lvl>
    <w:lvl w:ilvl="3" w:tplc="68E45ED4">
      <w:numFmt w:val="bullet"/>
      <w:lvlText w:val="•"/>
      <w:lvlJc w:val="left"/>
      <w:pPr>
        <w:ind w:left="3416" w:hanging="711"/>
      </w:pPr>
      <w:rPr>
        <w:rFonts w:hint="default"/>
        <w:lang w:val="en-US" w:eastAsia="en-US" w:bidi="ar-SA"/>
      </w:rPr>
    </w:lvl>
    <w:lvl w:ilvl="4" w:tplc="4A84396A">
      <w:numFmt w:val="bullet"/>
      <w:lvlText w:val="•"/>
      <w:lvlJc w:val="left"/>
      <w:pPr>
        <w:ind w:left="4268" w:hanging="711"/>
      </w:pPr>
      <w:rPr>
        <w:rFonts w:hint="default"/>
        <w:lang w:val="en-US" w:eastAsia="en-US" w:bidi="ar-SA"/>
      </w:rPr>
    </w:lvl>
    <w:lvl w:ilvl="5" w:tplc="0B40D924">
      <w:numFmt w:val="bullet"/>
      <w:lvlText w:val="•"/>
      <w:lvlJc w:val="left"/>
      <w:pPr>
        <w:ind w:left="5120" w:hanging="711"/>
      </w:pPr>
      <w:rPr>
        <w:rFonts w:hint="default"/>
        <w:lang w:val="en-US" w:eastAsia="en-US" w:bidi="ar-SA"/>
      </w:rPr>
    </w:lvl>
    <w:lvl w:ilvl="6" w:tplc="CDEC8D4E">
      <w:numFmt w:val="bullet"/>
      <w:lvlText w:val="•"/>
      <w:lvlJc w:val="left"/>
      <w:pPr>
        <w:ind w:left="5972" w:hanging="711"/>
      </w:pPr>
      <w:rPr>
        <w:rFonts w:hint="default"/>
        <w:lang w:val="en-US" w:eastAsia="en-US" w:bidi="ar-SA"/>
      </w:rPr>
    </w:lvl>
    <w:lvl w:ilvl="7" w:tplc="7FBCF310">
      <w:numFmt w:val="bullet"/>
      <w:lvlText w:val="•"/>
      <w:lvlJc w:val="left"/>
      <w:pPr>
        <w:ind w:left="6824" w:hanging="711"/>
      </w:pPr>
      <w:rPr>
        <w:rFonts w:hint="default"/>
        <w:lang w:val="en-US" w:eastAsia="en-US" w:bidi="ar-SA"/>
      </w:rPr>
    </w:lvl>
    <w:lvl w:ilvl="8" w:tplc="4E84726E">
      <w:numFmt w:val="bullet"/>
      <w:lvlText w:val="•"/>
      <w:lvlJc w:val="left"/>
      <w:pPr>
        <w:ind w:left="7676" w:hanging="711"/>
      </w:pPr>
      <w:rPr>
        <w:rFonts w:hint="default"/>
        <w:lang w:val="en-US" w:eastAsia="en-US" w:bidi="ar-SA"/>
      </w:rPr>
    </w:lvl>
  </w:abstractNum>
  <w:abstractNum w:abstractNumId="1" w15:restartNumberingAfterBreak="0">
    <w:nsid w:val="31FF4606"/>
    <w:multiLevelType w:val="hybridMultilevel"/>
    <w:tmpl w:val="1B90E37A"/>
    <w:lvl w:ilvl="0" w:tplc="46EC2F64">
      <w:start w:val="1"/>
      <w:numFmt w:val="lowerLetter"/>
      <w:lvlText w:val="%1)"/>
      <w:lvlJc w:val="left"/>
      <w:pPr>
        <w:ind w:left="1249" w:hanging="425"/>
        <w:jc w:val="left"/>
      </w:pPr>
      <w:rPr>
        <w:rFonts w:ascii="Arial" w:eastAsia="Arial" w:hAnsi="Arial" w:cs="Arial" w:hint="default"/>
        <w:spacing w:val="-1"/>
        <w:w w:val="99"/>
        <w:sz w:val="20"/>
        <w:szCs w:val="20"/>
        <w:lang w:val="en-US" w:eastAsia="en-US" w:bidi="ar-SA"/>
      </w:rPr>
    </w:lvl>
    <w:lvl w:ilvl="1" w:tplc="88EE8722">
      <w:numFmt w:val="bullet"/>
      <w:lvlText w:val="•"/>
      <w:lvlJc w:val="left"/>
      <w:pPr>
        <w:ind w:left="2046" w:hanging="425"/>
      </w:pPr>
      <w:rPr>
        <w:rFonts w:hint="default"/>
        <w:lang w:val="en-US" w:eastAsia="en-US" w:bidi="ar-SA"/>
      </w:rPr>
    </w:lvl>
    <w:lvl w:ilvl="2" w:tplc="B7DE2EB4">
      <w:numFmt w:val="bullet"/>
      <w:lvlText w:val="•"/>
      <w:lvlJc w:val="left"/>
      <w:pPr>
        <w:ind w:left="2853" w:hanging="425"/>
      </w:pPr>
      <w:rPr>
        <w:rFonts w:hint="default"/>
        <w:lang w:val="en-US" w:eastAsia="en-US" w:bidi="ar-SA"/>
      </w:rPr>
    </w:lvl>
    <w:lvl w:ilvl="3" w:tplc="364A278A">
      <w:numFmt w:val="bullet"/>
      <w:lvlText w:val="•"/>
      <w:lvlJc w:val="left"/>
      <w:pPr>
        <w:ind w:left="3659" w:hanging="425"/>
      </w:pPr>
      <w:rPr>
        <w:rFonts w:hint="default"/>
        <w:lang w:val="en-US" w:eastAsia="en-US" w:bidi="ar-SA"/>
      </w:rPr>
    </w:lvl>
    <w:lvl w:ilvl="4" w:tplc="66147A90">
      <w:numFmt w:val="bullet"/>
      <w:lvlText w:val="•"/>
      <w:lvlJc w:val="left"/>
      <w:pPr>
        <w:ind w:left="4466" w:hanging="425"/>
      </w:pPr>
      <w:rPr>
        <w:rFonts w:hint="default"/>
        <w:lang w:val="en-US" w:eastAsia="en-US" w:bidi="ar-SA"/>
      </w:rPr>
    </w:lvl>
    <w:lvl w:ilvl="5" w:tplc="6F707EEA">
      <w:numFmt w:val="bullet"/>
      <w:lvlText w:val="•"/>
      <w:lvlJc w:val="left"/>
      <w:pPr>
        <w:ind w:left="5273" w:hanging="425"/>
      </w:pPr>
      <w:rPr>
        <w:rFonts w:hint="default"/>
        <w:lang w:val="en-US" w:eastAsia="en-US" w:bidi="ar-SA"/>
      </w:rPr>
    </w:lvl>
    <w:lvl w:ilvl="6" w:tplc="5F3AC3AA">
      <w:numFmt w:val="bullet"/>
      <w:lvlText w:val="•"/>
      <w:lvlJc w:val="left"/>
      <w:pPr>
        <w:ind w:left="6079" w:hanging="425"/>
      </w:pPr>
      <w:rPr>
        <w:rFonts w:hint="default"/>
        <w:lang w:val="en-US" w:eastAsia="en-US" w:bidi="ar-SA"/>
      </w:rPr>
    </w:lvl>
    <w:lvl w:ilvl="7" w:tplc="D67A8C9E">
      <w:numFmt w:val="bullet"/>
      <w:lvlText w:val="•"/>
      <w:lvlJc w:val="left"/>
      <w:pPr>
        <w:ind w:left="6886" w:hanging="425"/>
      </w:pPr>
      <w:rPr>
        <w:rFonts w:hint="default"/>
        <w:lang w:val="en-US" w:eastAsia="en-US" w:bidi="ar-SA"/>
      </w:rPr>
    </w:lvl>
    <w:lvl w:ilvl="8" w:tplc="246C8C94">
      <w:numFmt w:val="bullet"/>
      <w:lvlText w:val="•"/>
      <w:lvlJc w:val="left"/>
      <w:pPr>
        <w:ind w:left="7693" w:hanging="425"/>
      </w:pPr>
      <w:rPr>
        <w:rFonts w:hint="default"/>
        <w:lang w:val="en-US" w:eastAsia="en-US" w:bidi="ar-SA"/>
      </w:rPr>
    </w:lvl>
  </w:abstractNum>
  <w:abstractNum w:abstractNumId="2" w15:restartNumberingAfterBreak="0">
    <w:nsid w:val="448F62F7"/>
    <w:multiLevelType w:val="hybridMultilevel"/>
    <w:tmpl w:val="B39E5814"/>
    <w:lvl w:ilvl="0" w:tplc="658E5800">
      <w:start w:val="1"/>
      <w:numFmt w:val="upperLetter"/>
      <w:lvlText w:val="%1."/>
      <w:lvlJc w:val="left"/>
      <w:pPr>
        <w:ind w:left="836" w:hanging="720"/>
        <w:jc w:val="left"/>
      </w:pPr>
      <w:rPr>
        <w:rFonts w:ascii="Arial" w:eastAsia="Arial" w:hAnsi="Arial" w:cs="Arial" w:hint="default"/>
        <w:b/>
        <w:bCs/>
        <w:spacing w:val="-5"/>
        <w:w w:val="99"/>
        <w:sz w:val="20"/>
        <w:szCs w:val="20"/>
        <w:lang w:val="en-US" w:eastAsia="en-US" w:bidi="ar-SA"/>
      </w:rPr>
    </w:lvl>
    <w:lvl w:ilvl="1" w:tplc="76FE56FE">
      <w:numFmt w:val="bullet"/>
      <w:lvlText w:val=""/>
      <w:lvlJc w:val="left"/>
      <w:pPr>
        <w:ind w:left="1249" w:hanging="425"/>
      </w:pPr>
      <w:rPr>
        <w:rFonts w:ascii="Symbol" w:eastAsia="Symbol" w:hAnsi="Symbol" w:cs="Symbol" w:hint="default"/>
        <w:w w:val="99"/>
        <w:sz w:val="20"/>
        <w:szCs w:val="20"/>
        <w:lang w:val="en-US" w:eastAsia="en-US" w:bidi="ar-SA"/>
      </w:rPr>
    </w:lvl>
    <w:lvl w:ilvl="2" w:tplc="E9167D4A">
      <w:numFmt w:val="bullet"/>
      <w:lvlText w:val="•"/>
      <w:lvlJc w:val="left"/>
      <w:pPr>
        <w:ind w:left="2136" w:hanging="425"/>
      </w:pPr>
      <w:rPr>
        <w:rFonts w:hint="default"/>
        <w:lang w:val="en-US" w:eastAsia="en-US" w:bidi="ar-SA"/>
      </w:rPr>
    </w:lvl>
    <w:lvl w:ilvl="3" w:tplc="022EE76E">
      <w:numFmt w:val="bullet"/>
      <w:lvlText w:val="•"/>
      <w:lvlJc w:val="left"/>
      <w:pPr>
        <w:ind w:left="3032" w:hanging="425"/>
      </w:pPr>
      <w:rPr>
        <w:rFonts w:hint="default"/>
        <w:lang w:val="en-US" w:eastAsia="en-US" w:bidi="ar-SA"/>
      </w:rPr>
    </w:lvl>
    <w:lvl w:ilvl="4" w:tplc="01B02702">
      <w:numFmt w:val="bullet"/>
      <w:lvlText w:val="•"/>
      <w:lvlJc w:val="left"/>
      <w:pPr>
        <w:ind w:left="3928" w:hanging="425"/>
      </w:pPr>
      <w:rPr>
        <w:rFonts w:hint="default"/>
        <w:lang w:val="en-US" w:eastAsia="en-US" w:bidi="ar-SA"/>
      </w:rPr>
    </w:lvl>
    <w:lvl w:ilvl="5" w:tplc="BAD4C69C">
      <w:numFmt w:val="bullet"/>
      <w:lvlText w:val="•"/>
      <w:lvlJc w:val="left"/>
      <w:pPr>
        <w:ind w:left="4825" w:hanging="425"/>
      </w:pPr>
      <w:rPr>
        <w:rFonts w:hint="default"/>
        <w:lang w:val="en-US" w:eastAsia="en-US" w:bidi="ar-SA"/>
      </w:rPr>
    </w:lvl>
    <w:lvl w:ilvl="6" w:tplc="05E6C552">
      <w:numFmt w:val="bullet"/>
      <w:lvlText w:val="•"/>
      <w:lvlJc w:val="left"/>
      <w:pPr>
        <w:ind w:left="5721" w:hanging="425"/>
      </w:pPr>
      <w:rPr>
        <w:rFonts w:hint="default"/>
        <w:lang w:val="en-US" w:eastAsia="en-US" w:bidi="ar-SA"/>
      </w:rPr>
    </w:lvl>
    <w:lvl w:ilvl="7" w:tplc="7C1A8D12">
      <w:numFmt w:val="bullet"/>
      <w:lvlText w:val="•"/>
      <w:lvlJc w:val="left"/>
      <w:pPr>
        <w:ind w:left="6617" w:hanging="425"/>
      </w:pPr>
      <w:rPr>
        <w:rFonts w:hint="default"/>
        <w:lang w:val="en-US" w:eastAsia="en-US" w:bidi="ar-SA"/>
      </w:rPr>
    </w:lvl>
    <w:lvl w:ilvl="8" w:tplc="6B4CB3EA">
      <w:numFmt w:val="bullet"/>
      <w:lvlText w:val="•"/>
      <w:lvlJc w:val="left"/>
      <w:pPr>
        <w:ind w:left="7513" w:hanging="425"/>
      </w:pPr>
      <w:rPr>
        <w:rFonts w:hint="default"/>
        <w:lang w:val="en-US" w:eastAsia="en-US" w:bidi="ar-SA"/>
      </w:rPr>
    </w:lvl>
  </w:abstractNum>
  <w:abstractNum w:abstractNumId="3" w15:restartNumberingAfterBreak="0">
    <w:nsid w:val="478C17E5"/>
    <w:multiLevelType w:val="hybridMultilevel"/>
    <w:tmpl w:val="A642E246"/>
    <w:lvl w:ilvl="0" w:tplc="39B891FE">
      <w:start w:val="1"/>
      <w:numFmt w:val="decimal"/>
      <w:lvlText w:val="%1."/>
      <w:lvlJc w:val="left"/>
      <w:pPr>
        <w:ind w:left="116" w:hanging="720"/>
        <w:jc w:val="left"/>
      </w:pPr>
      <w:rPr>
        <w:rFonts w:ascii="Arial" w:eastAsia="Arial" w:hAnsi="Arial" w:cs="Arial" w:hint="default"/>
        <w:spacing w:val="-1"/>
        <w:w w:val="99"/>
        <w:sz w:val="20"/>
        <w:szCs w:val="20"/>
        <w:lang w:val="en-US" w:eastAsia="en-US" w:bidi="ar-SA"/>
      </w:rPr>
    </w:lvl>
    <w:lvl w:ilvl="1" w:tplc="462696DE">
      <w:numFmt w:val="bullet"/>
      <w:lvlText w:val=""/>
      <w:lvlJc w:val="left"/>
      <w:pPr>
        <w:ind w:left="1249" w:hanging="425"/>
      </w:pPr>
      <w:rPr>
        <w:rFonts w:ascii="Symbol" w:eastAsia="Symbol" w:hAnsi="Symbol" w:cs="Symbol" w:hint="default"/>
        <w:w w:val="99"/>
        <w:sz w:val="20"/>
        <w:szCs w:val="20"/>
        <w:lang w:val="en-US" w:eastAsia="en-US" w:bidi="ar-SA"/>
      </w:rPr>
    </w:lvl>
    <w:lvl w:ilvl="2" w:tplc="3A6ED608">
      <w:numFmt w:val="bullet"/>
      <w:lvlText w:val="•"/>
      <w:lvlJc w:val="left"/>
      <w:pPr>
        <w:ind w:left="2136" w:hanging="425"/>
      </w:pPr>
      <w:rPr>
        <w:rFonts w:hint="default"/>
        <w:lang w:val="en-US" w:eastAsia="en-US" w:bidi="ar-SA"/>
      </w:rPr>
    </w:lvl>
    <w:lvl w:ilvl="3" w:tplc="7E88C56E">
      <w:numFmt w:val="bullet"/>
      <w:lvlText w:val="•"/>
      <w:lvlJc w:val="left"/>
      <w:pPr>
        <w:ind w:left="3032" w:hanging="425"/>
      </w:pPr>
      <w:rPr>
        <w:rFonts w:hint="default"/>
        <w:lang w:val="en-US" w:eastAsia="en-US" w:bidi="ar-SA"/>
      </w:rPr>
    </w:lvl>
    <w:lvl w:ilvl="4" w:tplc="958830CA">
      <w:numFmt w:val="bullet"/>
      <w:lvlText w:val="•"/>
      <w:lvlJc w:val="left"/>
      <w:pPr>
        <w:ind w:left="3928" w:hanging="425"/>
      </w:pPr>
      <w:rPr>
        <w:rFonts w:hint="default"/>
        <w:lang w:val="en-US" w:eastAsia="en-US" w:bidi="ar-SA"/>
      </w:rPr>
    </w:lvl>
    <w:lvl w:ilvl="5" w:tplc="327C0F5E">
      <w:numFmt w:val="bullet"/>
      <w:lvlText w:val="•"/>
      <w:lvlJc w:val="left"/>
      <w:pPr>
        <w:ind w:left="4825" w:hanging="425"/>
      </w:pPr>
      <w:rPr>
        <w:rFonts w:hint="default"/>
        <w:lang w:val="en-US" w:eastAsia="en-US" w:bidi="ar-SA"/>
      </w:rPr>
    </w:lvl>
    <w:lvl w:ilvl="6" w:tplc="E9A2A5D4">
      <w:numFmt w:val="bullet"/>
      <w:lvlText w:val="•"/>
      <w:lvlJc w:val="left"/>
      <w:pPr>
        <w:ind w:left="5721" w:hanging="425"/>
      </w:pPr>
      <w:rPr>
        <w:rFonts w:hint="default"/>
        <w:lang w:val="en-US" w:eastAsia="en-US" w:bidi="ar-SA"/>
      </w:rPr>
    </w:lvl>
    <w:lvl w:ilvl="7" w:tplc="4BC080BA">
      <w:numFmt w:val="bullet"/>
      <w:lvlText w:val="•"/>
      <w:lvlJc w:val="left"/>
      <w:pPr>
        <w:ind w:left="6617" w:hanging="425"/>
      </w:pPr>
      <w:rPr>
        <w:rFonts w:hint="default"/>
        <w:lang w:val="en-US" w:eastAsia="en-US" w:bidi="ar-SA"/>
      </w:rPr>
    </w:lvl>
    <w:lvl w:ilvl="8" w:tplc="D95AE106">
      <w:numFmt w:val="bullet"/>
      <w:lvlText w:val="•"/>
      <w:lvlJc w:val="left"/>
      <w:pPr>
        <w:ind w:left="7513" w:hanging="425"/>
      </w:pPr>
      <w:rPr>
        <w:rFonts w:hint="default"/>
        <w:lang w:val="en-US" w:eastAsia="en-US" w:bidi="ar-SA"/>
      </w:r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20"/>
  <w:hyphenationZone w:val="425"/>
  <w:evenAndOddHeaders/>
  <w:drawingGridHorizontalSpacing w:val="110"/>
  <w:displayHorizontalDrawingGridEvery w:val="2"/>
  <w:characterSpacingControl w:val="doNotCompress"/>
  <w:hdrShapeDefaults>
    <o:shapedefaults v:ext="edit" spidmax="2061"/>
    <o:shapelayout v:ext="edit">
      <o:idmap v:ext="edit" data="1"/>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5412E7"/>
    <w:rsid w:val="000D22F6"/>
    <w:rsid w:val="00382CA1"/>
    <w:rsid w:val="003B6EA8"/>
    <w:rsid w:val="00470C57"/>
    <w:rsid w:val="005412E7"/>
    <w:rsid w:val="00602F65"/>
    <w:rsid w:val="00856EC0"/>
    <w:rsid w:val="008631C4"/>
    <w:rsid w:val="0096578A"/>
    <w:rsid w:val="00C0081B"/>
    <w:rsid w:val="00D76F3E"/>
    <w:rsid w:val="00DA3520"/>
    <w:rsid w:val="00EA21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2"/>
    </o:shapelayout>
  </w:shapeDefaults>
  <w:decimalSymbol w:val=","/>
  <w:listSeparator w:val=";"/>
  <w14:docId w14:val="243F04AF"/>
  <w15:docId w15:val="{FB5422B1-EB22-4316-A4F8-2B6BAE24AD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bg-BG"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spacing w:before="73"/>
      <w:ind w:left="116"/>
      <w:jc w:val="both"/>
      <w:outlineLvl w:val="0"/>
    </w:pPr>
    <w:rPr>
      <w:b/>
      <w:bCs/>
      <w:sz w:val="24"/>
      <w:szCs w:val="24"/>
    </w:rPr>
  </w:style>
  <w:style w:type="paragraph" w:styleId="Heading2">
    <w:name w:val="heading 2"/>
    <w:basedOn w:val="Normal"/>
    <w:uiPriority w:val="9"/>
    <w:unhideWhenUsed/>
    <w:qFormat/>
    <w:pPr>
      <w:ind w:left="836" w:hanging="721"/>
      <w:outlineLvl w:val="1"/>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Title">
    <w:name w:val="Title"/>
    <w:basedOn w:val="Normal"/>
    <w:uiPriority w:val="10"/>
    <w:qFormat/>
    <w:pPr>
      <w:spacing w:before="222"/>
      <w:ind w:left="2221" w:right="2651" w:hanging="1321"/>
    </w:pPr>
    <w:rPr>
      <w:sz w:val="40"/>
      <w:szCs w:val="40"/>
    </w:rPr>
  </w:style>
  <w:style w:type="paragraph" w:styleId="ListParagraph">
    <w:name w:val="List Paragraph"/>
    <w:basedOn w:val="Normal"/>
    <w:uiPriority w:val="1"/>
    <w:qFormat/>
    <w:pPr>
      <w:ind w:left="1249" w:hanging="425"/>
      <w:jc w:val="both"/>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856EC0"/>
    <w:pPr>
      <w:tabs>
        <w:tab w:val="center" w:pos="4513"/>
        <w:tab w:val="right" w:pos="9026"/>
      </w:tabs>
    </w:pPr>
  </w:style>
  <w:style w:type="character" w:customStyle="1" w:styleId="HeaderChar">
    <w:name w:val="Header Char"/>
    <w:basedOn w:val="DefaultParagraphFont"/>
    <w:link w:val="Header"/>
    <w:uiPriority w:val="99"/>
    <w:rsid w:val="00856EC0"/>
    <w:rPr>
      <w:rFonts w:ascii="Arial" w:eastAsia="Arial" w:hAnsi="Arial" w:cs="Arial"/>
    </w:rPr>
  </w:style>
  <w:style w:type="paragraph" w:styleId="Footer">
    <w:name w:val="footer"/>
    <w:basedOn w:val="Normal"/>
    <w:link w:val="FooterChar"/>
    <w:uiPriority w:val="99"/>
    <w:unhideWhenUsed/>
    <w:rsid w:val="00856EC0"/>
    <w:pPr>
      <w:tabs>
        <w:tab w:val="center" w:pos="4513"/>
        <w:tab w:val="right" w:pos="9026"/>
      </w:tabs>
    </w:pPr>
  </w:style>
  <w:style w:type="character" w:customStyle="1" w:styleId="FooterChar">
    <w:name w:val="Footer Char"/>
    <w:basedOn w:val="DefaultParagraphFont"/>
    <w:link w:val="Footer"/>
    <w:uiPriority w:val="99"/>
    <w:rsid w:val="00856EC0"/>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legalinstruments.oecd.org/"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legalinstruments.oecd.org/"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2.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FE37CB227E4C7849B4B894363CED3B18" ma:contentTypeVersion="12" ma:contentTypeDescription="Създаване на нов документ" ma:contentTypeScope="" ma:versionID="fe7b4f7cbc69a318508ed03415694e09">
  <xsd:schema xmlns:xsd="http://www.w3.org/2001/XMLSchema" xmlns:xs="http://www.w3.org/2001/XMLSchema" xmlns:p="http://schemas.microsoft.com/office/2006/metadata/properties" xmlns:ns2="1c2649c6-0f6a-432e-8083-5d1192364e9a" xmlns:ns3="5adc7b8d-49ae-46df-b2d3-cd95f9860e28" targetNamespace="http://schemas.microsoft.com/office/2006/metadata/properties" ma:root="true" ma:fieldsID="a31f7c45ecc6cfeccb12657c7b0545d3" ns2:_="" ns3:_="">
    <xsd:import namespace="1c2649c6-0f6a-432e-8083-5d1192364e9a"/>
    <xsd:import namespace="5adc7b8d-49ae-46df-b2d3-cd95f9860e2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649c6-0f6a-432e-8083-5d1192364e9a" elementFormDefault="qualified">
    <xsd:import namespace="http://schemas.microsoft.com/office/2006/documentManagement/types"/>
    <xsd:import namespace="http://schemas.microsoft.com/office/infopath/2007/PartnerControls"/>
    <xsd:element name="SharedWithUsers" ma:index="8" nillable="true" ma:displayName="Споделено с"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Споделени с подробности"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adc7b8d-49ae-46df-b2d3-cd95f9860e2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съдържание"/>
        <xsd:element ref="dc:title" minOccurs="0" maxOccurs="1" ma:index="4" ma:displayName="Заглав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9A7BE9B-62C5-4575-AE68-1C6D5CDBF9B0}"/>
</file>

<file path=customXml/itemProps2.xml><?xml version="1.0" encoding="utf-8"?>
<ds:datastoreItem xmlns:ds="http://schemas.openxmlformats.org/officeDocument/2006/customXml" ds:itemID="{973203B9-05EC-4EDB-87D3-A76FAF690891}">
  <ds:schemaRefs>
    <ds:schemaRef ds:uri="http://schemas.microsoft.com/sharepoint/v3/contenttype/forms"/>
  </ds:schemaRefs>
</ds:datastoreItem>
</file>

<file path=customXml/itemProps3.xml><?xml version="1.0" encoding="utf-8"?>
<ds:datastoreItem xmlns:ds="http://schemas.openxmlformats.org/officeDocument/2006/customXml" ds:itemID="{D63D4E1B-1262-4CE3-BD5D-F7BBA24DAABA}">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9</Pages>
  <Words>2574</Words>
  <Characters>14677</Characters>
  <Application>Microsoft Office Word</Application>
  <DocSecurity>0</DocSecurity>
  <Lines>122</Lines>
  <Paragraphs>34</Paragraphs>
  <ScaleCrop>false</ScaleCrop>
  <Company/>
  <LinksUpToDate>false</LinksUpToDate>
  <CharactersWithSpaces>17217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Kemal ERDOGAN</dc:creator>
  <cp:lastModifiedBy>Kristina T</cp:lastModifiedBy>
  <cp:revision>10</cp:revision>
  <dcterms:created xsi:type="dcterms:W3CDTF">2022-01-19T08:21:00Z</dcterms:created>
  <dcterms:modified xsi:type="dcterms:W3CDTF">2022-01-31T09:30:00Z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2022-01-02T00:00:00Z</vt:filetime>
  </property>
  <property fmtid="{D5CDD505-2E9C-101B-9397-08002B2CF9AE}" pid="3" name="Creator">
    <vt:lpwstr>Microsoft® Word 2016</vt:lpwstr>
  </property>
  <property fmtid="{D5CDD505-2E9C-101B-9397-08002B2CF9AE}" pid="4" name="LastSaved">
    <vt:filetime>2022-01-19T00:00:00Z</vt:filetime>
  </property>
  <property fmtid="{D5CDD505-2E9C-101B-9397-08002B2CF9AE}" pid="5" name="ContentTypeId">
    <vt:lpwstr>0x010100FE37CB227E4C7849B4B894363CED3B18</vt:lpwstr>
  </property>
</Properties>
</file>