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8FBFF8" w14:textId="77777777" w:rsidR="00ED69DB" w:rsidRDefault="00630866">
      <w:pPr>
        <w:pStyle w:val="BodyText"/>
        <w:rPr>
          <w:rFonts w:ascii="Times New Roman"/>
        </w:rPr>
      </w:pPr>
      <w:r>
        <w:pict w14:anchorId="008FC134">
          <v:group id="_x0000_s2053" style="position:absolute;margin-left:-.5pt;margin-top:35.8pt;width:595.6pt;height:567.95pt;z-index:-15995392;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008FBFF9" w14:textId="77777777" w:rsidR="00ED69DB" w:rsidRDefault="00ED69DB">
      <w:pPr>
        <w:pStyle w:val="BodyText"/>
        <w:rPr>
          <w:rFonts w:ascii="Times New Roman"/>
        </w:rPr>
      </w:pPr>
    </w:p>
    <w:p w14:paraId="008FBFFA" w14:textId="77777777" w:rsidR="00ED69DB" w:rsidRDefault="00ED69DB">
      <w:pPr>
        <w:pStyle w:val="BodyText"/>
        <w:rPr>
          <w:rFonts w:ascii="Times New Roman"/>
        </w:rPr>
      </w:pPr>
    </w:p>
    <w:p w14:paraId="008FBFFB" w14:textId="77777777" w:rsidR="00ED69DB" w:rsidRDefault="00ED69DB">
      <w:pPr>
        <w:pStyle w:val="BodyText"/>
        <w:rPr>
          <w:rFonts w:ascii="Times New Roman"/>
        </w:rPr>
      </w:pPr>
    </w:p>
    <w:p w14:paraId="008FBFFC" w14:textId="77777777" w:rsidR="00ED69DB" w:rsidRDefault="00ED69DB">
      <w:pPr>
        <w:pStyle w:val="BodyText"/>
        <w:rPr>
          <w:rFonts w:ascii="Times New Roman"/>
        </w:rPr>
      </w:pPr>
    </w:p>
    <w:p w14:paraId="008FBFFD" w14:textId="77777777" w:rsidR="00ED69DB" w:rsidRDefault="00ED69DB">
      <w:pPr>
        <w:pStyle w:val="BodyText"/>
        <w:rPr>
          <w:rFonts w:ascii="Times New Roman"/>
        </w:rPr>
      </w:pPr>
    </w:p>
    <w:p w14:paraId="008FBFFE" w14:textId="77777777" w:rsidR="00ED69DB" w:rsidRDefault="00ED69DB">
      <w:pPr>
        <w:pStyle w:val="BodyText"/>
        <w:rPr>
          <w:rFonts w:ascii="Times New Roman"/>
        </w:rPr>
      </w:pPr>
    </w:p>
    <w:p w14:paraId="008FBFFF" w14:textId="77777777" w:rsidR="00ED69DB" w:rsidRDefault="00ED69DB">
      <w:pPr>
        <w:pStyle w:val="BodyText"/>
        <w:rPr>
          <w:rFonts w:ascii="Times New Roman"/>
        </w:rPr>
      </w:pPr>
    </w:p>
    <w:p w14:paraId="008FC000" w14:textId="77777777" w:rsidR="00ED69DB" w:rsidRDefault="00ED69DB">
      <w:pPr>
        <w:pStyle w:val="BodyText"/>
        <w:rPr>
          <w:rFonts w:ascii="Times New Roman"/>
        </w:rPr>
      </w:pPr>
    </w:p>
    <w:p w14:paraId="008FC001" w14:textId="77777777" w:rsidR="00ED69DB" w:rsidRDefault="00ED69DB">
      <w:pPr>
        <w:pStyle w:val="BodyText"/>
        <w:rPr>
          <w:rFonts w:ascii="Times New Roman"/>
        </w:rPr>
      </w:pPr>
    </w:p>
    <w:p w14:paraId="008FC002" w14:textId="77777777" w:rsidR="00ED69DB" w:rsidRDefault="00ED69DB">
      <w:pPr>
        <w:pStyle w:val="BodyText"/>
        <w:rPr>
          <w:rFonts w:ascii="Times New Roman"/>
        </w:rPr>
      </w:pPr>
    </w:p>
    <w:p w14:paraId="008FC003" w14:textId="77777777" w:rsidR="00ED69DB" w:rsidRDefault="00284B8A" w:rsidP="00EE50BC">
      <w:pPr>
        <w:tabs>
          <w:tab w:val="left" w:pos="7169"/>
        </w:tabs>
        <w:spacing w:before="222" w:line="264" w:lineRule="auto"/>
        <w:ind w:left="1350" w:right="2651" w:hanging="270"/>
        <w:rPr>
          <w:sz w:val="40"/>
        </w:rPr>
      </w:pPr>
      <w:r>
        <w:rPr>
          <w:color w:val="57585B"/>
          <w:sz w:val="40"/>
        </w:rPr>
        <w:t>Препоръка на Съвета за добри практики за управление на</w:t>
      </w:r>
    </w:p>
    <w:p w14:paraId="008FC004" w14:textId="77777777" w:rsidR="00ED69DB" w:rsidRDefault="00284B8A" w:rsidP="00EE50BC">
      <w:pPr>
        <w:ind w:left="1724" w:firstLine="616"/>
        <w:rPr>
          <w:sz w:val="40"/>
        </w:rPr>
      </w:pPr>
      <w:r>
        <w:rPr>
          <w:color w:val="57585B"/>
          <w:sz w:val="40"/>
        </w:rPr>
        <w:t>публичните разходи за</w:t>
      </w:r>
    </w:p>
    <w:p w14:paraId="008FC005" w14:textId="77777777" w:rsidR="00ED69DB" w:rsidRDefault="00284B8A" w:rsidP="00EE50BC">
      <w:pPr>
        <w:spacing w:before="47"/>
        <w:ind w:left="3420"/>
        <w:rPr>
          <w:sz w:val="40"/>
        </w:rPr>
      </w:pPr>
      <w:r>
        <w:rPr>
          <w:color w:val="57585B"/>
          <w:sz w:val="40"/>
        </w:rPr>
        <w:t>околната среда</w:t>
      </w:r>
    </w:p>
    <w:p w14:paraId="008FC006" w14:textId="77777777" w:rsidR="00ED69DB" w:rsidRDefault="00ED69DB">
      <w:pPr>
        <w:pStyle w:val="BodyText"/>
      </w:pPr>
    </w:p>
    <w:p w14:paraId="008FC007" w14:textId="77777777" w:rsidR="00ED69DB" w:rsidRDefault="00ED69DB">
      <w:pPr>
        <w:pStyle w:val="BodyText"/>
      </w:pPr>
    </w:p>
    <w:p w14:paraId="008FC008" w14:textId="77777777" w:rsidR="00ED69DB" w:rsidRDefault="00ED69DB">
      <w:pPr>
        <w:pStyle w:val="BodyText"/>
      </w:pPr>
    </w:p>
    <w:p w14:paraId="008FC009" w14:textId="77777777" w:rsidR="00ED69DB" w:rsidRDefault="00ED69DB">
      <w:pPr>
        <w:pStyle w:val="BodyText"/>
      </w:pPr>
    </w:p>
    <w:p w14:paraId="008FC00A" w14:textId="77777777" w:rsidR="00ED69DB" w:rsidRDefault="00ED69DB">
      <w:pPr>
        <w:pStyle w:val="BodyText"/>
      </w:pPr>
    </w:p>
    <w:p w14:paraId="008FC00B" w14:textId="77777777" w:rsidR="00ED69DB" w:rsidRDefault="00ED69DB">
      <w:pPr>
        <w:pStyle w:val="BodyText"/>
      </w:pPr>
    </w:p>
    <w:p w14:paraId="008FC00C" w14:textId="77777777" w:rsidR="00ED69DB" w:rsidRDefault="00ED69DB">
      <w:pPr>
        <w:pStyle w:val="BodyText"/>
      </w:pPr>
    </w:p>
    <w:p w14:paraId="008FC00D" w14:textId="77777777" w:rsidR="00ED69DB" w:rsidRDefault="00ED69DB">
      <w:pPr>
        <w:pStyle w:val="BodyText"/>
      </w:pPr>
    </w:p>
    <w:p w14:paraId="008FC00E" w14:textId="77777777" w:rsidR="00ED69DB" w:rsidRDefault="00ED69DB">
      <w:pPr>
        <w:pStyle w:val="BodyText"/>
      </w:pPr>
    </w:p>
    <w:p w14:paraId="008FC00F" w14:textId="77777777" w:rsidR="00ED69DB" w:rsidRDefault="00ED69DB">
      <w:pPr>
        <w:pStyle w:val="BodyText"/>
      </w:pPr>
    </w:p>
    <w:p w14:paraId="008FC010" w14:textId="77777777" w:rsidR="00ED69DB" w:rsidRDefault="00ED69DB">
      <w:pPr>
        <w:pStyle w:val="BodyText"/>
      </w:pPr>
    </w:p>
    <w:p w14:paraId="008FC011" w14:textId="77777777" w:rsidR="00ED69DB" w:rsidRDefault="00ED69DB">
      <w:pPr>
        <w:pStyle w:val="BodyText"/>
      </w:pPr>
    </w:p>
    <w:p w14:paraId="008FC012" w14:textId="77777777" w:rsidR="00ED69DB" w:rsidRDefault="00ED69DB">
      <w:pPr>
        <w:pStyle w:val="BodyText"/>
      </w:pPr>
    </w:p>
    <w:p w14:paraId="008FC013" w14:textId="77777777" w:rsidR="00ED69DB" w:rsidRDefault="00ED69DB">
      <w:pPr>
        <w:pStyle w:val="BodyText"/>
      </w:pPr>
    </w:p>
    <w:p w14:paraId="008FC014" w14:textId="77777777" w:rsidR="00ED69DB" w:rsidRDefault="00ED69DB">
      <w:pPr>
        <w:pStyle w:val="BodyText"/>
      </w:pPr>
    </w:p>
    <w:p w14:paraId="008FC015" w14:textId="77777777" w:rsidR="00ED69DB" w:rsidRDefault="00ED69DB">
      <w:pPr>
        <w:pStyle w:val="BodyText"/>
      </w:pPr>
    </w:p>
    <w:p w14:paraId="008FC016" w14:textId="77777777" w:rsidR="00ED69DB" w:rsidRDefault="00ED69DB">
      <w:pPr>
        <w:pStyle w:val="BodyText"/>
      </w:pPr>
    </w:p>
    <w:p w14:paraId="008FC017" w14:textId="77777777" w:rsidR="00ED69DB" w:rsidRDefault="00ED69DB">
      <w:pPr>
        <w:pStyle w:val="BodyText"/>
      </w:pPr>
    </w:p>
    <w:p w14:paraId="008FC018" w14:textId="77777777" w:rsidR="00ED69DB" w:rsidRDefault="00ED69DB">
      <w:pPr>
        <w:pStyle w:val="BodyText"/>
      </w:pPr>
    </w:p>
    <w:p w14:paraId="008FC019" w14:textId="77777777" w:rsidR="00ED69DB" w:rsidRDefault="00ED69DB">
      <w:pPr>
        <w:pStyle w:val="BodyText"/>
      </w:pPr>
    </w:p>
    <w:p w14:paraId="008FC01A" w14:textId="77777777" w:rsidR="00ED69DB" w:rsidRDefault="00ED69DB">
      <w:pPr>
        <w:pStyle w:val="BodyText"/>
      </w:pPr>
    </w:p>
    <w:p w14:paraId="008FC01B" w14:textId="77777777" w:rsidR="00ED69DB" w:rsidRDefault="00ED69DB">
      <w:pPr>
        <w:pStyle w:val="BodyText"/>
      </w:pPr>
    </w:p>
    <w:p w14:paraId="008FC01C" w14:textId="77777777" w:rsidR="00ED69DB" w:rsidRDefault="00ED69DB">
      <w:pPr>
        <w:pStyle w:val="BodyText"/>
      </w:pPr>
    </w:p>
    <w:p w14:paraId="008FC01D" w14:textId="77777777" w:rsidR="00ED69DB" w:rsidRDefault="00ED69DB">
      <w:pPr>
        <w:pStyle w:val="BodyText"/>
      </w:pPr>
    </w:p>
    <w:p w14:paraId="008FC01E" w14:textId="77777777" w:rsidR="00ED69DB" w:rsidRDefault="00ED69DB">
      <w:pPr>
        <w:pStyle w:val="BodyText"/>
      </w:pPr>
    </w:p>
    <w:p w14:paraId="008FC01F" w14:textId="77777777" w:rsidR="00ED69DB" w:rsidRDefault="00284B8A" w:rsidP="00EE50BC">
      <w:pPr>
        <w:spacing w:before="322" w:line="204" w:lineRule="auto"/>
        <w:ind w:left="811" w:right="7088" w:hanging="117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008FC020" w14:textId="77777777" w:rsidR="00ED69DB" w:rsidRDefault="00ED69DB">
      <w:pPr>
        <w:pStyle w:val="BodyText"/>
        <w:rPr>
          <w:rFonts w:ascii="Arial Black"/>
        </w:rPr>
      </w:pPr>
    </w:p>
    <w:p w14:paraId="008FC021" w14:textId="77777777" w:rsidR="00ED69DB" w:rsidRDefault="00ED69DB">
      <w:pPr>
        <w:pStyle w:val="BodyText"/>
        <w:rPr>
          <w:rFonts w:ascii="Arial Black"/>
        </w:rPr>
      </w:pPr>
    </w:p>
    <w:p w14:paraId="008FC022" w14:textId="77777777" w:rsidR="00ED69DB" w:rsidRDefault="00ED69DB">
      <w:pPr>
        <w:pStyle w:val="BodyText"/>
        <w:rPr>
          <w:rFonts w:ascii="Arial Black"/>
        </w:rPr>
      </w:pPr>
    </w:p>
    <w:p w14:paraId="008FC023" w14:textId="77777777" w:rsidR="00ED69DB" w:rsidRDefault="00ED69DB">
      <w:pPr>
        <w:pStyle w:val="BodyText"/>
        <w:rPr>
          <w:rFonts w:ascii="Arial Black"/>
        </w:rPr>
      </w:pPr>
    </w:p>
    <w:p w14:paraId="008FC024" w14:textId="77777777" w:rsidR="00ED69DB" w:rsidRDefault="00ED69DB">
      <w:pPr>
        <w:pStyle w:val="BodyText"/>
        <w:rPr>
          <w:rFonts w:ascii="Arial Black"/>
        </w:rPr>
      </w:pPr>
    </w:p>
    <w:p w14:paraId="008FC025" w14:textId="77777777" w:rsidR="00ED69DB" w:rsidRDefault="00ED69DB">
      <w:pPr>
        <w:pStyle w:val="BodyText"/>
        <w:rPr>
          <w:rFonts w:ascii="Arial Black"/>
        </w:rPr>
      </w:pPr>
    </w:p>
    <w:p w14:paraId="008FC026" w14:textId="77777777" w:rsidR="00ED69DB" w:rsidRDefault="00ED69DB">
      <w:pPr>
        <w:pStyle w:val="BodyText"/>
        <w:rPr>
          <w:rFonts w:ascii="Arial Black"/>
        </w:rPr>
      </w:pPr>
    </w:p>
    <w:p w14:paraId="008FC027" w14:textId="77777777" w:rsidR="00ED69DB" w:rsidRDefault="00ED69DB">
      <w:pPr>
        <w:pStyle w:val="BodyText"/>
        <w:rPr>
          <w:rFonts w:ascii="Arial Black"/>
        </w:rPr>
      </w:pPr>
    </w:p>
    <w:p w14:paraId="008FC028" w14:textId="77777777" w:rsidR="00ED69DB" w:rsidRDefault="00ED69DB">
      <w:pPr>
        <w:pStyle w:val="BodyText"/>
        <w:rPr>
          <w:rFonts w:ascii="Arial Black"/>
        </w:rPr>
      </w:pPr>
    </w:p>
    <w:p w14:paraId="008FC029" w14:textId="77777777" w:rsidR="00ED69DB" w:rsidRDefault="00ED69DB">
      <w:pPr>
        <w:pStyle w:val="BodyText"/>
        <w:rPr>
          <w:rFonts w:ascii="Arial Black"/>
        </w:rPr>
      </w:pPr>
    </w:p>
    <w:p w14:paraId="008FC02A" w14:textId="77777777" w:rsidR="00ED69DB" w:rsidRDefault="00284B8A">
      <w:pPr>
        <w:pStyle w:val="BodyText"/>
        <w:spacing w:before="6"/>
        <w:rPr>
          <w:rFonts w:ascii="Arial Black"/>
          <w:sz w:val="19"/>
        </w:rPr>
      </w:pPr>
      <w:r>
        <w:rPr>
          <w:noProof/>
        </w:rPr>
        <w:drawing>
          <wp:anchor distT="0" distB="0" distL="0" distR="0" simplePos="0" relativeHeight="251659264" behindDoc="0" locked="0" layoutInCell="1" allowOverlap="1" wp14:anchorId="008FC135" wp14:editId="008FC136">
            <wp:simplePos x="0" y="0"/>
            <wp:positionH relativeFrom="page">
              <wp:posOffset>5058409</wp:posOffset>
            </wp:positionH>
            <wp:positionV relativeFrom="paragraph">
              <wp:posOffset>199050</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008FC02B" w14:textId="77777777" w:rsidR="00ED69DB" w:rsidRDefault="00ED69DB">
      <w:pPr>
        <w:rPr>
          <w:rFonts w:ascii="Arial Black"/>
          <w:sz w:val="19"/>
        </w:rPr>
        <w:sectPr w:rsidR="00ED69DB">
          <w:type w:val="continuous"/>
          <w:pgSz w:w="11920" w:h="16850"/>
          <w:pgMar w:top="720" w:right="420" w:bottom="280" w:left="1680" w:header="720" w:footer="720" w:gutter="0"/>
          <w:cols w:space="720"/>
        </w:sectPr>
      </w:pPr>
    </w:p>
    <w:p w14:paraId="008FC02C" w14:textId="77777777" w:rsidR="00ED69DB" w:rsidRDefault="00ED69DB">
      <w:pPr>
        <w:pStyle w:val="BodyText"/>
        <w:rPr>
          <w:rFonts w:ascii="Arial Black"/>
        </w:rPr>
      </w:pPr>
    </w:p>
    <w:p w14:paraId="008FC02D" w14:textId="77777777" w:rsidR="00ED69DB" w:rsidRDefault="00ED69DB">
      <w:pPr>
        <w:pStyle w:val="BodyText"/>
        <w:rPr>
          <w:rFonts w:ascii="Arial Black"/>
        </w:rPr>
      </w:pPr>
    </w:p>
    <w:p w14:paraId="008FC02E" w14:textId="77777777" w:rsidR="00ED69DB" w:rsidRDefault="00ED69DB">
      <w:pPr>
        <w:pStyle w:val="BodyText"/>
        <w:rPr>
          <w:rFonts w:ascii="Arial Black"/>
        </w:rPr>
      </w:pPr>
    </w:p>
    <w:p w14:paraId="008FC02F" w14:textId="77777777" w:rsidR="00ED69DB" w:rsidRDefault="00ED69DB">
      <w:pPr>
        <w:pStyle w:val="BodyText"/>
        <w:rPr>
          <w:rFonts w:ascii="Arial Black"/>
        </w:rPr>
      </w:pPr>
    </w:p>
    <w:p w14:paraId="008FC030" w14:textId="77777777" w:rsidR="00ED69DB" w:rsidRDefault="00ED69DB">
      <w:pPr>
        <w:pStyle w:val="BodyText"/>
        <w:rPr>
          <w:rFonts w:ascii="Arial Black"/>
        </w:rPr>
      </w:pPr>
    </w:p>
    <w:p w14:paraId="008FC031" w14:textId="77777777" w:rsidR="00ED69DB" w:rsidRDefault="00ED69DB">
      <w:pPr>
        <w:pStyle w:val="BodyText"/>
        <w:spacing w:before="1"/>
        <w:rPr>
          <w:rFonts w:ascii="Arial Black"/>
          <w:sz w:val="22"/>
        </w:rPr>
      </w:pPr>
    </w:p>
    <w:p w14:paraId="008FC032" w14:textId="77777777" w:rsidR="00ED69DB" w:rsidRDefault="00284B8A">
      <w:pPr>
        <w:spacing w:before="94" w:line="242" w:lineRule="auto"/>
        <w:ind w:left="777" w:right="77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008FC033" w14:textId="77777777" w:rsidR="00ED69DB" w:rsidRDefault="00ED69DB">
      <w:pPr>
        <w:pStyle w:val="BodyText"/>
        <w:spacing w:before="10"/>
        <w:rPr>
          <w:sz w:val="15"/>
        </w:rPr>
      </w:pPr>
    </w:p>
    <w:p w14:paraId="008FC034" w14:textId="77777777" w:rsidR="00ED69DB" w:rsidRDefault="00284B8A">
      <w:pPr>
        <w:spacing w:line="242" w:lineRule="auto"/>
        <w:ind w:left="777" w:right="77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008FC035" w14:textId="77777777" w:rsidR="00ED69DB" w:rsidRDefault="00ED69DB">
      <w:pPr>
        <w:pStyle w:val="BodyText"/>
      </w:pPr>
    </w:p>
    <w:p w14:paraId="008FC036" w14:textId="77777777" w:rsidR="00ED69DB" w:rsidRDefault="00ED69DB">
      <w:pPr>
        <w:pStyle w:val="BodyText"/>
      </w:pPr>
    </w:p>
    <w:p w14:paraId="008FC037" w14:textId="77777777" w:rsidR="00ED69DB" w:rsidRDefault="00ED69DB">
      <w:pPr>
        <w:pStyle w:val="BodyText"/>
      </w:pPr>
    </w:p>
    <w:p w14:paraId="008FC038" w14:textId="77777777" w:rsidR="00ED69DB" w:rsidRDefault="00ED69DB">
      <w:pPr>
        <w:pStyle w:val="BodyText"/>
      </w:pPr>
    </w:p>
    <w:p w14:paraId="008FC039" w14:textId="77777777" w:rsidR="00ED69DB" w:rsidRDefault="00ED69DB">
      <w:pPr>
        <w:pStyle w:val="BodyText"/>
      </w:pPr>
    </w:p>
    <w:p w14:paraId="008FC03A" w14:textId="77777777" w:rsidR="00ED69DB" w:rsidRDefault="00ED69DB">
      <w:pPr>
        <w:pStyle w:val="BodyText"/>
      </w:pPr>
    </w:p>
    <w:p w14:paraId="008FC03B" w14:textId="77777777" w:rsidR="00ED69DB" w:rsidRDefault="00ED69DB">
      <w:pPr>
        <w:pStyle w:val="BodyText"/>
      </w:pPr>
    </w:p>
    <w:p w14:paraId="008FC03C" w14:textId="77777777" w:rsidR="00ED69DB" w:rsidRDefault="00ED69DB">
      <w:pPr>
        <w:pStyle w:val="BodyText"/>
      </w:pPr>
    </w:p>
    <w:p w14:paraId="008FC03D" w14:textId="77777777" w:rsidR="00ED69DB" w:rsidRDefault="00ED69DB">
      <w:pPr>
        <w:pStyle w:val="BodyText"/>
      </w:pPr>
    </w:p>
    <w:p w14:paraId="008FC03E" w14:textId="77777777" w:rsidR="00ED69DB" w:rsidRDefault="00ED69DB">
      <w:pPr>
        <w:pStyle w:val="BodyText"/>
      </w:pPr>
    </w:p>
    <w:p w14:paraId="008FC03F" w14:textId="77777777" w:rsidR="00ED69DB" w:rsidRDefault="00ED69DB">
      <w:pPr>
        <w:pStyle w:val="BodyText"/>
      </w:pPr>
    </w:p>
    <w:p w14:paraId="008FC040" w14:textId="77777777" w:rsidR="00ED69DB" w:rsidRDefault="00ED69DB">
      <w:pPr>
        <w:pStyle w:val="BodyText"/>
      </w:pPr>
    </w:p>
    <w:p w14:paraId="008FC041" w14:textId="77777777" w:rsidR="00ED69DB" w:rsidRDefault="00ED69DB">
      <w:pPr>
        <w:pStyle w:val="BodyText"/>
      </w:pPr>
    </w:p>
    <w:p w14:paraId="008FC042" w14:textId="77777777" w:rsidR="00ED69DB" w:rsidRDefault="00ED69DB">
      <w:pPr>
        <w:pStyle w:val="BodyText"/>
      </w:pPr>
    </w:p>
    <w:p w14:paraId="008FC043" w14:textId="77777777" w:rsidR="00ED69DB" w:rsidRDefault="00ED69DB">
      <w:pPr>
        <w:pStyle w:val="BodyText"/>
      </w:pPr>
    </w:p>
    <w:p w14:paraId="008FC044" w14:textId="77777777" w:rsidR="00ED69DB" w:rsidRDefault="00ED69DB">
      <w:pPr>
        <w:pStyle w:val="BodyText"/>
      </w:pPr>
    </w:p>
    <w:p w14:paraId="008FC045" w14:textId="77777777" w:rsidR="00ED69DB" w:rsidRDefault="00ED69DB">
      <w:pPr>
        <w:pStyle w:val="BodyText"/>
      </w:pPr>
    </w:p>
    <w:p w14:paraId="008FC046" w14:textId="77777777" w:rsidR="00ED69DB" w:rsidRDefault="00ED69DB">
      <w:pPr>
        <w:pStyle w:val="BodyText"/>
      </w:pPr>
    </w:p>
    <w:p w14:paraId="008FC047" w14:textId="77777777" w:rsidR="00ED69DB" w:rsidRDefault="00ED69DB">
      <w:pPr>
        <w:pStyle w:val="BodyText"/>
      </w:pPr>
    </w:p>
    <w:p w14:paraId="008FC048" w14:textId="77777777" w:rsidR="00ED69DB" w:rsidRDefault="00ED69DB">
      <w:pPr>
        <w:pStyle w:val="BodyText"/>
      </w:pPr>
    </w:p>
    <w:p w14:paraId="008FC049" w14:textId="77777777" w:rsidR="00ED69DB" w:rsidRDefault="00ED69DB">
      <w:pPr>
        <w:pStyle w:val="BodyText"/>
      </w:pPr>
    </w:p>
    <w:p w14:paraId="008FC04A" w14:textId="77777777" w:rsidR="00ED69DB" w:rsidRDefault="00ED69DB">
      <w:pPr>
        <w:pStyle w:val="BodyText"/>
      </w:pPr>
    </w:p>
    <w:p w14:paraId="008FC04B" w14:textId="77777777" w:rsidR="00ED69DB" w:rsidRDefault="00ED69DB">
      <w:pPr>
        <w:pStyle w:val="BodyText"/>
      </w:pPr>
    </w:p>
    <w:p w14:paraId="008FC04C" w14:textId="77777777" w:rsidR="00ED69DB" w:rsidRDefault="00ED69DB">
      <w:pPr>
        <w:pStyle w:val="BodyText"/>
      </w:pPr>
    </w:p>
    <w:p w14:paraId="008FC04D" w14:textId="77777777" w:rsidR="00ED69DB" w:rsidRDefault="00ED69DB">
      <w:pPr>
        <w:pStyle w:val="BodyText"/>
      </w:pPr>
    </w:p>
    <w:p w14:paraId="008FC04E" w14:textId="77777777" w:rsidR="00ED69DB" w:rsidRDefault="00ED69DB">
      <w:pPr>
        <w:pStyle w:val="BodyText"/>
      </w:pPr>
    </w:p>
    <w:p w14:paraId="008FC04F" w14:textId="77777777" w:rsidR="00ED69DB" w:rsidRDefault="00ED69DB">
      <w:pPr>
        <w:pStyle w:val="BodyText"/>
      </w:pPr>
    </w:p>
    <w:p w14:paraId="008FC050" w14:textId="77777777" w:rsidR="00ED69DB" w:rsidRDefault="00ED69DB">
      <w:pPr>
        <w:pStyle w:val="BodyText"/>
        <w:spacing w:before="1"/>
        <w:rPr>
          <w:sz w:val="22"/>
        </w:rPr>
      </w:pPr>
    </w:p>
    <w:p w14:paraId="008FC051" w14:textId="77777777" w:rsidR="00ED69DB" w:rsidRDefault="00284B8A">
      <w:pPr>
        <w:spacing w:line="242" w:lineRule="auto"/>
        <w:ind w:left="777" w:right="319"/>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http://legalinstruments.oecd.org</w:t>
        </w:r>
      </w:hyperlink>
      <w:r>
        <w:t xml:space="preserve"> </w:t>
      </w:r>
      <w:r>
        <w:rPr>
          <w:sz w:val="18"/>
        </w:rPr>
        <w:t>.</w:t>
      </w:r>
    </w:p>
    <w:p w14:paraId="008FC052" w14:textId="77777777" w:rsidR="00ED69DB" w:rsidRDefault="00630866">
      <w:pPr>
        <w:pStyle w:val="BodyText"/>
        <w:rPr>
          <w:sz w:val="14"/>
        </w:rPr>
      </w:pPr>
      <w:r>
        <w:pict w14:anchorId="008FC138">
          <v:shapetype id="_x0000_t202" coordsize="21600,21600" o:spt="202" path="m,l,21600r21600,l21600,xe">
            <v:stroke joinstyle="miter"/>
            <v:path gradientshapeok="t" o:connecttype="rect"/>
          </v:shapetype>
          <v:shape id="_x0000_s2052" type="#_x0000_t202" style="position:absolute;margin-left:76.85pt;margin-top:9.3pt;width:441.5pt;height:39.05pt;z-index:-15727616;mso-wrap-distance-left:0;mso-wrap-distance-right:0;mso-position-horizontal-relative:page" fillcolor="#dcd8c2" stroked="f">
            <v:textbox inset="0,0,0,0">
              <w:txbxContent>
                <w:p w14:paraId="008FC145" w14:textId="77777777" w:rsidR="00ED69DB" w:rsidRDefault="00284B8A">
                  <w:pPr>
                    <w:spacing w:before="1"/>
                    <w:rPr>
                      <w:b/>
                      <w:sz w:val="18"/>
                    </w:rPr>
                  </w:pPr>
                  <w:r>
                    <w:rPr>
                      <w:b/>
                      <w:sz w:val="18"/>
                    </w:rPr>
                    <w:t>Моля, цитирайте този документ като:</w:t>
                  </w:r>
                </w:p>
                <w:p w14:paraId="008FC146" w14:textId="77777777" w:rsidR="00ED69DB" w:rsidRDefault="00284B8A">
                  <w:pPr>
                    <w:spacing w:before="8" w:line="242" w:lineRule="auto"/>
                    <w:ind w:right="5"/>
                    <w:rPr>
                      <w:sz w:val="18"/>
                    </w:rPr>
                  </w:pPr>
                  <w:r>
                    <w:rPr>
                      <w:sz w:val="18"/>
                    </w:rPr>
                    <w:t xml:space="preserve">ОИСР, </w:t>
                  </w:r>
                  <w:r>
                    <w:rPr>
                      <w:i/>
                      <w:sz w:val="18"/>
                    </w:rPr>
                    <w:t>Препоръка на Съвета за добри практики за управление на публичните разходи за околната среда</w:t>
                  </w:r>
                  <w:r>
                    <w:rPr>
                      <w:sz w:val="18"/>
                    </w:rPr>
                    <w:t>, OECD/LEGAL/0345</w:t>
                  </w:r>
                </w:p>
              </w:txbxContent>
            </v:textbox>
            <w10:wrap type="topAndBottom" anchorx="page"/>
          </v:shape>
        </w:pict>
      </w:r>
    </w:p>
    <w:p w14:paraId="008FC053" w14:textId="77777777" w:rsidR="00ED69DB" w:rsidRDefault="00ED69DB">
      <w:pPr>
        <w:pStyle w:val="BodyText"/>
        <w:rPr>
          <w:sz w:val="15"/>
        </w:rPr>
      </w:pPr>
    </w:p>
    <w:p w14:paraId="008FC054" w14:textId="77777777" w:rsidR="00ED69DB" w:rsidRDefault="00284B8A">
      <w:pPr>
        <w:spacing w:before="96"/>
        <w:ind w:left="777"/>
        <w:jc w:val="both"/>
        <w:rPr>
          <w:sz w:val="14"/>
        </w:rPr>
      </w:pPr>
      <w:r>
        <w:rPr>
          <w:sz w:val="14"/>
        </w:rPr>
        <w:t>Серия: Правни инструменти на ОИСР</w:t>
      </w:r>
    </w:p>
    <w:p w14:paraId="008FC055" w14:textId="77777777" w:rsidR="00ED69DB" w:rsidRDefault="00ED69DB">
      <w:pPr>
        <w:pStyle w:val="BodyText"/>
        <w:rPr>
          <w:sz w:val="16"/>
        </w:rPr>
      </w:pPr>
    </w:p>
    <w:p w14:paraId="008FC056" w14:textId="77777777" w:rsidR="00ED69DB" w:rsidRDefault="00ED69DB">
      <w:pPr>
        <w:pStyle w:val="BodyText"/>
        <w:rPr>
          <w:sz w:val="16"/>
        </w:rPr>
      </w:pPr>
    </w:p>
    <w:p w14:paraId="008FC057" w14:textId="77777777" w:rsidR="00ED69DB" w:rsidRDefault="00ED69DB">
      <w:pPr>
        <w:pStyle w:val="BodyText"/>
        <w:spacing w:before="3"/>
        <w:rPr>
          <w:sz w:val="17"/>
        </w:rPr>
      </w:pPr>
    </w:p>
    <w:p w14:paraId="008FC058" w14:textId="77777777" w:rsidR="00ED69DB" w:rsidRDefault="00284B8A">
      <w:pPr>
        <w:ind w:left="777"/>
        <w:jc w:val="both"/>
        <w:rPr>
          <w:sz w:val="18"/>
        </w:rPr>
      </w:pPr>
      <w:r>
        <w:rPr>
          <w:sz w:val="18"/>
        </w:rPr>
        <w:t>© ОИСР 2021</w:t>
      </w:r>
    </w:p>
    <w:p w14:paraId="008FC059" w14:textId="77777777" w:rsidR="00ED69DB" w:rsidRDefault="00630866">
      <w:pPr>
        <w:pStyle w:val="BodyText"/>
        <w:rPr>
          <w:sz w:val="22"/>
        </w:rPr>
      </w:pPr>
      <w:r>
        <w:pict w14:anchorId="008FC139">
          <v:rect id="_x0000_s2051" style="position:absolute;margin-left:76.85pt;margin-top:14.6pt;width:441.5pt;height:.5pt;z-index:-15727104;mso-wrap-distance-left:0;mso-wrap-distance-right:0;mso-position-horizontal-relative:page" fillcolor="black" stroked="f">
            <w10:wrap type="topAndBottom" anchorx="page"/>
          </v:rect>
        </w:pict>
      </w:r>
    </w:p>
    <w:p w14:paraId="008FC05A" w14:textId="77777777" w:rsidR="00ED69DB" w:rsidRDefault="00284B8A">
      <w:pPr>
        <w:spacing w:before="83" w:line="242" w:lineRule="auto"/>
        <w:ind w:left="777" w:right="78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008FC05B" w14:textId="77777777" w:rsidR="00ED69DB" w:rsidRDefault="00ED69DB">
      <w:pPr>
        <w:pStyle w:val="BodyText"/>
        <w:spacing w:before="6"/>
        <w:rPr>
          <w:sz w:val="10"/>
        </w:rPr>
      </w:pPr>
    </w:p>
    <w:p w14:paraId="008FC05C" w14:textId="77777777" w:rsidR="00ED69DB" w:rsidRDefault="00630866">
      <w:pPr>
        <w:spacing w:line="252" w:lineRule="auto"/>
        <w:ind w:left="777" w:right="777"/>
        <w:jc w:val="both"/>
        <w:rPr>
          <w:i/>
          <w:sz w:val="12"/>
        </w:rPr>
      </w:pPr>
      <w:r>
        <w:pict w14:anchorId="008FC13A">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sidR="00284B8A">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284B8A">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284B8A">
        <w:t xml:space="preserve"> </w:t>
      </w:r>
      <w:hyperlink r:id="rId13">
        <w:r w:rsidR="00284B8A">
          <w:rPr>
            <w:i/>
            <w:color w:val="0000ED"/>
            <w:sz w:val="12"/>
            <w:u w:val="single" w:color="0000ED"/>
          </w:rPr>
          <w:t>http://legalinstruments.oecd.org</w:t>
        </w:r>
      </w:hyperlink>
      <w:r w:rsidR="00284B8A">
        <w:t xml:space="preserve"> </w:t>
      </w:r>
      <w:r w:rsidR="00284B8A">
        <w:rPr>
          <w:i/>
          <w:sz w:val="12"/>
        </w:rPr>
        <w:t>"</w:t>
      </w:r>
    </w:p>
    <w:p w14:paraId="008FC05D" w14:textId="77777777" w:rsidR="00ED69DB" w:rsidRDefault="00ED69DB">
      <w:pPr>
        <w:spacing w:line="252" w:lineRule="auto"/>
        <w:jc w:val="both"/>
        <w:rPr>
          <w:sz w:val="12"/>
        </w:rPr>
        <w:sectPr w:rsidR="00ED69DB">
          <w:pgSz w:w="11910" w:h="16840"/>
          <w:pgMar w:top="1580" w:right="759" w:bottom="280" w:left="760" w:header="720" w:footer="720" w:gutter="0"/>
          <w:cols w:space="720"/>
        </w:sectPr>
      </w:pPr>
    </w:p>
    <w:p w14:paraId="008FC05E" w14:textId="77777777" w:rsidR="00ED69DB" w:rsidRDefault="00284B8A">
      <w:pPr>
        <w:pStyle w:val="Heading1"/>
        <w:spacing w:before="92"/>
        <w:ind w:left="777"/>
      </w:pPr>
      <w:r>
        <w:rPr>
          <w:color w:val="1E487C"/>
        </w:rPr>
        <w:lastRenderedPageBreak/>
        <w:t>Обща информация</w:t>
      </w:r>
    </w:p>
    <w:p w14:paraId="008FC05F" w14:textId="77777777" w:rsidR="00ED69DB" w:rsidRDefault="00ED69DB">
      <w:pPr>
        <w:pStyle w:val="BodyText"/>
        <w:rPr>
          <w:b/>
          <w:sz w:val="26"/>
        </w:rPr>
      </w:pPr>
    </w:p>
    <w:p w14:paraId="008FC060" w14:textId="77777777" w:rsidR="00ED69DB" w:rsidRDefault="00ED69DB">
      <w:pPr>
        <w:pStyle w:val="BodyText"/>
        <w:spacing w:before="3"/>
        <w:rPr>
          <w:b/>
          <w:sz w:val="23"/>
        </w:rPr>
      </w:pPr>
    </w:p>
    <w:p w14:paraId="008FC061" w14:textId="77777777" w:rsidR="00ED69DB" w:rsidRDefault="00284B8A">
      <w:pPr>
        <w:pStyle w:val="BodyText"/>
        <w:ind w:left="777" w:right="772"/>
        <w:jc w:val="both"/>
      </w:pPr>
      <w:r>
        <w:t>Препоръката относно добри практики за управление на публичните разходи за околната среда беше приета от Съвета на ОИСР на 8 юни 2006 г. по предложение на Комитета по екологична политика. Препоръката се базира на основните принципи на управление на публичните разходи и политиката по околната среда, следвани в страните-членки, и има за цел да ги направи съвместими и взаимно подкрепящи се. Тя прилага тези принципи в няколко контролни списъка, които могат да се използват при проектиране, преглед или реформиране на програми за публични разходи за околната среда. В някои страни от ОИСР такива програми представляват повече от 3% от общите държавни разходи. Контролните списъци са тествани в работата на ОИСР, предимно в страните в преход, и генерират практически препоръки. Контролните списъци, които обхващат екологична ефективност, добра бюджетна практика и ефективност на управлението, са предназначени да се прилагат за големи и всеобхватни програми за публични разходи за околната среда. Те трябва да се използват избирателно и гъвкаво, когато се прилагат към по-малки, по-целенасочени програми.</w:t>
      </w:r>
    </w:p>
    <w:p w14:paraId="008FC062" w14:textId="77777777" w:rsidR="00ED69DB" w:rsidRDefault="00ED69DB">
      <w:pPr>
        <w:jc w:val="both"/>
        <w:sectPr w:rsidR="00ED69DB">
          <w:headerReference w:type="even" r:id="rId14"/>
          <w:headerReference w:type="default" r:id="rId15"/>
          <w:pgSz w:w="11910" w:h="16840"/>
          <w:pgMar w:top="1320" w:right="759" w:bottom="280" w:left="760" w:header="849" w:footer="0" w:gutter="0"/>
          <w:pgNumType w:start="3"/>
          <w:cols w:space="720"/>
        </w:sectPr>
      </w:pPr>
    </w:p>
    <w:p w14:paraId="008FC063" w14:textId="77777777" w:rsidR="00ED69DB" w:rsidRDefault="00284B8A">
      <w:pPr>
        <w:pStyle w:val="Heading2"/>
        <w:ind w:left="656"/>
        <w:jc w:val="both"/>
      </w:pPr>
      <w:r>
        <w:lastRenderedPageBreak/>
        <w:t>СЪВЕТЪТ,</w:t>
      </w:r>
    </w:p>
    <w:p w14:paraId="008FC064" w14:textId="77777777" w:rsidR="00ED69DB" w:rsidRDefault="00ED69DB">
      <w:pPr>
        <w:pStyle w:val="BodyText"/>
        <w:rPr>
          <w:b/>
          <w:sz w:val="21"/>
        </w:rPr>
      </w:pPr>
    </w:p>
    <w:p w14:paraId="008FC065" w14:textId="77777777" w:rsidR="00ED69DB" w:rsidRDefault="00284B8A">
      <w:pPr>
        <w:pStyle w:val="BodyText"/>
        <w:spacing w:line="242" w:lineRule="auto"/>
        <w:ind w:left="656" w:right="654"/>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008FC066" w14:textId="77777777" w:rsidR="00ED69DB" w:rsidRDefault="00ED69DB">
      <w:pPr>
        <w:pStyle w:val="BodyText"/>
        <w:spacing w:before="6"/>
      </w:pPr>
    </w:p>
    <w:p w14:paraId="008FC067" w14:textId="77777777" w:rsidR="00ED69DB" w:rsidRDefault="00284B8A">
      <w:pPr>
        <w:pStyle w:val="BodyText"/>
        <w:spacing w:line="242" w:lineRule="auto"/>
        <w:ind w:left="656" w:right="656"/>
        <w:jc w:val="both"/>
      </w:pPr>
      <w:r>
        <w:rPr>
          <w:b/>
        </w:rPr>
        <w:t>КАТО ВЗЕ ПРЕДВИД</w:t>
      </w:r>
      <w:r>
        <w:t xml:space="preserve"> Препоръката на Съвета относно ръководните принципи за международните икономически аспекти на политиките в областта на околната среда от 26 май 1972 г. [C(72)128];</w:t>
      </w:r>
    </w:p>
    <w:p w14:paraId="008FC068" w14:textId="77777777" w:rsidR="00ED69DB" w:rsidRDefault="00ED69DB">
      <w:pPr>
        <w:pStyle w:val="BodyText"/>
        <w:spacing w:before="4"/>
      </w:pPr>
    </w:p>
    <w:p w14:paraId="008FC069" w14:textId="77777777" w:rsidR="00ED69DB" w:rsidRDefault="00284B8A">
      <w:pPr>
        <w:pStyle w:val="BodyText"/>
        <w:spacing w:line="242" w:lineRule="auto"/>
        <w:ind w:left="656" w:right="659"/>
        <w:jc w:val="both"/>
      </w:pPr>
      <w:r>
        <w:rPr>
          <w:b/>
        </w:rPr>
        <w:t>КАТО ВЗЕ ПРЕДВИД</w:t>
      </w:r>
      <w:r>
        <w:t xml:space="preserve"> Препоръката на Съвета от 31 март 1989 г. относно политиките за управление на водните ресурси: Интеграция, управление на потреблението и защита на подземните води [C(89)12(</w:t>
      </w:r>
      <w:proofErr w:type="spellStart"/>
      <w:r>
        <w:t>Final</w:t>
      </w:r>
      <w:proofErr w:type="spellEnd"/>
      <w:r>
        <w:t>)];</w:t>
      </w:r>
    </w:p>
    <w:p w14:paraId="008FC06A" w14:textId="77777777" w:rsidR="00ED69DB" w:rsidRDefault="00ED69DB">
      <w:pPr>
        <w:pStyle w:val="BodyText"/>
        <w:spacing w:before="4"/>
      </w:pPr>
    </w:p>
    <w:p w14:paraId="008FC06B" w14:textId="77777777" w:rsidR="00ED69DB" w:rsidRDefault="00284B8A">
      <w:pPr>
        <w:pStyle w:val="BodyText"/>
        <w:spacing w:line="242" w:lineRule="auto"/>
        <w:ind w:left="656" w:right="659"/>
        <w:jc w:val="both"/>
      </w:pPr>
      <w:r>
        <w:rPr>
          <w:b/>
        </w:rPr>
        <w:t>КАТО ВЗЕ ПРЕДВИД</w:t>
      </w:r>
      <w:r>
        <w:t xml:space="preserve"> Препоръката на Съвета относно използването на икономически инструменти в политиката по околната среда от 31 януари 1991 г. [C(90)177/FINAL];</w:t>
      </w:r>
    </w:p>
    <w:p w14:paraId="008FC06C" w14:textId="77777777" w:rsidR="00ED69DB" w:rsidRDefault="00ED69DB">
      <w:pPr>
        <w:pStyle w:val="BodyText"/>
        <w:spacing w:before="4"/>
      </w:pPr>
    </w:p>
    <w:p w14:paraId="008FC06D" w14:textId="77777777" w:rsidR="00ED69DB" w:rsidRDefault="00284B8A">
      <w:pPr>
        <w:pStyle w:val="BodyText"/>
        <w:spacing w:line="242" w:lineRule="auto"/>
        <w:ind w:left="656" w:right="661"/>
        <w:jc w:val="both"/>
      </w:pPr>
      <w:r>
        <w:rPr>
          <w:b/>
        </w:rPr>
        <w:t>КАТО ВЗЕ ПРЕДВИД</w:t>
      </w:r>
      <w:r>
        <w:t xml:space="preserve"> Препоръката на Съвета за информация и показатели за околната среда от 31 януари 1991 г. [C(90)165/FINAL];</w:t>
      </w:r>
    </w:p>
    <w:p w14:paraId="008FC06E" w14:textId="77777777" w:rsidR="00ED69DB" w:rsidRDefault="00ED69DB">
      <w:pPr>
        <w:pStyle w:val="BodyText"/>
        <w:spacing w:before="7"/>
      </w:pPr>
    </w:p>
    <w:p w14:paraId="008FC06F" w14:textId="77777777" w:rsidR="00ED69DB" w:rsidRDefault="00284B8A">
      <w:pPr>
        <w:pStyle w:val="BodyText"/>
        <w:spacing w:line="242" w:lineRule="auto"/>
        <w:ind w:left="656" w:right="661"/>
        <w:jc w:val="both"/>
      </w:pPr>
      <w:r>
        <w:rPr>
          <w:b/>
        </w:rPr>
        <w:t>КАТО ВЗЕ ПРЕДВИД</w:t>
      </w:r>
      <w:r>
        <w:t xml:space="preserve"> Препоръката на Съвета за подобряване на качеството на правителствената регулация от 9 март 1995 г. [C(95)21/FINAL];</w:t>
      </w:r>
    </w:p>
    <w:p w14:paraId="008FC070" w14:textId="77777777" w:rsidR="00ED69DB" w:rsidRDefault="00ED69DB">
      <w:pPr>
        <w:pStyle w:val="BodyText"/>
        <w:spacing w:before="6"/>
      </w:pPr>
    </w:p>
    <w:p w14:paraId="008FC071" w14:textId="77777777" w:rsidR="00ED69DB" w:rsidRDefault="00284B8A">
      <w:pPr>
        <w:pStyle w:val="BodyText"/>
        <w:spacing w:line="242" w:lineRule="auto"/>
        <w:ind w:left="656" w:right="664"/>
        <w:jc w:val="both"/>
      </w:pPr>
      <w:r>
        <w:rPr>
          <w:b/>
        </w:rPr>
        <w:t>КАТО ВЗЕ ПРЕДВИД</w:t>
      </w:r>
      <w:r>
        <w:t xml:space="preserve"> Препоръката на Съвета за подобряване на екологичните показатели на правителството от 20 февруари 1996 г. [C(96)39/FINAL];</w:t>
      </w:r>
    </w:p>
    <w:p w14:paraId="008FC072" w14:textId="77777777" w:rsidR="00ED69DB" w:rsidRDefault="00ED69DB">
      <w:pPr>
        <w:pStyle w:val="BodyText"/>
        <w:spacing w:before="4"/>
      </w:pPr>
    </w:p>
    <w:p w14:paraId="008FC073" w14:textId="77777777" w:rsidR="00ED69DB" w:rsidRDefault="00284B8A">
      <w:pPr>
        <w:pStyle w:val="BodyText"/>
        <w:spacing w:line="242" w:lineRule="auto"/>
        <w:ind w:left="656" w:right="661"/>
        <w:jc w:val="both"/>
      </w:pPr>
      <w:r>
        <w:rPr>
          <w:b/>
        </w:rPr>
        <w:t>КАТО ВЗЕ ПРЕДВИД</w:t>
      </w:r>
      <w:r>
        <w:t xml:space="preserve"> Препоръката на Съвета за информация за околната среда от 3 април 1998 г. [C(98)67/FINAL];</w:t>
      </w:r>
    </w:p>
    <w:p w14:paraId="008FC074" w14:textId="77777777" w:rsidR="00ED69DB" w:rsidRDefault="00ED69DB">
      <w:pPr>
        <w:pStyle w:val="BodyText"/>
        <w:spacing w:before="6"/>
      </w:pPr>
    </w:p>
    <w:p w14:paraId="008FC075" w14:textId="77777777" w:rsidR="00ED69DB" w:rsidRDefault="00284B8A">
      <w:pPr>
        <w:pStyle w:val="BodyText"/>
        <w:spacing w:line="242" w:lineRule="auto"/>
        <w:ind w:left="656" w:right="660"/>
        <w:jc w:val="both"/>
      </w:pPr>
      <w:r>
        <w:rPr>
          <w:b/>
        </w:rPr>
        <w:t>КАТО ВЗЕ ПРЕДВИД</w:t>
      </w:r>
      <w:r>
        <w:t xml:space="preserve"> най-добрите практики на ОИСР за прозрачност на бюджета от 2001 г. [PUMA/SBO(2000)6/FINAL];</w:t>
      </w:r>
    </w:p>
    <w:p w14:paraId="008FC076" w14:textId="77777777" w:rsidR="00ED69DB" w:rsidRDefault="00ED69DB">
      <w:pPr>
        <w:pStyle w:val="BodyText"/>
        <w:spacing w:before="6"/>
      </w:pPr>
    </w:p>
    <w:p w14:paraId="008FC077" w14:textId="77777777" w:rsidR="00ED69DB" w:rsidRDefault="00284B8A">
      <w:pPr>
        <w:pStyle w:val="BodyText"/>
        <w:spacing w:before="1" w:line="242" w:lineRule="auto"/>
        <w:ind w:left="656" w:right="663"/>
        <w:jc w:val="both"/>
      </w:pPr>
      <w:r>
        <w:rPr>
          <w:b/>
        </w:rPr>
        <w:t>КАТО ВЗЕ ПРЕДВИД</w:t>
      </w:r>
      <w:r>
        <w:t xml:space="preserve"> Декларацията за международни инвестиции и мултинационални предприятия [C(76)99(</w:t>
      </w:r>
      <w:proofErr w:type="spellStart"/>
      <w:r>
        <w:t>Final</w:t>
      </w:r>
      <w:proofErr w:type="spellEnd"/>
      <w:r>
        <w:t>)] от 21 юни 1976 г., последно изменена на 27 юни 2000 г.;</w:t>
      </w:r>
    </w:p>
    <w:p w14:paraId="008FC078" w14:textId="77777777" w:rsidR="00ED69DB" w:rsidRDefault="00ED69DB">
      <w:pPr>
        <w:pStyle w:val="BodyText"/>
        <w:spacing w:before="4"/>
      </w:pPr>
    </w:p>
    <w:p w14:paraId="008FC079" w14:textId="77777777" w:rsidR="00ED69DB" w:rsidRDefault="00284B8A">
      <w:pPr>
        <w:pStyle w:val="BodyText"/>
        <w:spacing w:line="242" w:lineRule="auto"/>
        <w:ind w:left="656" w:right="668"/>
        <w:jc w:val="both"/>
      </w:pPr>
      <w:r>
        <w:rPr>
          <w:b/>
        </w:rPr>
        <w:t>КАТО ОТЧЕТЕ,</w:t>
      </w:r>
      <w:r>
        <w:t xml:space="preserve"> че публичните разходи за опазване на околната среда представляват значителен дял от публичните бюджети в много страни-членки на ОИСР;</w:t>
      </w:r>
    </w:p>
    <w:p w14:paraId="008FC07A" w14:textId="77777777" w:rsidR="00ED69DB" w:rsidRDefault="00ED69DB">
      <w:pPr>
        <w:pStyle w:val="BodyText"/>
        <w:spacing w:before="6"/>
      </w:pPr>
    </w:p>
    <w:p w14:paraId="008FC07B" w14:textId="77777777" w:rsidR="00ED69DB" w:rsidRDefault="00284B8A">
      <w:pPr>
        <w:pStyle w:val="BodyText"/>
        <w:spacing w:line="242" w:lineRule="auto"/>
        <w:ind w:left="656" w:right="663"/>
        <w:jc w:val="both"/>
      </w:pPr>
      <w:r>
        <w:rPr>
          <w:b/>
        </w:rPr>
        <w:t>КАТО ОТЧЕТЕ,</w:t>
      </w:r>
      <w:r>
        <w:t xml:space="preserve"> че програмите за публични разходи за околната среда следва да бъдат разработени така, че да постигнат конкретни екологични цели, да следват стабилни принципи на управление на публичните разходи и да използват финансовите и човешките ресурси възможно най-ефективно;</w:t>
      </w:r>
    </w:p>
    <w:p w14:paraId="008FC07C" w14:textId="77777777" w:rsidR="00ED69DB" w:rsidRDefault="00ED69DB">
      <w:pPr>
        <w:pStyle w:val="BodyText"/>
        <w:spacing w:before="4"/>
      </w:pPr>
    </w:p>
    <w:p w14:paraId="008FC07D" w14:textId="77777777" w:rsidR="00ED69DB" w:rsidRDefault="00284B8A">
      <w:pPr>
        <w:pStyle w:val="BodyText"/>
        <w:spacing w:before="1" w:line="242" w:lineRule="auto"/>
        <w:ind w:left="656" w:right="660"/>
        <w:jc w:val="both"/>
      </w:pPr>
      <w:r>
        <w:rPr>
          <w:b/>
        </w:rPr>
        <w:t>КАТО ОТЧЕТЕ,</w:t>
      </w:r>
      <w:r>
        <w:t xml:space="preserve"> че принципът „замърсителят плаща“ предоставя политическата рамка за финансиране на разходите за предотвратяване и контрол на замърсяването;</w:t>
      </w:r>
    </w:p>
    <w:p w14:paraId="008FC07E" w14:textId="77777777" w:rsidR="00ED69DB" w:rsidRDefault="00ED69DB">
      <w:pPr>
        <w:pStyle w:val="BodyText"/>
        <w:spacing w:before="3"/>
      </w:pPr>
    </w:p>
    <w:p w14:paraId="008FC07F" w14:textId="77777777" w:rsidR="00ED69DB" w:rsidRDefault="00284B8A">
      <w:pPr>
        <w:pStyle w:val="BodyText"/>
        <w:spacing w:line="242" w:lineRule="auto"/>
        <w:ind w:left="656" w:right="656"/>
        <w:jc w:val="both"/>
      </w:pPr>
      <w:r>
        <w:rPr>
          <w:b/>
        </w:rPr>
        <w:t>КАТО ОТЧЕТЕ,</w:t>
      </w:r>
      <w:r>
        <w:t xml:space="preserve"> че принципът „замърсителят плаща“, както се прилага в страните от ОИСР, предвижда изключителна публична финансова подкрепа за целите на предотвратяването и контрола на замърсяването, при условие че е добре насочена, ограничена по размер и продължителност и не внася значителни изкривявания в международна търговия и инвестиции;</w:t>
      </w:r>
    </w:p>
    <w:p w14:paraId="008FC080" w14:textId="77777777" w:rsidR="00ED69DB" w:rsidRDefault="00ED69DB">
      <w:pPr>
        <w:pStyle w:val="BodyText"/>
        <w:spacing w:before="1"/>
      </w:pPr>
    </w:p>
    <w:p w14:paraId="008FC081" w14:textId="77777777" w:rsidR="00ED69DB" w:rsidRDefault="00284B8A">
      <w:pPr>
        <w:pStyle w:val="BodyText"/>
        <w:spacing w:line="242" w:lineRule="auto"/>
        <w:ind w:left="656" w:right="663"/>
        <w:jc w:val="both"/>
      </w:pPr>
      <w:r>
        <w:rPr>
          <w:b/>
        </w:rPr>
        <w:t>КАТО ОТЧЕТЕ,</w:t>
      </w:r>
      <w:r>
        <w:t xml:space="preserve"> че ценообразуването на ресурсите следва да бъде основата за ценообразуване на водата и другите природни ресурси и че следва да се прилага постепенно за покриване на оперативните разходи, поддръжката, капиталовите и екологичните разходи;</w:t>
      </w:r>
    </w:p>
    <w:p w14:paraId="008FC082" w14:textId="77777777" w:rsidR="00ED69DB" w:rsidRDefault="00ED69DB">
      <w:pPr>
        <w:pStyle w:val="BodyText"/>
        <w:spacing w:before="4"/>
      </w:pPr>
    </w:p>
    <w:p w14:paraId="008FC083" w14:textId="77777777" w:rsidR="00ED69DB" w:rsidRDefault="00284B8A">
      <w:pPr>
        <w:pStyle w:val="BodyText"/>
        <w:spacing w:line="242" w:lineRule="auto"/>
        <w:ind w:left="656" w:right="656"/>
        <w:jc w:val="both"/>
      </w:pPr>
      <w:r>
        <w:rPr>
          <w:b/>
        </w:rPr>
        <w:t>КАТО ПРИЗНАВА,</w:t>
      </w:r>
      <w:r>
        <w:t xml:space="preserve"> че при изготвянето на програми за публични разходи за околната среда трябва да се вземат предвид конкретните цели, които трябва да бъдат постигнати, и че тези програми ще бъдат оформени от националните административни традиции, нивото на икономическо и институционално развитие, както и зрелостта на пазарите и системата на публичните финанси;</w:t>
      </w:r>
    </w:p>
    <w:p w14:paraId="008FC084" w14:textId="77777777" w:rsidR="00ED69DB" w:rsidRDefault="00ED69DB">
      <w:pPr>
        <w:pStyle w:val="BodyText"/>
      </w:pPr>
    </w:p>
    <w:p w14:paraId="008FC085" w14:textId="77777777" w:rsidR="00ED69DB" w:rsidRDefault="00284B8A">
      <w:pPr>
        <w:pStyle w:val="BodyText"/>
        <w:spacing w:line="242" w:lineRule="auto"/>
        <w:ind w:left="656" w:right="662"/>
        <w:jc w:val="both"/>
      </w:pPr>
      <w:r>
        <w:rPr>
          <w:b/>
        </w:rPr>
        <w:t>КАТО ПРИЗНАВА,</w:t>
      </w:r>
      <w:r>
        <w:t xml:space="preserve"> че програмите за публични разходи за околната среда могат да се изпълняват от страните-членки на национално ниво и като част от двустранни и многостранни програми за сътрудничество за развитие;</w:t>
      </w:r>
    </w:p>
    <w:p w14:paraId="008FC086" w14:textId="77777777" w:rsidR="00ED69DB" w:rsidRDefault="00ED69DB">
      <w:pPr>
        <w:spacing w:line="242" w:lineRule="auto"/>
        <w:jc w:val="both"/>
        <w:sectPr w:rsidR="00ED69DB">
          <w:pgSz w:w="11910" w:h="16840"/>
          <w:pgMar w:top="1320" w:right="760" w:bottom="280" w:left="760" w:header="849" w:footer="0" w:gutter="0"/>
          <w:cols w:space="720"/>
        </w:sectPr>
      </w:pPr>
    </w:p>
    <w:p w14:paraId="008FC087" w14:textId="77777777" w:rsidR="00ED69DB" w:rsidRDefault="00284B8A">
      <w:pPr>
        <w:pStyle w:val="Heading2"/>
        <w:ind w:left="656"/>
        <w:jc w:val="left"/>
        <w:rPr>
          <w:b w:val="0"/>
        </w:rPr>
      </w:pPr>
      <w:r>
        <w:lastRenderedPageBreak/>
        <w:t>По предложение на Комитета по екологична политика</w:t>
      </w:r>
      <w:r>
        <w:rPr>
          <w:b w:val="0"/>
        </w:rPr>
        <w:t>:</w:t>
      </w:r>
    </w:p>
    <w:p w14:paraId="008FC088" w14:textId="77777777" w:rsidR="00ED69DB" w:rsidRDefault="00ED69DB">
      <w:pPr>
        <w:pStyle w:val="BodyText"/>
        <w:rPr>
          <w:sz w:val="21"/>
        </w:rPr>
      </w:pPr>
    </w:p>
    <w:p w14:paraId="008FC089" w14:textId="77777777" w:rsidR="00ED69DB" w:rsidRDefault="00284B8A">
      <w:pPr>
        <w:pStyle w:val="ListParagraph"/>
        <w:numPr>
          <w:ilvl w:val="0"/>
          <w:numId w:val="21"/>
        </w:numPr>
        <w:tabs>
          <w:tab w:val="left" w:pos="1364"/>
          <w:tab w:val="left" w:pos="1365"/>
        </w:tabs>
        <w:spacing w:line="242" w:lineRule="auto"/>
        <w:ind w:right="654" w:firstLine="0"/>
        <w:jc w:val="both"/>
        <w:rPr>
          <w:sz w:val="20"/>
        </w:rPr>
      </w:pPr>
      <w:r>
        <w:rPr>
          <w:b/>
          <w:sz w:val="20"/>
        </w:rPr>
        <w:t xml:space="preserve">ПРЕПОРЪЧВА </w:t>
      </w:r>
      <w:r>
        <w:rPr>
          <w:sz w:val="20"/>
        </w:rPr>
        <w:t>на страните-членки да предприемат ефективни мерки, за да гарантират, че програмите за публични разходи за околната среда са екологично ефективни, икономически ефективни и управлявани в съответствие със стабилните принципи на управление на публичните разходи.</w:t>
      </w:r>
    </w:p>
    <w:p w14:paraId="008FC08A" w14:textId="77777777" w:rsidR="00ED69DB" w:rsidRDefault="00ED69DB">
      <w:pPr>
        <w:pStyle w:val="BodyText"/>
        <w:spacing w:before="4"/>
      </w:pPr>
    </w:p>
    <w:p w14:paraId="008FC08B" w14:textId="77777777" w:rsidR="00ED69DB" w:rsidRDefault="00284B8A">
      <w:pPr>
        <w:pStyle w:val="ListParagraph"/>
        <w:numPr>
          <w:ilvl w:val="0"/>
          <w:numId w:val="21"/>
        </w:numPr>
        <w:tabs>
          <w:tab w:val="left" w:pos="1365"/>
        </w:tabs>
        <w:spacing w:line="242" w:lineRule="auto"/>
        <w:ind w:right="663" w:firstLine="0"/>
        <w:jc w:val="both"/>
        <w:rPr>
          <w:sz w:val="20"/>
        </w:rPr>
      </w:pPr>
      <w:r>
        <w:rPr>
          <w:b/>
          <w:sz w:val="20"/>
        </w:rPr>
        <w:t>ПРЕПОРЪЧВА</w:t>
      </w:r>
      <w:r>
        <w:rPr>
          <w:sz w:val="20"/>
        </w:rPr>
        <w:t xml:space="preserve"> при създаването и управлението на програми за публични разходи за околната среда страните-членки да предприемат следните стъпки:</w:t>
      </w:r>
    </w:p>
    <w:p w14:paraId="008FC08C" w14:textId="77777777" w:rsidR="00ED69DB" w:rsidRDefault="00ED69DB">
      <w:pPr>
        <w:pStyle w:val="BodyText"/>
        <w:spacing w:before="5"/>
      </w:pPr>
    </w:p>
    <w:p w14:paraId="008FC08D" w14:textId="77777777" w:rsidR="00ED69DB" w:rsidRDefault="00284B8A">
      <w:pPr>
        <w:pStyle w:val="ListParagraph"/>
        <w:numPr>
          <w:ilvl w:val="1"/>
          <w:numId w:val="21"/>
        </w:numPr>
        <w:tabs>
          <w:tab w:val="left" w:pos="1365"/>
        </w:tabs>
        <w:ind w:right="658"/>
        <w:rPr>
          <w:sz w:val="20"/>
        </w:rPr>
      </w:pPr>
      <w:r>
        <w:rPr>
          <w:sz w:val="20"/>
        </w:rPr>
        <w:t>Да определят приоритетни екологични цели, като използват методи за оценка, като оценка на риска, анализ на разходите и ползите и анализ на разходната ефективност, както и политически процеси на участие;</w:t>
      </w:r>
    </w:p>
    <w:p w14:paraId="008FC08E" w14:textId="77777777" w:rsidR="00ED69DB" w:rsidRDefault="00284B8A">
      <w:pPr>
        <w:pStyle w:val="ListParagraph"/>
        <w:numPr>
          <w:ilvl w:val="1"/>
          <w:numId w:val="21"/>
        </w:numPr>
        <w:tabs>
          <w:tab w:val="left" w:pos="1365"/>
        </w:tabs>
        <w:spacing w:before="118"/>
        <w:rPr>
          <w:sz w:val="20"/>
        </w:rPr>
      </w:pPr>
      <w:r>
        <w:rPr>
          <w:sz w:val="20"/>
        </w:rPr>
        <w:t>Да демонстрират, че публичните разходи са необходими за постигане на тези цели;</w:t>
      </w:r>
    </w:p>
    <w:p w14:paraId="008FC08F" w14:textId="77777777" w:rsidR="00ED69DB" w:rsidRDefault="00284B8A">
      <w:pPr>
        <w:pStyle w:val="ListParagraph"/>
        <w:numPr>
          <w:ilvl w:val="1"/>
          <w:numId w:val="21"/>
        </w:numPr>
        <w:tabs>
          <w:tab w:val="left" w:pos="1365"/>
        </w:tabs>
        <w:spacing w:before="120"/>
        <w:ind w:right="656"/>
        <w:rPr>
          <w:sz w:val="20"/>
        </w:rPr>
      </w:pPr>
      <w:r>
        <w:rPr>
          <w:sz w:val="20"/>
        </w:rPr>
        <w:t>Да определят източниците на средства, размера на бюджета и условията на разходната програма;</w:t>
      </w:r>
    </w:p>
    <w:p w14:paraId="008FC090" w14:textId="77777777" w:rsidR="00ED69DB" w:rsidRDefault="00284B8A">
      <w:pPr>
        <w:pStyle w:val="ListParagraph"/>
        <w:numPr>
          <w:ilvl w:val="1"/>
          <w:numId w:val="21"/>
        </w:numPr>
        <w:tabs>
          <w:tab w:val="left" w:pos="1365"/>
        </w:tabs>
        <w:spacing w:before="118"/>
        <w:rPr>
          <w:sz w:val="20"/>
        </w:rPr>
      </w:pPr>
      <w:r>
        <w:rPr>
          <w:sz w:val="20"/>
        </w:rPr>
        <w:t>Да упълномощят подходяща институция за управление на разходната програма;</w:t>
      </w:r>
    </w:p>
    <w:p w14:paraId="008FC091" w14:textId="77777777" w:rsidR="00ED69DB" w:rsidRDefault="00284B8A">
      <w:pPr>
        <w:pStyle w:val="ListParagraph"/>
        <w:numPr>
          <w:ilvl w:val="1"/>
          <w:numId w:val="21"/>
        </w:numPr>
        <w:tabs>
          <w:tab w:val="left" w:pos="1365"/>
        </w:tabs>
        <w:spacing w:before="120"/>
        <w:ind w:right="656" w:hanging="360"/>
        <w:rPr>
          <w:sz w:val="20"/>
        </w:rPr>
      </w:pPr>
      <w:r>
        <w:rPr>
          <w:sz w:val="20"/>
        </w:rPr>
        <w:t>Да продължат, модифицират или прекратят разходната програма в светлината на периодични прегледи на изпълнението на програмата, за да се оцени дали целите й са постигнати и дали е необходимо нейното продължаване.</w:t>
      </w:r>
    </w:p>
    <w:p w14:paraId="008FC092" w14:textId="77777777" w:rsidR="00ED69DB" w:rsidRDefault="00ED69DB">
      <w:pPr>
        <w:pStyle w:val="BodyText"/>
        <w:spacing w:before="7"/>
      </w:pPr>
    </w:p>
    <w:p w14:paraId="008FC093" w14:textId="77777777" w:rsidR="00ED69DB" w:rsidRDefault="00284B8A">
      <w:pPr>
        <w:pStyle w:val="ListParagraph"/>
        <w:numPr>
          <w:ilvl w:val="0"/>
          <w:numId w:val="21"/>
        </w:numPr>
        <w:tabs>
          <w:tab w:val="left" w:pos="1365"/>
        </w:tabs>
        <w:ind w:right="655" w:firstLine="0"/>
        <w:jc w:val="both"/>
        <w:rPr>
          <w:b/>
          <w:sz w:val="20"/>
        </w:rPr>
      </w:pPr>
      <w:r>
        <w:rPr>
          <w:b/>
          <w:sz w:val="20"/>
        </w:rPr>
        <w:t>ДОПЪЛНИТЕЛНО ПРЕПОРЪЧВА</w:t>
      </w:r>
      <w:r>
        <w:rPr>
          <w:sz w:val="20"/>
        </w:rPr>
        <w:t>, когато създават, преразглеждат или реформират програми за публични разходи за околната среда, страните-членки да използват контролните списъци, посочени в приложението към настоящата препоръка, което е неразделна част от нея.</w:t>
      </w:r>
    </w:p>
    <w:p w14:paraId="008FC094" w14:textId="77777777" w:rsidR="00ED69DB" w:rsidRDefault="00ED69DB">
      <w:pPr>
        <w:pStyle w:val="BodyText"/>
        <w:spacing w:before="9"/>
        <w:rPr>
          <w:b/>
        </w:rPr>
      </w:pPr>
    </w:p>
    <w:p w14:paraId="008FC095" w14:textId="77777777" w:rsidR="00ED69DB" w:rsidRDefault="00284B8A">
      <w:pPr>
        <w:pStyle w:val="ListParagraph"/>
        <w:numPr>
          <w:ilvl w:val="0"/>
          <w:numId w:val="21"/>
        </w:numPr>
        <w:tabs>
          <w:tab w:val="left" w:pos="1365"/>
        </w:tabs>
        <w:spacing w:line="242" w:lineRule="auto"/>
        <w:ind w:right="658" w:firstLine="0"/>
        <w:jc w:val="both"/>
        <w:rPr>
          <w:sz w:val="20"/>
        </w:rPr>
      </w:pPr>
      <w:r>
        <w:rPr>
          <w:b/>
          <w:sz w:val="20"/>
        </w:rPr>
        <w:t>УКАЗВА</w:t>
      </w:r>
      <w:r>
        <w:rPr>
          <w:sz w:val="20"/>
        </w:rPr>
        <w:t xml:space="preserve"> на Комитета по екологична политика и други релевантни органи на Организацията да подкрепят допълнително усилията на държавите-членки за прилагане на ефикасни и ефективни програми за публични разходи за околната среда, по-специално чрез прегледи на екологичните резултати на държавите.</w:t>
      </w:r>
    </w:p>
    <w:p w14:paraId="008FC096" w14:textId="77777777" w:rsidR="00ED69DB" w:rsidRDefault="00ED69DB">
      <w:pPr>
        <w:spacing w:line="242" w:lineRule="auto"/>
        <w:jc w:val="both"/>
        <w:rPr>
          <w:sz w:val="20"/>
        </w:rPr>
        <w:sectPr w:rsidR="00ED69DB">
          <w:pgSz w:w="11910" w:h="16840"/>
          <w:pgMar w:top="1320" w:right="760" w:bottom="280" w:left="760" w:header="849" w:footer="0" w:gutter="0"/>
          <w:cols w:space="720"/>
        </w:sectPr>
      </w:pPr>
    </w:p>
    <w:p w14:paraId="008FC097" w14:textId="77777777" w:rsidR="00ED69DB" w:rsidRDefault="00284B8A">
      <w:pPr>
        <w:spacing w:before="83"/>
        <w:ind w:left="2013" w:right="2013"/>
        <w:jc w:val="center"/>
        <w:rPr>
          <w:sz w:val="24"/>
        </w:rPr>
      </w:pPr>
      <w:r>
        <w:rPr>
          <w:sz w:val="24"/>
        </w:rPr>
        <w:lastRenderedPageBreak/>
        <w:t>ПРИЛОЖЕНИЕ</w:t>
      </w:r>
    </w:p>
    <w:p w14:paraId="008FC098" w14:textId="77777777" w:rsidR="00ED69DB" w:rsidRPr="00C10E7A" w:rsidRDefault="00284B8A">
      <w:pPr>
        <w:pStyle w:val="Heading2"/>
        <w:spacing w:before="185"/>
        <w:ind w:left="730" w:right="737" w:firstLine="1"/>
        <w:rPr>
          <w:sz w:val="18"/>
          <w:szCs w:val="18"/>
        </w:rPr>
      </w:pPr>
      <w:r w:rsidRPr="00C10E7A">
        <w:rPr>
          <w:sz w:val="18"/>
          <w:szCs w:val="18"/>
        </w:rPr>
        <w:t>ДОБРИ ПРАКТИКИ ЗА УПРАВЛЕНИЕ НА ПУБЛИЧНИТЕ РАЗХОДИ ЗА ОКОЛНА СРЕДА: КОНТРОЛНИ СПИСЪЦИ ЗА СЪСТАВЯНЕ, ПРЕГЛЕД И РЕФОРМИРАНЕ НА ПРОГРАМИ ЗА ПУБЛИЧНИ РАЗХОДИ ЗА ОКОЛНА СРЕДА</w:t>
      </w:r>
    </w:p>
    <w:p w14:paraId="008FC099" w14:textId="77777777" w:rsidR="00ED69DB" w:rsidRPr="00C10E7A" w:rsidRDefault="00ED69DB">
      <w:pPr>
        <w:pStyle w:val="BodyText"/>
        <w:spacing w:before="11"/>
        <w:rPr>
          <w:b/>
          <w:sz w:val="18"/>
          <w:szCs w:val="18"/>
        </w:rPr>
      </w:pPr>
    </w:p>
    <w:p w14:paraId="008FC09A" w14:textId="77777777" w:rsidR="00ED69DB" w:rsidRPr="00C10E7A" w:rsidRDefault="00284B8A" w:rsidP="007B4DB4">
      <w:pPr>
        <w:ind w:left="2013" w:right="310" w:hanging="1743"/>
        <w:jc w:val="center"/>
        <w:rPr>
          <w:b/>
          <w:sz w:val="18"/>
          <w:szCs w:val="20"/>
        </w:rPr>
      </w:pPr>
      <w:bookmarkStart w:id="0" w:name="Checklist_1._Performance_in_Terms_of_Env"/>
      <w:bookmarkEnd w:id="0"/>
      <w:r w:rsidRPr="00C10E7A">
        <w:rPr>
          <w:b/>
          <w:sz w:val="18"/>
          <w:szCs w:val="20"/>
        </w:rPr>
        <w:t>Контролен списък 1. Резултати по отношение на екологичната ефективност</w:t>
      </w:r>
    </w:p>
    <w:p w14:paraId="008FC09B" w14:textId="77777777" w:rsidR="00ED69DB" w:rsidRPr="00C10E7A" w:rsidRDefault="00ED69DB">
      <w:pPr>
        <w:pStyle w:val="BodyText"/>
        <w:spacing w:before="11"/>
        <w:rPr>
          <w:b/>
          <w:sz w:val="18"/>
          <w:szCs w:val="18"/>
        </w:rPr>
      </w:pPr>
    </w:p>
    <w:tbl>
      <w:tblPr>
        <w:tblW w:w="0" w:type="auto"/>
        <w:tblInd w:w="191"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7991"/>
      </w:tblGrid>
      <w:tr w:rsidR="00ED69DB" w:rsidRPr="00C10E7A" w14:paraId="008FC09E" w14:textId="77777777">
        <w:trPr>
          <w:trHeight w:val="301"/>
        </w:trPr>
        <w:tc>
          <w:tcPr>
            <w:tcW w:w="2043" w:type="dxa"/>
            <w:shd w:val="clear" w:color="auto" w:fill="F3F3F3"/>
          </w:tcPr>
          <w:p w14:paraId="008FC09C" w14:textId="77777777" w:rsidR="00ED69DB" w:rsidRPr="00C10E7A" w:rsidRDefault="00284B8A">
            <w:pPr>
              <w:pStyle w:val="TableParagraph"/>
              <w:spacing w:before="28"/>
              <w:ind w:left="109" w:firstLine="0"/>
              <w:jc w:val="left"/>
              <w:rPr>
                <w:b/>
                <w:sz w:val="18"/>
                <w:szCs w:val="20"/>
              </w:rPr>
            </w:pPr>
            <w:r w:rsidRPr="00C10E7A">
              <w:rPr>
                <w:b/>
                <w:sz w:val="18"/>
                <w:szCs w:val="20"/>
              </w:rPr>
              <w:t>Принцип</w:t>
            </w:r>
          </w:p>
        </w:tc>
        <w:tc>
          <w:tcPr>
            <w:tcW w:w="7991" w:type="dxa"/>
            <w:shd w:val="clear" w:color="auto" w:fill="F3F3F3"/>
          </w:tcPr>
          <w:p w14:paraId="008FC09D" w14:textId="77777777" w:rsidR="00ED69DB" w:rsidRPr="00C10E7A" w:rsidRDefault="00284B8A">
            <w:pPr>
              <w:pStyle w:val="TableParagraph"/>
              <w:spacing w:before="28"/>
              <w:ind w:left="107" w:firstLine="0"/>
              <w:jc w:val="left"/>
              <w:rPr>
                <w:b/>
                <w:sz w:val="18"/>
                <w:szCs w:val="20"/>
              </w:rPr>
            </w:pPr>
            <w:r w:rsidRPr="00C10E7A">
              <w:rPr>
                <w:b/>
                <w:sz w:val="18"/>
                <w:szCs w:val="20"/>
              </w:rPr>
              <w:t>Добри практики</w:t>
            </w:r>
          </w:p>
        </w:tc>
      </w:tr>
      <w:tr w:rsidR="00ED69DB" w:rsidRPr="00C10E7A" w14:paraId="008FC0A6" w14:textId="77777777">
        <w:trPr>
          <w:trHeight w:val="4758"/>
        </w:trPr>
        <w:tc>
          <w:tcPr>
            <w:tcW w:w="2043" w:type="dxa"/>
          </w:tcPr>
          <w:p w14:paraId="008FC09F" w14:textId="4565C01E" w:rsidR="00ED69DB" w:rsidRPr="00C10E7A" w:rsidRDefault="00284B8A">
            <w:pPr>
              <w:pStyle w:val="TableParagraph"/>
              <w:spacing w:before="56"/>
              <w:ind w:left="109" w:right="115" w:firstLine="0"/>
              <w:jc w:val="left"/>
              <w:rPr>
                <w:b/>
                <w:sz w:val="18"/>
                <w:szCs w:val="20"/>
              </w:rPr>
            </w:pPr>
            <w:r w:rsidRPr="00C10E7A">
              <w:rPr>
                <w:b/>
                <w:sz w:val="18"/>
                <w:szCs w:val="20"/>
              </w:rPr>
              <w:t>1</w:t>
            </w:r>
            <w:r w:rsidR="007B4DB4" w:rsidRPr="00C10E7A">
              <w:rPr>
                <w:b/>
                <w:sz w:val="18"/>
                <w:szCs w:val="20"/>
              </w:rPr>
              <w:t>.</w:t>
            </w:r>
            <w:r w:rsidRPr="00C10E7A">
              <w:rPr>
                <w:b/>
                <w:sz w:val="18"/>
                <w:szCs w:val="20"/>
              </w:rPr>
              <w:t xml:space="preserve"> </w:t>
            </w:r>
            <w:proofErr w:type="spellStart"/>
            <w:r w:rsidRPr="00C10E7A">
              <w:rPr>
                <w:b/>
                <w:sz w:val="18"/>
                <w:szCs w:val="20"/>
              </w:rPr>
              <w:t>Допълняемост</w:t>
            </w:r>
            <w:proofErr w:type="spellEnd"/>
            <w:r w:rsidRPr="00C10E7A">
              <w:rPr>
                <w:b/>
                <w:sz w:val="18"/>
                <w:szCs w:val="20"/>
              </w:rPr>
              <w:t xml:space="preserve"> и съгласуваност с други инструменти на политиката по околната среда</w:t>
            </w:r>
          </w:p>
        </w:tc>
        <w:tc>
          <w:tcPr>
            <w:tcW w:w="7991" w:type="dxa"/>
          </w:tcPr>
          <w:p w14:paraId="008FC0A0" w14:textId="77777777" w:rsidR="00ED69DB" w:rsidRPr="00C10E7A" w:rsidRDefault="00ED69DB">
            <w:pPr>
              <w:pStyle w:val="TableParagraph"/>
              <w:spacing w:before="1"/>
              <w:ind w:left="0" w:firstLine="0"/>
              <w:jc w:val="left"/>
              <w:rPr>
                <w:b/>
                <w:sz w:val="16"/>
                <w:szCs w:val="20"/>
              </w:rPr>
            </w:pPr>
          </w:p>
          <w:p w14:paraId="008FC0A1" w14:textId="77777777" w:rsidR="00ED69DB" w:rsidRPr="00C10E7A" w:rsidRDefault="00284B8A">
            <w:pPr>
              <w:pStyle w:val="TableParagraph"/>
              <w:numPr>
                <w:ilvl w:val="0"/>
                <w:numId w:val="20"/>
              </w:numPr>
              <w:tabs>
                <w:tab w:val="left" w:pos="465"/>
              </w:tabs>
              <w:spacing w:before="0"/>
              <w:ind w:right="77"/>
              <w:rPr>
                <w:sz w:val="18"/>
                <w:szCs w:val="20"/>
              </w:rPr>
            </w:pPr>
            <w:r w:rsidRPr="00C10E7A">
              <w:rPr>
                <w:sz w:val="18"/>
                <w:szCs w:val="20"/>
              </w:rPr>
              <w:t>Необходимостта от всяка предложена програма за публични разходи за околната среда следва да бъде обоснована с позоваване на принципите „Замърсителят или Потребителят плаща“. Публичните средства не могат и не трябва да заменят слабите екологични политики; те не трябва да се изразходват за постигане на екологични цели, които биха могли да бъдат постигнати с административни или икономически инструменти или чрез премахване на вредните за околната среда субсидии.</w:t>
            </w:r>
          </w:p>
          <w:p w14:paraId="008FC0A2" w14:textId="77777777" w:rsidR="00ED69DB" w:rsidRPr="00C10E7A" w:rsidRDefault="00284B8A">
            <w:pPr>
              <w:pStyle w:val="TableParagraph"/>
              <w:numPr>
                <w:ilvl w:val="0"/>
                <w:numId w:val="20"/>
              </w:numPr>
              <w:tabs>
                <w:tab w:val="left" w:pos="465"/>
              </w:tabs>
              <w:spacing w:before="121"/>
              <w:ind w:right="79"/>
              <w:rPr>
                <w:sz w:val="18"/>
                <w:szCs w:val="20"/>
              </w:rPr>
            </w:pPr>
            <w:r w:rsidRPr="00C10E7A">
              <w:rPr>
                <w:sz w:val="18"/>
                <w:szCs w:val="20"/>
              </w:rPr>
              <w:t xml:space="preserve">Публичните средства не трябва да се използват за екологични проекти, които така или иначе биха били изпълнени, </w:t>
            </w:r>
            <w:r w:rsidRPr="00C10E7A">
              <w:rPr>
                <w:i/>
                <w:sz w:val="18"/>
                <w:szCs w:val="20"/>
              </w:rPr>
              <w:t>например</w:t>
            </w:r>
            <w:r w:rsidRPr="00C10E7A">
              <w:rPr>
                <w:sz w:val="18"/>
                <w:szCs w:val="20"/>
              </w:rPr>
              <w:t xml:space="preserve"> проекти, които имат високи, коригирани за риска финансови нива на възвращаемост и биха могли да бъдат финансирани от частни лица.</w:t>
            </w:r>
          </w:p>
          <w:p w14:paraId="008FC0A3" w14:textId="77777777" w:rsidR="00ED69DB" w:rsidRPr="00C10E7A" w:rsidRDefault="00284B8A">
            <w:pPr>
              <w:pStyle w:val="TableParagraph"/>
              <w:numPr>
                <w:ilvl w:val="0"/>
                <w:numId w:val="20"/>
              </w:numPr>
              <w:tabs>
                <w:tab w:val="left" w:pos="465"/>
              </w:tabs>
              <w:ind w:right="77"/>
              <w:rPr>
                <w:sz w:val="18"/>
                <w:szCs w:val="20"/>
              </w:rPr>
            </w:pPr>
            <w:r w:rsidRPr="00C10E7A">
              <w:rPr>
                <w:sz w:val="18"/>
                <w:szCs w:val="20"/>
              </w:rPr>
              <w:t>Публичните разходи за опазване на околната среда следва да подсилват други инструменти на политиката в областта на околната среда и да са в съответствие с техните заявени цели.</w:t>
            </w:r>
          </w:p>
          <w:p w14:paraId="008FC0A4" w14:textId="77777777" w:rsidR="00ED69DB" w:rsidRPr="00C10E7A" w:rsidRDefault="00284B8A">
            <w:pPr>
              <w:pStyle w:val="TableParagraph"/>
              <w:numPr>
                <w:ilvl w:val="0"/>
                <w:numId w:val="20"/>
              </w:numPr>
              <w:tabs>
                <w:tab w:val="left" w:pos="465"/>
              </w:tabs>
              <w:ind w:right="78"/>
              <w:rPr>
                <w:sz w:val="18"/>
                <w:szCs w:val="20"/>
              </w:rPr>
            </w:pPr>
            <w:r w:rsidRPr="00C10E7A">
              <w:rPr>
                <w:sz w:val="18"/>
                <w:szCs w:val="20"/>
              </w:rPr>
              <w:t>Програмите за публични разходи обикновено трябва да се използват за финансиране на инвестиции в дълготрайни активи или точно определени неинвестиционни проекти, а не на оперативните разходи на администрацията по околна среда.</w:t>
            </w:r>
          </w:p>
          <w:p w14:paraId="008FC0A5" w14:textId="77777777" w:rsidR="00ED69DB" w:rsidRPr="00C10E7A" w:rsidRDefault="00284B8A">
            <w:pPr>
              <w:pStyle w:val="TableParagraph"/>
              <w:numPr>
                <w:ilvl w:val="0"/>
                <w:numId w:val="20"/>
              </w:numPr>
              <w:tabs>
                <w:tab w:val="left" w:pos="465"/>
              </w:tabs>
              <w:ind w:right="76"/>
              <w:rPr>
                <w:sz w:val="18"/>
                <w:szCs w:val="20"/>
              </w:rPr>
            </w:pPr>
            <w:r w:rsidRPr="00C10E7A">
              <w:rPr>
                <w:sz w:val="18"/>
                <w:szCs w:val="20"/>
              </w:rPr>
              <w:t>Външни одитори трябва периодично да преглеждат добавената стойност на публичните разходи за околната среда; трябва да има разпоредби за постепенно премахване на публичните средства, след като те изпълнят предназначението си.</w:t>
            </w:r>
          </w:p>
        </w:tc>
      </w:tr>
      <w:tr w:rsidR="00ED69DB" w:rsidRPr="00C10E7A" w14:paraId="008FC0AD" w14:textId="77777777">
        <w:trPr>
          <w:trHeight w:val="4502"/>
        </w:trPr>
        <w:tc>
          <w:tcPr>
            <w:tcW w:w="2043" w:type="dxa"/>
          </w:tcPr>
          <w:p w14:paraId="008FC0A7" w14:textId="7F7DDE20" w:rsidR="00ED69DB" w:rsidRPr="00C10E7A" w:rsidRDefault="00284B8A">
            <w:pPr>
              <w:pStyle w:val="TableParagraph"/>
              <w:spacing w:before="59"/>
              <w:ind w:left="109" w:firstLine="0"/>
              <w:jc w:val="left"/>
              <w:rPr>
                <w:b/>
                <w:sz w:val="18"/>
                <w:szCs w:val="20"/>
              </w:rPr>
            </w:pPr>
            <w:r w:rsidRPr="00C10E7A">
              <w:rPr>
                <w:b/>
                <w:sz w:val="18"/>
                <w:szCs w:val="20"/>
              </w:rPr>
              <w:t>2</w:t>
            </w:r>
            <w:r w:rsidR="00C10E7A" w:rsidRPr="00C10E7A">
              <w:rPr>
                <w:b/>
                <w:sz w:val="18"/>
                <w:szCs w:val="20"/>
              </w:rPr>
              <w:t>.</w:t>
            </w:r>
            <w:r w:rsidRPr="00C10E7A">
              <w:rPr>
                <w:b/>
                <w:sz w:val="18"/>
                <w:szCs w:val="20"/>
              </w:rPr>
              <w:t xml:space="preserve"> Добре дефинирана програмна рамка</w:t>
            </w:r>
          </w:p>
        </w:tc>
        <w:tc>
          <w:tcPr>
            <w:tcW w:w="7991" w:type="dxa"/>
          </w:tcPr>
          <w:p w14:paraId="008FC0A8" w14:textId="77777777" w:rsidR="00ED69DB" w:rsidRPr="00C10E7A" w:rsidRDefault="00284B8A">
            <w:pPr>
              <w:pStyle w:val="TableParagraph"/>
              <w:numPr>
                <w:ilvl w:val="0"/>
                <w:numId w:val="19"/>
              </w:numPr>
              <w:tabs>
                <w:tab w:val="left" w:pos="465"/>
              </w:tabs>
              <w:spacing w:before="196"/>
              <w:ind w:right="76"/>
              <w:rPr>
                <w:sz w:val="18"/>
                <w:szCs w:val="20"/>
              </w:rPr>
            </w:pPr>
            <w:r w:rsidRPr="00C10E7A">
              <w:rPr>
                <w:sz w:val="18"/>
                <w:szCs w:val="20"/>
              </w:rPr>
              <w:t>Публичните средства трябва да се изразходват в рамките на публично достъпна разходна програма, одобрена от съответните органи.</w:t>
            </w:r>
          </w:p>
          <w:p w14:paraId="008FC0A9" w14:textId="77777777" w:rsidR="00ED69DB" w:rsidRPr="00C10E7A" w:rsidRDefault="00284B8A">
            <w:pPr>
              <w:pStyle w:val="TableParagraph"/>
              <w:numPr>
                <w:ilvl w:val="0"/>
                <w:numId w:val="19"/>
              </w:numPr>
              <w:tabs>
                <w:tab w:val="left" w:pos="465"/>
              </w:tabs>
              <w:spacing w:before="119"/>
              <w:ind w:right="80"/>
              <w:rPr>
                <w:sz w:val="18"/>
                <w:szCs w:val="20"/>
              </w:rPr>
            </w:pPr>
            <w:r w:rsidRPr="00C10E7A">
              <w:rPr>
                <w:sz w:val="18"/>
                <w:szCs w:val="20"/>
              </w:rPr>
              <w:t xml:space="preserve">В идеалния случай разходната програма трябва да определя измерими, съгласувани, реалистични, обвързани с времето цели. Тя трябва да идентифицира допустимите </w:t>
            </w:r>
            <w:proofErr w:type="spellStart"/>
            <w:r w:rsidRPr="00C10E7A">
              <w:rPr>
                <w:sz w:val="18"/>
                <w:szCs w:val="20"/>
              </w:rPr>
              <w:t>бенефициери</w:t>
            </w:r>
            <w:proofErr w:type="spellEnd"/>
            <w:r w:rsidRPr="00C10E7A">
              <w:rPr>
                <w:sz w:val="18"/>
                <w:szCs w:val="20"/>
              </w:rPr>
              <w:t>, нуждите от финансиране, допустимите типове проекти и правилата, които да ръководят вземането на решения, така че целите да могат да бъдат постигнати с най-малко разходи.</w:t>
            </w:r>
          </w:p>
          <w:p w14:paraId="008FC0AA" w14:textId="77777777" w:rsidR="00ED69DB" w:rsidRPr="00C10E7A" w:rsidRDefault="00284B8A">
            <w:pPr>
              <w:pStyle w:val="TableParagraph"/>
              <w:numPr>
                <w:ilvl w:val="0"/>
                <w:numId w:val="19"/>
              </w:numPr>
              <w:tabs>
                <w:tab w:val="left" w:pos="465"/>
              </w:tabs>
              <w:ind w:right="86"/>
              <w:rPr>
                <w:sz w:val="18"/>
                <w:szCs w:val="20"/>
              </w:rPr>
            </w:pPr>
            <w:r w:rsidRPr="00C10E7A">
              <w:rPr>
                <w:sz w:val="18"/>
                <w:szCs w:val="20"/>
              </w:rPr>
              <w:t>Разходните програми трябва да бъдат създадени като част от по-широка екологична програма или политика.</w:t>
            </w:r>
          </w:p>
          <w:p w14:paraId="008FC0AB" w14:textId="77777777" w:rsidR="00ED69DB" w:rsidRPr="00C10E7A" w:rsidRDefault="00284B8A">
            <w:pPr>
              <w:pStyle w:val="TableParagraph"/>
              <w:numPr>
                <w:ilvl w:val="0"/>
                <w:numId w:val="19"/>
              </w:numPr>
              <w:tabs>
                <w:tab w:val="left" w:pos="465"/>
              </w:tabs>
              <w:ind w:right="76"/>
              <w:rPr>
                <w:sz w:val="18"/>
                <w:szCs w:val="20"/>
              </w:rPr>
            </w:pPr>
            <w:r w:rsidRPr="00C10E7A">
              <w:rPr>
                <w:sz w:val="18"/>
                <w:szCs w:val="20"/>
              </w:rPr>
              <w:t>Икономически, социални, цели за намаляване на бедността или други неекологични цели могат да бъдат интегрирани в програмата за публични разходи за околната среда, но, освен ако не са изрично включени в целите на програмата за разходи, те не трябва да подкопават постигането на екологичните цели на програмата.</w:t>
            </w:r>
          </w:p>
          <w:p w14:paraId="008FC0AC" w14:textId="77777777" w:rsidR="00ED69DB" w:rsidRPr="00C10E7A" w:rsidRDefault="00284B8A">
            <w:pPr>
              <w:pStyle w:val="TableParagraph"/>
              <w:numPr>
                <w:ilvl w:val="0"/>
                <w:numId w:val="19"/>
              </w:numPr>
              <w:tabs>
                <w:tab w:val="left" w:pos="465"/>
              </w:tabs>
              <w:spacing w:before="116"/>
              <w:ind w:right="77"/>
              <w:rPr>
                <w:sz w:val="18"/>
                <w:szCs w:val="20"/>
              </w:rPr>
            </w:pPr>
            <w:r w:rsidRPr="00C10E7A">
              <w:rPr>
                <w:sz w:val="18"/>
                <w:szCs w:val="20"/>
              </w:rPr>
              <w:t>По-широките икономически ефекти от програмите за публични разходи за околната среда (</w:t>
            </w:r>
            <w:r w:rsidRPr="00C10E7A">
              <w:rPr>
                <w:i/>
                <w:sz w:val="18"/>
                <w:szCs w:val="20"/>
              </w:rPr>
              <w:t>напр.</w:t>
            </w:r>
            <w:r w:rsidRPr="00C10E7A">
              <w:rPr>
                <w:sz w:val="18"/>
                <w:szCs w:val="20"/>
              </w:rPr>
              <w:t xml:space="preserve"> по отношение на публичен дефицит, растеж, заетост) трябва да бъдат оценени, когато е уместно, преди тяхното създаване, и допълнително оценени по време на изпълнението.</w:t>
            </w:r>
          </w:p>
        </w:tc>
      </w:tr>
      <w:tr w:rsidR="00ED69DB" w:rsidRPr="00C10E7A" w14:paraId="008FC0B2" w14:textId="77777777">
        <w:trPr>
          <w:trHeight w:val="2242"/>
        </w:trPr>
        <w:tc>
          <w:tcPr>
            <w:tcW w:w="2043" w:type="dxa"/>
          </w:tcPr>
          <w:p w14:paraId="008FC0AE" w14:textId="1ABF74E7" w:rsidR="00ED69DB" w:rsidRPr="00C10E7A" w:rsidRDefault="00284B8A" w:rsidP="00C10E7A">
            <w:pPr>
              <w:pStyle w:val="TableParagraph"/>
              <w:tabs>
                <w:tab w:val="left" w:pos="1605"/>
              </w:tabs>
              <w:spacing w:before="59"/>
              <w:ind w:left="109" w:right="45" w:firstLine="0"/>
              <w:jc w:val="left"/>
              <w:rPr>
                <w:b/>
                <w:sz w:val="18"/>
                <w:szCs w:val="20"/>
              </w:rPr>
            </w:pPr>
            <w:r w:rsidRPr="00C10E7A">
              <w:rPr>
                <w:b/>
                <w:sz w:val="18"/>
                <w:szCs w:val="20"/>
              </w:rPr>
              <w:t>3</w:t>
            </w:r>
            <w:r w:rsidR="00C10E7A" w:rsidRPr="00C10E7A">
              <w:rPr>
                <w:b/>
                <w:sz w:val="18"/>
                <w:szCs w:val="20"/>
              </w:rPr>
              <w:t>.</w:t>
            </w:r>
            <w:r w:rsidRPr="00C10E7A">
              <w:rPr>
                <w:b/>
                <w:sz w:val="18"/>
                <w:szCs w:val="20"/>
              </w:rPr>
              <w:t xml:space="preserve"> Ясна идентификация на екологичните резултати</w:t>
            </w:r>
          </w:p>
        </w:tc>
        <w:tc>
          <w:tcPr>
            <w:tcW w:w="7991" w:type="dxa"/>
          </w:tcPr>
          <w:p w14:paraId="008FC0AF" w14:textId="77777777" w:rsidR="00ED69DB" w:rsidRPr="00C10E7A" w:rsidRDefault="00284B8A">
            <w:pPr>
              <w:pStyle w:val="TableParagraph"/>
              <w:numPr>
                <w:ilvl w:val="0"/>
                <w:numId w:val="18"/>
              </w:numPr>
              <w:tabs>
                <w:tab w:val="left" w:pos="465"/>
              </w:tabs>
              <w:spacing w:before="120"/>
              <w:ind w:right="86"/>
              <w:rPr>
                <w:sz w:val="18"/>
                <w:szCs w:val="20"/>
              </w:rPr>
            </w:pPr>
            <w:r w:rsidRPr="00C10E7A">
              <w:rPr>
                <w:sz w:val="18"/>
                <w:szCs w:val="20"/>
              </w:rPr>
              <w:t>Стандартните формуляри за кандидатстване трябва да се използват, доколкото това е практически възможно, за получаване на количествена и качествена информация за екологичните резултати от проектите. След като бъде получена, точността и надеждността на тази информация трябва да бъдат проверени.</w:t>
            </w:r>
          </w:p>
          <w:p w14:paraId="008FC0B0" w14:textId="77777777" w:rsidR="00ED69DB" w:rsidRPr="00C10E7A" w:rsidRDefault="00284B8A">
            <w:pPr>
              <w:pStyle w:val="TableParagraph"/>
              <w:numPr>
                <w:ilvl w:val="0"/>
                <w:numId w:val="18"/>
              </w:numPr>
              <w:tabs>
                <w:tab w:val="left" w:pos="465"/>
              </w:tabs>
              <w:ind w:right="84"/>
              <w:rPr>
                <w:sz w:val="18"/>
                <w:szCs w:val="20"/>
              </w:rPr>
            </w:pPr>
            <w:r w:rsidRPr="00C10E7A">
              <w:rPr>
                <w:sz w:val="18"/>
                <w:szCs w:val="20"/>
              </w:rPr>
              <w:t>Показателите за екологичните резултати трябва да бъдат възможно най-еднозначни и използвани като основни критерии при оценката и подбора на проекти. Когато е целесъобразно, резултатите за околната среда следва да се оценяват в парично изражение с цел изрично тестване на ползите спрямо разходите на проектите.</w:t>
            </w:r>
          </w:p>
          <w:p w14:paraId="008FC0B1" w14:textId="77777777" w:rsidR="00ED69DB" w:rsidRPr="00C10E7A" w:rsidRDefault="00284B8A">
            <w:pPr>
              <w:pStyle w:val="TableParagraph"/>
              <w:numPr>
                <w:ilvl w:val="0"/>
                <w:numId w:val="18"/>
              </w:numPr>
              <w:tabs>
                <w:tab w:val="left" w:pos="464"/>
                <w:tab w:val="left" w:pos="465"/>
              </w:tabs>
              <w:spacing w:line="226" w:lineRule="exact"/>
              <w:jc w:val="left"/>
              <w:rPr>
                <w:sz w:val="18"/>
                <w:szCs w:val="20"/>
              </w:rPr>
            </w:pPr>
            <w:r w:rsidRPr="00C10E7A">
              <w:rPr>
                <w:sz w:val="18"/>
                <w:szCs w:val="20"/>
              </w:rPr>
              <w:t>Резултатите за околната среда трябва да се наблюдават през целия проектен цикъл и</w:t>
            </w:r>
          </w:p>
        </w:tc>
      </w:tr>
    </w:tbl>
    <w:p w14:paraId="008FC0B3" w14:textId="77777777" w:rsidR="00ED69DB" w:rsidRDefault="00ED69DB">
      <w:pPr>
        <w:spacing w:line="226" w:lineRule="exact"/>
        <w:rPr>
          <w:sz w:val="20"/>
        </w:rPr>
        <w:sectPr w:rsidR="00ED69DB">
          <w:pgSz w:w="11910" w:h="16840"/>
          <w:pgMar w:top="1320" w:right="760" w:bottom="280" w:left="760" w:header="849" w:footer="0" w:gutter="0"/>
          <w:cols w:space="720"/>
        </w:sectPr>
      </w:pPr>
    </w:p>
    <w:p w14:paraId="008FC0B4" w14:textId="77777777" w:rsidR="00ED69DB" w:rsidRDefault="00ED69DB">
      <w:pPr>
        <w:pStyle w:val="BodyText"/>
        <w:spacing w:before="5"/>
        <w:rPr>
          <w:b/>
          <w:sz w:val="7"/>
        </w:rPr>
      </w:pPr>
    </w:p>
    <w:tbl>
      <w:tblPr>
        <w:tblW w:w="0" w:type="auto"/>
        <w:tblInd w:w="191"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7991"/>
      </w:tblGrid>
      <w:tr w:rsidR="00ED69DB" w:rsidRPr="00C10E7A" w14:paraId="008FC0B9" w14:textId="77777777">
        <w:trPr>
          <w:trHeight w:val="2339"/>
        </w:trPr>
        <w:tc>
          <w:tcPr>
            <w:tcW w:w="2043" w:type="dxa"/>
          </w:tcPr>
          <w:p w14:paraId="008FC0B5" w14:textId="77777777" w:rsidR="00ED69DB" w:rsidRDefault="00ED69DB">
            <w:pPr>
              <w:pStyle w:val="TableParagraph"/>
              <w:spacing w:before="0"/>
              <w:ind w:left="0" w:firstLine="0"/>
              <w:jc w:val="left"/>
              <w:rPr>
                <w:rFonts w:ascii="Times New Roman"/>
                <w:sz w:val="18"/>
              </w:rPr>
            </w:pPr>
          </w:p>
        </w:tc>
        <w:tc>
          <w:tcPr>
            <w:tcW w:w="7991" w:type="dxa"/>
          </w:tcPr>
          <w:p w14:paraId="008FC0B6" w14:textId="77777777" w:rsidR="00ED69DB" w:rsidRPr="00C10E7A" w:rsidRDefault="00284B8A">
            <w:pPr>
              <w:pStyle w:val="TableParagraph"/>
              <w:spacing w:before="1"/>
              <w:ind w:firstLine="0"/>
              <w:jc w:val="left"/>
              <w:rPr>
                <w:sz w:val="18"/>
                <w:szCs w:val="20"/>
              </w:rPr>
            </w:pPr>
            <w:r w:rsidRPr="00C10E7A">
              <w:rPr>
                <w:sz w:val="18"/>
                <w:szCs w:val="20"/>
              </w:rPr>
              <w:t>след изпълнение; данните за околната среда на ниво проект трябва да се съхраняват в публично достъпна база данни, която позволява последваща проверка и анализ.</w:t>
            </w:r>
          </w:p>
          <w:p w14:paraId="008FC0B7" w14:textId="77777777" w:rsidR="00ED69DB" w:rsidRPr="00C10E7A" w:rsidRDefault="00284B8A">
            <w:pPr>
              <w:pStyle w:val="TableParagraph"/>
              <w:numPr>
                <w:ilvl w:val="0"/>
                <w:numId w:val="17"/>
              </w:numPr>
              <w:tabs>
                <w:tab w:val="left" w:pos="465"/>
              </w:tabs>
              <w:spacing w:before="120"/>
              <w:ind w:right="85"/>
              <w:rPr>
                <w:sz w:val="18"/>
                <w:szCs w:val="20"/>
              </w:rPr>
            </w:pPr>
            <w:r w:rsidRPr="00C10E7A">
              <w:rPr>
                <w:sz w:val="18"/>
                <w:szCs w:val="20"/>
              </w:rPr>
              <w:t xml:space="preserve">Ако проектът не успее да постигне планираните резултати, както е посочено във формуляра за кандидатстване или договора за финансиране, </w:t>
            </w:r>
            <w:proofErr w:type="spellStart"/>
            <w:r w:rsidRPr="00C10E7A">
              <w:rPr>
                <w:sz w:val="18"/>
                <w:szCs w:val="20"/>
              </w:rPr>
              <w:t>бенефициерите</w:t>
            </w:r>
            <w:proofErr w:type="spellEnd"/>
            <w:r w:rsidRPr="00C10E7A">
              <w:rPr>
                <w:sz w:val="18"/>
                <w:szCs w:val="20"/>
              </w:rPr>
              <w:t xml:space="preserve"> на проекта следва да бъдат подложени на санкции, посочени в договора и наложени пропорционално на нарушението.</w:t>
            </w:r>
          </w:p>
          <w:p w14:paraId="008FC0B8" w14:textId="77777777" w:rsidR="00ED69DB" w:rsidRPr="00C10E7A" w:rsidRDefault="00284B8A">
            <w:pPr>
              <w:pStyle w:val="TableParagraph"/>
              <w:numPr>
                <w:ilvl w:val="0"/>
                <w:numId w:val="17"/>
              </w:numPr>
              <w:tabs>
                <w:tab w:val="left" w:pos="465"/>
              </w:tabs>
              <w:spacing w:before="135" w:line="230" w:lineRule="exact"/>
              <w:ind w:right="80"/>
              <w:rPr>
                <w:sz w:val="18"/>
                <w:szCs w:val="20"/>
              </w:rPr>
            </w:pPr>
            <w:r w:rsidRPr="00C10E7A">
              <w:rPr>
                <w:sz w:val="18"/>
                <w:szCs w:val="20"/>
              </w:rPr>
              <w:t>Информацията за постигнатите от програмата екологични резултати трябва периодично да се докладва на отговорните за надзора на програмата и на обществеността, да се преглежда от външни одитори и да се използва за оценка на изпълнението на програмата.</w:t>
            </w:r>
          </w:p>
        </w:tc>
      </w:tr>
      <w:tr w:rsidR="00ED69DB" w:rsidRPr="00C10E7A" w14:paraId="008FC0BF" w14:textId="77777777">
        <w:trPr>
          <w:trHeight w:val="3616"/>
        </w:trPr>
        <w:tc>
          <w:tcPr>
            <w:tcW w:w="2043" w:type="dxa"/>
          </w:tcPr>
          <w:p w14:paraId="008FC0BA" w14:textId="123AF068" w:rsidR="00ED69DB" w:rsidRDefault="00284B8A" w:rsidP="00C10E7A">
            <w:pPr>
              <w:pStyle w:val="TableParagraph"/>
              <w:spacing w:before="55"/>
              <w:ind w:left="109" w:right="45" w:firstLine="0"/>
              <w:jc w:val="left"/>
              <w:rPr>
                <w:b/>
                <w:sz w:val="20"/>
              </w:rPr>
            </w:pPr>
            <w:r>
              <w:rPr>
                <w:b/>
                <w:sz w:val="20"/>
              </w:rPr>
              <w:t>4</w:t>
            </w:r>
            <w:r w:rsidR="00C10E7A">
              <w:rPr>
                <w:b/>
                <w:sz w:val="20"/>
              </w:rPr>
              <w:t>.</w:t>
            </w:r>
            <w:r>
              <w:rPr>
                <w:b/>
                <w:sz w:val="20"/>
              </w:rPr>
              <w:t xml:space="preserve"> Максимален ефект от наличните средства върху околната среда</w:t>
            </w:r>
          </w:p>
        </w:tc>
        <w:tc>
          <w:tcPr>
            <w:tcW w:w="7991" w:type="dxa"/>
          </w:tcPr>
          <w:p w14:paraId="008FC0BB" w14:textId="77777777" w:rsidR="00ED69DB" w:rsidRPr="00C10E7A" w:rsidRDefault="00284B8A">
            <w:pPr>
              <w:pStyle w:val="TableParagraph"/>
              <w:numPr>
                <w:ilvl w:val="0"/>
                <w:numId w:val="16"/>
              </w:numPr>
              <w:tabs>
                <w:tab w:val="left" w:pos="465"/>
              </w:tabs>
              <w:spacing w:before="115"/>
              <w:ind w:right="78"/>
              <w:rPr>
                <w:sz w:val="18"/>
                <w:szCs w:val="20"/>
              </w:rPr>
            </w:pPr>
            <w:r w:rsidRPr="00C10E7A">
              <w:rPr>
                <w:sz w:val="18"/>
                <w:szCs w:val="20"/>
              </w:rPr>
              <w:t>Количествена информация за пълните разходи по проекта (инвестиция, експлоатация и поддръжка) трябва да се изисква от кандидатите в стандартен формуляр за кандидатстване и да бъде проверена; данните за разходите на ниво проект трябва да се проследяват и съхраняват във формат на база данни по начин, който позволява последваща проверка и анализ.</w:t>
            </w:r>
          </w:p>
          <w:p w14:paraId="008FC0BC" w14:textId="77777777" w:rsidR="00ED69DB" w:rsidRPr="00C10E7A" w:rsidRDefault="00284B8A">
            <w:pPr>
              <w:pStyle w:val="TableParagraph"/>
              <w:numPr>
                <w:ilvl w:val="0"/>
                <w:numId w:val="16"/>
              </w:numPr>
              <w:tabs>
                <w:tab w:val="left" w:pos="465"/>
              </w:tabs>
              <w:spacing w:before="119"/>
              <w:ind w:right="80"/>
              <w:rPr>
                <w:sz w:val="18"/>
                <w:szCs w:val="20"/>
              </w:rPr>
            </w:pPr>
            <w:r w:rsidRPr="00C10E7A">
              <w:rPr>
                <w:sz w:val="18"/>
                <w:szCs w:val="20"/>
              </w:rPr>
              <w:t xml:space="preserve">Критериите за подбор на проекти трябва да имат за цел постигане на най-голям екологичен резултат с ресурсите на програмата. Ясен показател за рентабилност (разходи за целия живот за постигане на въздействие върху околната среда) и процентът на финансовия </w:t>
            </w:r>
            <w:proofErr w:type="spellStart"/>
            <w:r w:rsidRPr="00C10E7A">
              <w:rPr>
                <w:sz w:val="18"/>
                <w:szCs w:val="20"/>
              </w:rPr>
              <w:t>ливъридж</w:t>
            </w:r>
            <w:proofErr w:type="spellEnd"/>
            <w:r w:rsidRPr="00C10E7A">
              <w:rPr>
                <w:sz w:val="18"/>
                <w:szCs w:val="20"/>
              </w:rPr>
              <w:t xml:space="preserve"> трябва да формират ядрото на количествената основа за проверка, оценяване, класиране и подбор на проекти. Когато е оправдано от размера на проекта или други съответни съображения, изборът на проекти трябва да бъде подкрепен от прозрачен анализ на ползите и разходите.</w:t>
            </w:r>
          </w:p>
          <w:p w14:paraId="008FC0BD" w14:textId="77777777" w:rsidR="00ED69DB" w:rsidRPr="00C10E7A" w:rsidRDefault="00284B8A">
            <w:pPr>
              <w:pStyle w:val="TableParagraph"/>
              <w:numPr>
                <w:ilvl w:val="0"/>
                <w:numId w:val="16"/>
              </w:numPr>
              <w:tabs>
                <w:tab w:val="left" w:pos="465"/>
              </w:tabs>
              <w:spacing w:before="120"/>
              <w:ind w:right="78"/>
              <w:rPr>
                <w:sz w:val="18"/>
                <w:szCs w:val="20"/>
              </w:rPr>
            </w:pPr>
            <w:r w:rsidRPr="00C10E7A">
              <w:rPr>
                <w:sz w:val="18"/>
                <w:szCs w:val="20"/>
              </w:rPr>
              <w:t>Количествената информация за рентабилността трябва периодично да се докладва на отговорните за надзора на програмата и на обществеността, да подлежи на периодични външни, независими прегледи и да се използва за оценка на резултатите от</w:t>
            </w:r>
          </w:p>
          <w:p w14:paraId="008FC0BE" w14:textId="77777777" w:rsidR="00ED69DB" w:rsidRPr="00C10E7A" w:rsidRDefault="00284B8A">
            <w:pPr>
              <w:pStyle w:val="TableParagraph"/>
              <w:spacing w:before="0" w:line="207" w:lineRule="exact"/>
              <w:ind w:firstLine="0"/>
              <w:jc w:val="left"/>
              <w:rPr>
                <w:sz w:val="18"/>
                <w:szCs w:val="20"/>
              </w:rPr>
            </w:pPr>
            <w:r w:rsidRPr="00C10E7A">
              <w:rPr>
                <w:sz w:val="18"/>
                <w:szCs w:val="20"/>
              </w:rPr>
              <w:t>програмата.</w:t>
            </w:r>
          </w:p>
        </w:tc>
      </w:tr>
      <w:tr w:rsidR="00ED69DB" w:rsidRPr="00C10E7A" w14:paraId="008FC0C7" w14:textId="77777777">
        <w:trPr>
          <w:trHeight w:val="3296"/>
        </w:trPr>
        <w:tc>
          <w:tcPr>
            <w:tcW w:w="2043" w:type="dxa"/>
          </w:tcPr>
          <w:p w14:paraId="008FC0C0" w14:textId="7A256E17" w:rsidR="00ED69DB" w:rsidRDefault="00284B8A">
            <w:pPr>
              <w:pStyle w:val="TableParagraph"/>
              <w:spacing w:before="59"/>
              <w:ind w:left="109" w:firstLine="0"/>
              <w:jc w:val="left"/>
              <w:rPr>
                <w:b/>
                <w:sz w:val="20"/>
              </w:rPr>
            </w:pPr>
            <w:r>
              <w:rPr>
                <w:b/>
                <w:sz w:val="20"/>
              </w:rPr>
              <w:t>5</w:t>
            </w:r>
            <w:r w:rsidR="00C10E7A">
              <w:rPr>
                <w:b/>
                <w:sz w:val="20"/>
              </w:rPr>
              <w:t>.</w:t>
            </w:r>
            <w:r>
              <w:rPr>
                <w:b/>
                <w:sz w:val="20"/>
              </w:rPr>
              <w:t xml:space="preserve"> Мобилизиране на допълнително финансиране</w:t>
            </w:r>
          </w:p>
        </w:tc>
        <w:tc>
          <w:tcPr>
            <w:tcW w:w="7991" w:type="dxa"/>
          </w:tcPr>
          <w:p w14:paraId="008FC0C1" w14:textId="77777777" w:rsidR="00ED69DB" w:rsidRPr="00C10E7A" w:rsidRDefault="00284B8A">
            <w:pPr>
              <w:pStyle w:val="TableParagraph"/>
              <w:numPr>
                <w:ilvl w:val="0"/>
                <w:numId w:val="15"/>
              </w:numPr>
              <w:tabs>
                <w:tab w:val="left" w:pos="465"/>
              </w:tabs>
              <w:spacing w:before="120"/>
              <w:ind w:right="80"/>
              <w:rPr>
                <w:sz w:val="18"/>
                <w:szCs w:val="20"/>
              </w:rPr>
            </w:pPr>
            <w:r w:rsidRPr="00C10E7A">
              <w:rPr>
                <w:sz w:val="18"/>
                <w:szCs w:val="20"/>
              </w:rPr>
              <w:t xml:space="preserve">За да увеличат максимално въздействието си върху околната среда, публичните средства трябва да се стремят да покрият по-малко от 100% от разходите по проекта; следва да бъдат оценени вариантите за съфинансиране от неразпределената печалба на </w:t>
            </w:r>
            <w:proofErr w:type="spellStart"/>
            <w:r w:rsidRPr="00C10E7A">
              <w:rPr>
                <w:sz w:val="18"/>
                <w:szCs w:val="20"/>
              </w:rPr>
              <w:t>бенефициера</w:t>
            </w:r>
            <w:proofErr w:type="spellEnd"/>
            <w:r w:rsidRPr="00C10E7A">
              <w:rPr>
                <w:sz w:val="18"/>
                <w:szCs w:val="20"/>
              </w:rPr>
              <w:t xml:space="preserve"> или други източници.</w:t>
            </w:r>
          </w:p>
          <w:p w14:paraId="008FC0C2" w14:textId="77777777" w:rsidR="00ED69DB" w:rsidRPr="00C10E7A" w:rsidRDefault="00284B8A">
            <w:pPr>
              <w:pStyle w:val="TableParagraph"/>
              <w:numPr>
                <w:ilvl w:val="0"/>
                <w:numId w:val="15"/>
              </w:numPr>
              <w:tabs>
                <w:tab w:val="left" w:pos="465"/>
              </w:tabs>
              <w:spacing w:line="244" w:lineRule="exact"/>
              <w:rPr>
                <w:sz w:val="18"/>
                <w:szCs w:val="20"/>
              </w:rPr>
            </w:pPr>
            <w:r w:rsidRPr="00C10E7A">
              <w:rPr>
                <w:sz w:val="18"/>
                <w:szCs w:val="20"/>
              </w:rPr>
              <w:t xml:space="preserve">Степента на финансовия </w:t>
            </w:r>
            <w:proofErr w:type="spellStart"/>
            <w:r w:rsidRPr="00C10E7A">
              <w:rPr>
                <w:sz w:val="18"/>
                <w:szCs w:val="20"/>
              </w:rPr>
              <w:t>ливъридж</w:t>
            </w:r>
            <w:proofErr w:type="spellEnd"/>
            <w:r w:rsidRPr="00C10E7A">
              <w:rPr>
                <w:sz w:val="18"/>
                <w:szCs w:val="20"/>
              </w:rPr>
              <w:t xml:space="preserve"> трябва да се използва за оценка на резултатите от</w:t>
            </w:r>
          </w:p>
          <w:p w14:paraId="008FC0C3" w14:textId="77777777" w:rsidR="00ED69DB" w:rsidRPr="00C10E7A" w:rsidRDefault="00284B8A">
            <w:pPr>
              <w:pStyle w:val="TableParagraph"/>
              <w:spacing w:before="0" w:line="229" w:lineRule="exact"/>
              <w:ind w:firstLine="0"/>
              <w:jc w:val="left"/>
              <w:rPr>
                <w:sz w:val="18"/>
                <w:szCs w:val="20"/>
              </w:rPr>
            </w:pPr>
            <w:r w:rsidRPr="00C10E7A">
              <w:rPr>
                <w:sz w:val="18"/>
                <w:szCs w:val="20"/>
              </w:rPr>
              <w:t>програмата.</w:t>
            </w:r>
          </w:p>
          <w:p w14:paraId="008FC0C4" w14:textId="77777777" w:rsidR="00ED69DB" w:rsidRPr="00C10E7A" w:rsidRDefault="00284B8A">
            <w:pPr>
              <w:pStyle w:val="TableParagraph"/>
              <w:numPr>
                <w:ilvl w:val="0"/>
                <w:numId w:val="15"/>
              </w:numPr>
              <w:tabs>
                <w:tab w:val="left" w:pos="465"/>
              </w:tabs>
              <w:spacing w:before="119"/>
              <w:ind w:right="74"/>
              <w:rPr>
                <w:sz w:val="18"/>
                <w:szCs w:val="20"/>
              </w:rPr>
            </w:pPr>
            <w:r w:rsidRPr="00C10E7A">
              <w:rPr>
                <w:sz w:val="18"/>
                <w:szCs w:val="20"/>
              </w:rPr>
              <w:t>Програмите за публични разходи за околна среда не трябва да нарушават конкуренцията на финансовите пазари, нито да възпрепятстват развитието на частните финансови институции. Финансовите продукти, използвани в програмите за екологични разходи, не трябва да се конкурират с тези, предлагани от частни финансови институции.</w:t>
            </w:r>
          </w:p>
          <w:p w14:paraId="008FC0C5" w14:textId="77777777" w:rsidR="00ED69DB" w:rsidRPr="00C10E7A" w:rsidRDefault="00284B8A">
            <w:pPr>
              <w:pStyle w:val="TableParagraph"/>
              <w:numPr>
                <w:ilvl w:val="0"/>
                <w:numId w:val="15"/>
              </w:numPr>
              <w:tabs>
                <w:tab w:val="left" w:pos="465"/>
              </w:tabs>
              <w:spacing w:before="119"/>
              <w:rPr>
                <w:sz w:val="18"/>
                <w:szCs w:val="20"/>
              </w:rPr>
            </w:pPr>
            <w:r w:rsidRPr="00C10E7A">
              <w:rPr>
                <w:sz w:val="18"/>
                <w:szCs w:val="20"/>
              </w:rPr>
              <w:t>Трябва да се изискват пълни финансови планове на екологичните проекти; ангажименти за</w:t>
            </w:r>
          </w:p>
          <w:p w14:paraId="008FC0C6" w14:textId="77777777" w:rsidR="00ED69DB" w:rsidRPr="00C10E7A" w:rsidRDefault="00284B8A">
            <w:pPr>
              <w:pStyle w:val="TableParagraph"/>
              <w:spacing w:before="6" w:line="228" w:lineRule="exact"/>
              <w:ind w:right="80" w:firstLine="0"/>
              <w:rPr>
                <w:sz w:val="18"/>
                <w:szCs w:val="20"/>
              </w:rPr>
            </w:pPr>
            <w:r w:rsidRPr="00C10E7A">
              <w:rPr>
                <w:sz w:val="18"/>
                <w:szCs w:val="20"/>
              </w:rPr>
              <w:t>финансиране от други източници трябва да бъдат проверявани. Не трябва да се извършва плащане, докато не бъде осигурено подходящо пълно финансиране за проекта.</w:t>
            </w:r>
          </w:p>
        </w:tc>
      </w:tr>
    </w:tbl>
    <w:p w14:paraId="008FC0C8" w14:textId="77777777" w:rsidR="00ED69DB" w:rsidRDefault="00ED69DB">
      <w:pPr>
        <w:pStyle w:val="BodyText"/>
        <w:spacing w:before="6"/>
        <w:rPr>
          <w:b/>
          <w:sz w:val="12"/>
        </w:rPr>
      </w:pPr>
    </w:p>
    <w:p w14:paraId="008FC0C9" w14:textId="77777777" w:rsidR="00ED69DB" w:rsidRDefault="00284B8A" w:rsidP="00C10E7A">
      <w:pPr>
        <w:pStyle w:val="Heading2"/>
        <w:tabs>
          <w:tab w:val="left" w:pos="8010"/>
        </w:tabs>
        <w:spacing w:before="93"/>
        <w:ind w:right="580" w:hanging="1923"/>
      </w:pPr>
      <w:bookmarkStart w:id="1" w:name="Checklist_2._Performance_in_Terms_of_Bud"/>
      <w:bookmarkEnd w:id="1"/>
      <w:r>
        <w:t>Контролен списък 2. Резултати по отношение на добрите бюджетни практики</w:t>
      </w:r>
    </w:p>
    <w:p w14:paraId="008FC0CA" w14:textId="77777777" w:rsidR="00ED69DB" w:rsidRDefault="00ED69DB">
      <w:pPr>
        <w:pStyle w:val="BodyText"/>
        <w:spacing w:before="1" w:after="1"/>
        <w:rPr>
          <w:b/>
          <w:sz w:val="21"/>
        </w:rPr>
      </w:pPr>
    </w:p>
    <w:tbl>
      <w:tblPr>
        <w:tblW w:w="0" w:type="auto"/>
        <w:tblInd w:w="148"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8078"/>
      </w:tblGrid>
      <w:tr w:rsidR="00ED69DB" w14:paraId="008FC0CD" w14:textId="77777777">
        <w:trPr>
          <w:trHeight w:val="349"/>
        </w:trPr>
        <w:tc>
          <w:tcPr>
            <w:tcW w:w="2043" w:type="dxa"/>
            <w:shd w:val="clear" w:color="auto" w:fill="F3F3F3"/>
          </w:tcPr>
          <w:p w14:paraId="008FC0CB" w14:textId="77777777" w:rsidR="00ED69DB" w:rsidRPr="0006786F" w:rsidRDefault="00284B8A">
            <w:pPr>
              <w:pStyle w:val="TableParagraph"/>
              <w:spacing w:before="56"/>
              <w:ind w:left="109" w:firstLine="0"/>
              <w:jc w:val="left"/>
              <w:rPr>
                <w:b/>
                <w:sz w:val="14"/>
                <w:szCs w:val="16"/>
              </w:rPr>
            </w:pPr>
            <w:r w:rsidRPr="0006786F">
              <w:rPr>
                <w:b/>
                <w:sz w:val="14"/>
                <w:szCs w:val="16"/>
              </w:rPr>
              <w:t>Принцип</w:t>
            </w:r>
          </w:p>
        </w:tc>
        <w:tc>
          <w:tcPr>
            <w:tcW w:w="8078" w:type="dxa"/>
            <w:shd w:val="clear" w:color="auto" w:fill="F3F3F3"/>
          </w:tcPr>
          <w:p w14:paraId="008FC0CC" w14:textId="77777777" w:rsidR="00ED69DB" w:rsidRPr="0006786F" w:rsidRDefault="00284B8A">
            <w:pPr>
              <w:pStyle w:val="TableParagraph"/>
              <w:spacing w:before="56"/>
              <w:ind w:left="107" w:firstLine="0"/>
              <w:jc w:val="left"/>
              <w:rPr>
                <w:b/>
                <w:sz w:val="14"/>
                <w:szCs w:val="16"/>
              </w:rPr>
            </w:pPr>
            <w:r w:rsidRPr="0006786F">
              <w:rPr>
                <w:b/>
                <w:sz w:val="14"/>
                <w:szCs w:val="16"/>
              </w:rPr>
              <w:t>Добри практики</w:t>
            </w:r>
          </w:p>
        </w:tc>
      </w:tr>
      <w:tr w:rsidR="00ED69DB" w14:paraId="008FC0D2" w14:textId="77777777">
        <w:trPr>
          <w:trHeight w:val="2471"/>
        </w:trPr>
        <w:tc>
          <w:tcPr>
            <w:tcW w:w="2043" w:type="dxa"/>
          </w:tcPr>
          <w:p w14:paraId="008FC0CE" w14:textId="77777777" w:rsidR="00ED69DB" w:rsidRPr="0006786F" w:rsidRDefault="00284B8A">
            <w:pPr>
              <w:pStyle w:val="TableParagraph"/>
              <w:spacing w:before="56"/>
              <w:ind w:left="109" w:right="250" w:firstLine="0"/>
              <w:jc w:val="left"/>
              <w:rPr>
                <w:b/>
                <w:sz w:val="14"/>
                <w:szCs w:val="16"/>
              </w:rPr>
            </w:pPr>
            <w:r w:rsidRPr="0006786F">
              <w:rPr>
                <w:b/>
                <w:sz w:val="14"/>
                <w:szCs w:val="16"/>
              </w:rPr>
              <w:t>1 Фискален интегритет на приходите</w:t>
            </w:r>
          </w:p>
        </w:tc>
        <w:tc>
          <w:tcPr>
            <w:tcW w:w="8078" w:type="dxa"/>
          </w:tcPr>
          <w:p w14:paraId="008FC0CF" w14:textId="77777777" w:rsidR="00ED69DB" w:rsidRPr="0006786F" w:rsidRDefault="00284B8A">
            <w:pPr>
              <w:pStyle w:val="TableParagraph"/>
              <w:numPr>
                <w:ilvl w:val="0"/>
                <w:numId w:val="14"/>
              </w:numPr>
              <w:tabs>
                <w:tab w:val="left" w:pos="465"/>
              </w:tabs>
              <w:spacing w:before="117"/>
              <w:ind w:right="85"/>
              <w:rPr>
                <w:sz w:val="14"/>
                <w:szCs w:val="16"/>
              </w:rPr>
            </w:pPr>
            <w:r w:rsidRPr="0006786F">
              <w:rPr>
                <w:sz w:val="14"/>
                <w:szCs w:val="16"/>
              </w:rPr>
              <w:t>Всички финансови ресурси, налични за програмите за публичните разходи за околната среда, трябва да бъдат ясно посочени в разрешаващото законодателство или регламент.</w:t>
            </w:r>
          </w:p>
          <w:p w14:paraId="008FC0D0" w14:textId="77777777" w:rsidR="00ED69DB" w:rsidRPr="0006786F" w:rsidRDefault="00284B8A">
            <w:pPr>
              <w:pStyle w:val="TableParagraph"/>
              <w:numPr>
                <w:ilvl w:val="0"/>
                <w:numId w:val="14"/>
              </w:numPr>
              <w:tabs>
                <w:tab w:val="left" w:pos="465"/>
              </w:tabs>
              <w:spacing w:before="121"/>
              <w:ind w:right="84"/>
              <w:rPr>
                <w:sz w:val="14"/>
                <w:szCs w:val="16"/>
              </w:rPr>
            </w:pPr>
            <w:r w:rsidRPr="0006786F">
              <w:rPr>
                <w:sz w:val="14"/>
                <w:szCs w:val="16"/>
              </w:rPr>
              <w:t>Ако финансовите ресурси, управлявани в рамките на програмата, идват пряко или косвено от задължителни трансферни плащания (данъци, такси, комисионни), те трябва да се третират като публични средства по смисъла на правилата и разпоредбите, приложими към публичните финанси, обществените поръчки и/или държавната помощ, според случая. Като такива, тези ресурси следва да бъдат предмет на обичайната фискална дисциплина и изисквания за прозрачност.</w:t>
            </w:r>
          </w:p>
          <w:p w14:paraId="008FC0D1" w14:textId="77777777" w:rsidR="00ED69DB" w:rsidRPr="0006786F" w:rsidRDefault="00284B8A">
            <w:pPr>
              <w:pStyle w:val="TableParagraph"/>
              <w:numPr>
                <w:ilvl w:val="0"/>
                <w:numId w:val="14"/>
              </w:numPr>
              <w:tabs>
                <w:tab w:val="left" w:pos="465"/>
              </w:tabs>
              <w:spacing w:before="117" w:line="230" w:lineRule="atLeast"/>
              <w:ind w:right="88"/>
              <w:rPr>
                <w:sz w:val="14"/>
                <w:szCs w:val="16"/>
              </w:rPr>
            </w:pPr>
            <w:r w:rsidRPr="0006786F">
              <w:rPr>
                <w:sz w:val="14"/>
                <w:szCs w:val="16"/>
              </w:rPr>
              <w:t>Приходите трябва да се записват в сметки на държавната хазна, преди да бъдат разпределени към програмата за публични разходи за околна среда.</w:t>
            </w:r>
          </w:p>
        </w:tc>
      </w:tr>
      <w:tr w:rsidR="00ED69DB" w14:paraId="008FC0D6" w14:textId="77777777">
        <w:trPr>
          <w:trHeight w:val="824"/>
        </w:trPr>
        <w:tc>
          <w:tcPr>
            <w:tcW w:w="2043" w:type="dxa"/>
          </w:tcPr>
          <w:p w14:paraId="008FC0D3" w14:textId="77777777" w:rsidR="00ED69DB" w:rsidRPr="0006786F" w:rsidRDefault="00284B8A">
            <w:pPr>
              <w:pStyle w:val="TableParagraph"/>
              <w:spacing w:before="56"/>
              <w:ind w:left="109" w:right="115" w:firstLine="0"/>
              <w:jc w:val="left"/>
              <w:rPr>
                <w:b/>
                <w:sz w:val="14"/>
                <w:szCs w:val="16"/>
              </w:rPr>
            </w:pPr>
            <w:r w:rsidRPr="0006786F">
              <w:rPr>
                <w:b/>
                <w:sz w:val="14"/>
                <w:szCs w:val="16"/>
              </w:rPr>
              <w:t>2 Избягване на ограниченията на ефективността</w:t>
            </w:r>
          </w:p>
        </w:tc>
        <w:tc>
          <w:tcPr>
            <w:tcW w:w="8078" w:type="dxa"/>
          </w:tcPr>
          <w:p w14:paraId="008FC0D4" w14:textId="77777777" w:rsidR="00ED69DB" w:rsidRPr="0006786F" w:rsidRDefault="00284B8A">
            <w:pPr>
              <w:pStyle w:val="TableParagraph"/>
              <w:numPr>
                <w:ilvl w:val="0"/>
                <w:numId w:val="13"/>
              </w:numPr>
              <w:tabs>
                <w:tab w:val="left" w:pos="464"/>
                <w:tab w:val="left" w:pos="465"/>
              </w:tabs>
              <w:spacing w:before="117"/>
              <w:jc w:val="left"/>
              <w:rPr>
                <w:sz w:val="14"/>
                <w:szCs w:val="16"/>
              </w:rPr>
            </w:pPr>
            <w:r w:rsidRPr="0006786F">
              <w:rPr>
                <w:sz w:val="14"/>
                <w:szCs w:val="16"/>
              </w:rPr>
              <w:t>Разпределянето на приходи трябва да се избягва, тъй като обикновено води до неефективно използване на</w:t>
            </w:r>
          </w:p>
          <w:p w14:paraId="008FC0D5" w14:textId="77777777" w:rsidR="00ED69DB" w:rsidRPr="0006786F" w:rsidRDefault="00284B8A">
            <w:pPr>
              <w:pStyle w:val="TableParagraph"/>
              <w:spacing w:before="7" w:line="228" w:lineRule="exact"/>
              <w:ind w:firstLine="0"/>
              <w:jc w:val="left"/>
              <w:rPr>
                <w:sz w:val="14"/>
                <w:szCs w:val="16"/>
              </w:rPr>
            </w:pPr>
            <w:r w:rsidRPr="0006786F">
              <w:rPr>
                <w:sz w:val="14"/>
                <w:szCs w:val="16"/>
              </w:rPr>
              <w:t>публични ресурси. Въпреки това, ако се докаже, че предимствата на целевото разпределяне надвишават рисковете, може да бъде създадена разходна програма, като се използват целево</w:t>
            </w:r>
          </w:p>
        </w:tc>
      </w:tr>
    </w:tbl>
    <w:p w14:paraId="008FC0D7" w14:textId="77777777" w:rsidR="00ED69DB" w:rsidRDefault="00ED69DB">
      <w:pPr>
        <w:spacing w:line="228" w:lineRule="exact"/>
        <w:rPr>
          <w:sz w:val="20"/>
        </w:rPr>
        <w:sectPr w:rsidR="00ED69DB">
          <w:pgSz w:w="11910" w:h="16840"/>
          <w:pgMar w:top="1320" w:right="760" w:bottom="280" w:left="760" w:header="849" w:footer="0" w:gutter="0"/>
          <w:cols w:space="720"/>
        </w:sectPr>
      </w:pPr>
    </w:p>
    <w:p w14:paraId="008FC0D8" w14:textId="77777777" w:rsidR="00ED69DB" w:rsidRDefault="00ED69DB">
      <w:pPr>
        <w:pStyle w:val="BodyText"/>
        <w:spacing w:before="5"/>
        <w:rPr>
          <w:b/>
          <w:sz w:val="7"/>
        </w:rPr>
      </w:pPr>
    </w:p>
    <w:tbl>
      <w:tblPr>
        <w:tblW w:w="0" w:type="auto"/>
        <w:tblInd w:w="148"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8078"/>
      </w:tblGrid>
      <w:tr w:rsidR="00ED69DB" w14:paraId="008FC0DD" w14:textId="77777777">
        <w:trPr>
          <w:trHeight w:val="2204"/>
        </w:trPr>
        <w:tc>
          <w:tcPr>
            <w:tcW w:w="2043" w:type="dxa"/>
          </w:tcPr>
          <w:p w14:paraId="008FC0D9" w14:textId="77777777" w:rsidR="00ED69DB" w:rsidRDefault="00ED69DB">
            <w:pPr>
              <w:pStyle w:val="TableParagraph"/>
              <w:spacing w:before="0"/>
              <w:ind w:left="0" w:firstLine="0"/>
              <w:jc w:val="left"/>
              <w:rPr>
                <w:rFonts w:ascii="Times New Roman"/>
                <w:sz w:val="18"/>
              </w:rPr>
            </w:pPr>
          </w:p>
        </w:tc>
        <w:tc>
          <w:tcPr>
            <w:tcW w:w="8078" w:type="dxa"/>
          </w:tcPr>
          <w:p w14:paraId="008FC0DA" w14:textId="77777777" w:rsidR="00ED69DB" w:rsidRPr="0006786F" w:rsidRDefault="00284B8A">
            <w:pPr>
              <w:pStyle w:val="TableParagraph"/>
              <w:spacing w:before="1"/>
              <w:ind w:right="86" w:firstLine="0"/>
              <w:rPr>
                <w:sz w:val="16"/>
                <w:szCs w:val="18"/>
              </w:rPr>
            </w:pPr>
            <w:r w:rsidRPr="0006786F">
              <w:rPr>
                <w:sz w:val="16"/>
                <w:szCs w:val="18"/>
              </w:rPr>
              <w:t>разпределени приходи, но тя трябва да бъде ограничена до определен период от време. В края на този период целевото разпределяне трябва да продължи само ако може да се докаже, че осигурява добавена стойност във връзка с обявените цели.</w:t>
            </w:r>
          </w:p>
          <w:p w14:paraId="008FC0DB" w14:textId="77777777" w:rsidR="00ED69DB" w:rsidRPr="0006786F" w:rsidRDefault="00284B8A">
            <w:pPr>
              <w:pStyle w:val="TableParagraph"/>
              <w:numPr>
                <w:ilvl w:val="0"/>
                <w:numId w:val="12"/>
              </w:numPr>
              <w:tabs>
                <w:tab w:val="left" w:pos="465"/>
              </w:tabs>
              <w:spacing w:before="115"/>
              <w:ind w:right="77"/>
              <w:rPr>
                <w:sz w:val="16"/>
                <w:szCs w:val="18"/>
              </w:rPr>
            </w:pPr>
            <w:r w:rsidRPr="0006786F">
              <w:rPr>
                <w:sz w:val="16"/>
                <w:szCs w:val="18"/>
              </w:rPr>
              <w:t>Разпределянето в рамките на целеви схеми (</w:t>
            </w:r>
            <w:r w:rsidRPr="0006786F">
              <w:rPr>
                <w:i/>
                <w:sz w:val="16"/>
                <w:szCs w:val="18"/>
              </w:rPr>
              <w:t>напр.</w:t>
            </w:r>
            <w:r w:rsidRPr="0006786F">
              <w:rPr>
                <w:sz w:val="16"/>
                <w:szCs w:val="18"/>
              </w:rPr>
              <w:t xml:space="preserve"> </w:t>
            </w:r>
            <w:proofErr w:type="spellStart"/>
            <w:r w:rsidRPr="0006786F">
              <w:rPr>
                <w:sz w:val="16"/>
                <w:szCs w:val="18"/>
              </w:rPr>
              <w:t>подфондове</w:t>
            </w:r>
            <w:proofErr w:type="spellEnd"/>
            <w:r w:rsidRPr="0006786F">
              <w:rPr>
                <w:sz w:val="16"/>
                <w:szCs w:val="18"/>
              </w:rPr>
              <w:t xml:space="preserve"> за специфични сектори или групи замърсители в рамките на целеви програми за публични разходи за околна среда) също трябва да се избягва, тъй като допълнително нарушава ефективността. Ако все пак се прилага целево разпределяне, следва да се прилагат предпазни мерки, които предотвратяват неефективното разпределение на ресурсите и изкривените</w:t>
            </w:r>
          </w:p>
          <w:p w14:paraId="008FC0DC" w14:textId="77777777" w:rsidR="00ED69DB" w:rsidRPr="0006786F" w:rsidRDefault="00284B8A">
            <w:pPr>
              <w:pStyle w:val="TableParagraph"/>
              <w:spacing w:before="3" w:line="230" w:lineRule="atLeast"/>
              <w:ind w:right="87" w:firstLine="0"/>
              <w:rPr>
                <w:sz w:val="16"/>
                <w:szCs w:val="18"/>
              </w:rPr>
            </w:pPr>
            <w:r w:rsidRPr="0006786F">
              <w:rPr>
                <w:sz w:val="16"/>
                <w:szCs w:val="18"/>
              </w:rPr>
              <w:t>стимули, като конкуренция между проекти, представени от различни фирми в даден сектор, външен контрол и/или проверки на оценката на проекта.</w:t>
            </w:r>
          </w:p>
        </w:tc>
      </w:tr>
      <w:tr w:rsidR="00ED69DB" w14:paraId="008FC0E3" w14:textId="77777777">
        <w:trPr>
          <w:trHeight w:val="4213"/>
        </w:trPr>
        <w:tc>
          <w:tcPr>
            <w:tcW w:w="2043" w:type="dxa"/>
          </w:tcPr>
          <w:p w14:paraId="008FC0DE" w14:textId="176892BF" w:rsidR="00ED69DB" w:rsidRDefault="00284B8A">
            <w:pPr>
              <w:pStyle w:val="TableParagraph"/>
              <w:spacing w:before="56"/>
              <w:ind w:left="109" w:right="115" w:firstLine="0"/>
              <w:jc w:val="left"/>
              <w:rPr>
                <w:b/>
                <w:sz w:val="20"/>
              </w:rPr>
            </w:pPr>
            <w:r>
              <w:rPr>
                <w:b/>
                <w:sz w:val="20"/>
              </w:rPr>
              <w:t>3</w:t>
            </w:r>
            <w:r w:rsidR="0006786F">
              <w:rPr>
                <w:b/>
                <w:sz w:val="20"/>
              </w:rPr>
              <w:t>.</w:t>
            </w:r>
            <w:r>
              <w:rPr>
                <w:b/>
                <w:sz w:val="20"/>
              </w:rPr>
              <w:t xml:space="preserve"> Високи стандарти на фискална дисциплина</w:t>
            </w:r>
          </w:p>
        </w:tc>
        <w:tc>
          <w:tcPr>
            <w:tcW w:w="8078" w:type="dxa"/>
          </w:tcPr>
          <w:p w14:paraId="008FC0DF" w14:textId="77777777" w:rsidR="00ED69DB" w:rsidRPr="0006786F" w:rsidRDefault="00284B8A">
            <w:pPr>
              <w:pStyle w:val="TableParagraph"/>
              <w:numPr>
                <w:ilvl w:val="0"/>
                <w:numId w:val="11"/>
              </w:numPr>
              <w:tabs>
                <w:tab w:val="left" w:pos="465"/>
              </w:tabs>
              <w:spacing w:before="117"/>
              <w:ind w:right="81"/>
              <w:rPr>
                <w:sz w:val="16"/>
                <w:szCs w:val="18"/>
              </w:rPr>
            </w:pPr>
            <w:r w:rsidRPr="0006786F">
              <w:rPr>
                <w:sz w:val="16"/>
                <w:szCs w:val="18"/>
              </w:rPr>
              <w:t>Трябва да се избягва рискът от програми за разходи за околната среда, които водят до непланирани фискални дефицити. Дълговете и по-специално условните и имплицитните задължения (като гаранции по заеми) не трябва да възникват без изрично, предварително одобрение от данъчните органи. Средносрочните финансови прогнози, включително условни и неявни задължения на всички изпълнителни агенции, следва да се изготвят редовно и да се оповестяват във финансовите отчети.</w:t>
            </w:r>
          </w:p>
          <w:p w14:paraId="008FC0E0" w14:textId="77777777" w:rsidR="00ED69DB" w:rsidRPr="0006786F" w:rsidRDefault="00284B8A">
            <w:pPr>
              <w:pStyle w:val="TableParagraph"/>
              <w:numPr>
                <w:ilvl w:val="0"/>
                <w:numId w:val="11"/>
              </w:numPr>
              <w:tabs>
                <w:tab w:val="left" w:pos="465"/>
              </w:tabs>
              <w:spacing w:before="120"/>
              <w:ind w:right="78"/>
              <w:rPr>
                <w:sz w:val="16"/>
                <w:szCs w:val="18"/>
              </w:rPr>
            </w:pPr>
            <w:r w:rsidRPr="0006786F">
              <w:rPr>
                <w:sz w:val="16"/>
                <w:szCs w:val="18"/>
              </w:rPr>
              <w:t>За всички програми за публични разходи за околната среда, оценка на наличните финансови ресурси и съответните разходи трябва да бъде предоставена в държавния (или местен) бюджет, поне като приложение. Отчетите за дълга и условните задължения, особено на всякакви извънбюджетни екологични институции, контролирани от правителството, трябва да се представят заедно с бюджета на Министерството на околната среда в Министерството на финансите.</w:t>
            </w:r>
          </w:p>
          <w:p w14:paraId="008FC0E1" w14:textId="77777777" w:rsidR="00ED69DB" w:rsidRPr="0006786F" w:rsidRDefault="00284B8A">
            <w:pPr>
              <w:pStyle w:val="TableParagraph"/>
              <w:numPr>
                <w:ilvl w:val="0"/>
                <w:numId w:val="11"/>
              </w:numPr>
              <w:tabs>
                <w:tab w:val="left" w:pos="465"/>
              </w:tabs>
              <w:spacing w:before="120"/>
              <w:ind w:right="85"/>
              <w:rPr>
                <w:sz w:val="16"/>
                <w:szCs w:val="18"/>
              </w:rPr>
            </w:pPr>
            <w:r w:rsidRPr="0006786F">
              <w:rPr>
                <w:sz w:val="16"/>
                <w:szCs w:val="18"/>
              </w:rPr>
              <w:t>Задължителните вътрешни и външни независими финансови одити следва да се извършват редовно.</w:t>
            </w:r>
          </w:p>
          <w:p w14:paraId="008FC0E2" w14:textId="77777777" w:rsidR="00ED69DB" w:rsidRPr="0006786F" w:rsidRDefault="00284B8A">
            <w:pPr>
              <w:pStyle w:val="TableParagraph"/>
              <w:numPr>
                <w:ilvl w:val="0"/>
                <w:numId w:val="11"/>
              </w:numPr>
              <w:tabs>
                <w:tab w:val="left" w:pos="465"/>
              </w:tabs>
              <w:spacing w:before="135" w:line="230" w:lineRule="exact"/>
              <w:ind w:right="80"/>
              <w:rPr>
                <w:sz w:val="16"/>
                <w:szCs w:val="18"/>
              </w:rPr>
            </w:pPr>
            <w:r w:rsidRPr="0006786F">
              <w:rPr>
                <w:sz w:val="16"/>
                <w:szCs w:val="18"/>
              </w:rPr>
              <w:t>Последващото отчитане, съгласно прозрачна система за класификация на разходите, следва да се провежда редовно и да се оповестява публично.</w:t>
            </w:r>
          </w:p>
        </w:tc>
      </w:tr>
      <w:tr w:rsidR="00ED69DB" w14:paraId="008FC0E8" w14:textId="77777777">
        <w:trPr>
          <w:trHeight w:val="2468"/>
        </w:trPr>
        <w:tc>
          <w:tcPr>
            <w:tcW w:w="2043" w:type="dxa"/>
          </w:tcPr>
          <w:p w14:paraId="008FC0E4" w14:textId="21D26628" w:rsidR="00ED69DB" w:rsidRDefault="00284B8A">
            <w:pPr>
              <w:pStyle w:val="TableParagraph"/>
              <w:spacing w:before="53"/>
              <w:ind w:left="109" w:right="216" w:firstLine="0"/>
              <w:jc w:val="left"/>
              <w:rPr>
                <w:b/>
                <w:sz w:val="20"/>
              </w:rPr>
            </w:pPr>
            <w:r>
              <w:rPr>
                <w:b/>
                <w:sz w:val="20"/>
              </w:rPr>
              <w:t>4</w:t>
            </w:r>
            <w:r w:rsidR="0006786F">
              <w:rPr>
                <w:b/>
                <w:sz w:val="20"/>
              </w:rPr>
              <w:t>.</w:t>
            </w:r>
            <w:r>
              <w:rPr>
                <w:b/>
                <w:sz w:val="20"/>
              </w:rPr>
              <w:t xml:space="preserve"> Отчетност и прозрачност</w:t>
            </w:r>
          </w:p>
        </w:tc>
        <w:tc>
          <w:tcPr>
            <w:tcW w:w="8078" w:type="dxa"/>
          </w:tcPr>
          <w:p w14:paraId="008FC0E5" w14:textId="77777777" w:rsidR="00ED69DB" w:rsidRPr="0006786F" w:rsidRDefault="00284B8A">
            <w:pPr>
              <w:pStyle w:val="TableParagraph"/>
              <w:numPr>
                <w:ilvl w:val="0"/>
                <w:numId w:val="10"/>
              </w:numPr>
              <w:tabs>
                <w:tab w:val="left" w:pos="465"/>
              </w:tabs>
              <w:spacing w:before="117"/>
              <w:ind w:right="89"/>
              <w:rPr>
                <w:sz w:val="16"/>
                <w:szCs w:val="18"/>
              </w:rPr>
            </w:pPr>
            <w:r w:rsidRPr="0006786F">
              <w:rPr>
                <w:sz w:val="16"/>
                <w:szCs w:val="18"/>
              </w:rPr>
              <w:t>Трябва да се предвидят подходящи разпоредби за търсене на отговорност от ръководителите на програми за публични разходи за околната среда за техните решения.</w:t>
            </w:r>
          </w:p>
          <w:p w14:paraId="008FC0E6" w14:textId="77777777" w:rsidR="00ED69DB" w:rsidRPr="0006786F" w:rsidRDefault="00284B8A">
            <w:pPr>
              <w:pStyle w:val="TableParagraph"/>
              <w:numPr>
                <w:ilvl w:val="0"/>
                <w:numId w:val="10"/>
              </w:numPr>
              <w:tabs>
                <w:tab w:val="left" w:pos="465"/>
              </w:tabs>
              <w:spacing w:before="117"/>
              <w:ind w:right="80"/>
              <w:rPr>
                <w:sz w:val="16"/>
                <w:szCs w:val="18"/>
              </w:rPr>
            </w:pPr>
            <w:r w:rsidRPr="0006786F">
              <w:rPr>
                <w:sz w:val="16"/>
                <w:szCs w:val="18"/>
              </w:rPr>
              <w:t xml:space="preserve">Трябва да се въведат подходящи предпазни мерки за защита на публичните средства срещу корупция и измами, </w:t>
            </w:r>
            <w:r w:rsidRPr="0006786F">
              <w:rPr>
                <w:i/>
                <w:sz w:val="16"/>
                <w:szCs w:val="18"/>
              </w:rPr>
              <w:t>напр.</w:t>
            </w:r>
            <w:r w:rsidRPr="0006786F">
              <w:rPr>
                <w:sz w:val="16"/>
                <w:szCs w:val="18"/>
              </w:rPr>
              <w:t xml:space="preserve"> чрез динамични системи за управленски контрол, включително вътрешни и външни одити. Всички потенциални конфликти на интереси трябва да бъдат идентифицирани и елиминирани.</w:t>
            </w:r>
          </w:p>
          <w:p w14:paraId="008FC0E7" w14:textId="77777777" w:rsidR="00ED69DB" w:rsidRPr="0006786F" w:rsidRDefault="00284B8A">
            <w:pPr>
              <w:pStyle w:val="TableParagraph"/>
              <w:numPr>
                <w:ilvl w:val="0"/>
                <w:numId w:val="10"/>
              </w:numPr>
              <w:tabs>
                <w:tab w:val="left" w:pos="465"/>
              </w:tabs>
              <w:spacing w:before="136" w:line="230" w:lineRule="exact"/>
              <w:ind w:right="89"/>
              <w:rPr>
                <w:sz w:val="16"/>
                <w:szCs w:val="18"/>
              </w:rPr>
            </w:pPr>
            <w:r w:rsidRPr="0006786F">
              <w:rPr>
                <w:sz w:val="16"/>
                <w:szCs w:val="18"/>
              </w:rPr>
              <w:t>Последващи доклади за работата на мениджърите и постигнатите резултати (по отношение на определени критерии за изпълнение) следва да се провеждат периодично и да се оповестяват на обществеността.</w:t>
            </w:r>
          </w:p>
        </w:tc>
      </w:tr>
      <w:tr w:rsidR="00ED69DB" w14:paraId="008FC0ED" w14:textId="77777777">
        <w:trPr>
          <w:trHeight w:val="2469"/>
        </w:trPr>
        <w:tc>
          <w:tcPr>
            <w:tcW w:w="2043" w:type="dxa"/>
          </w:tcPr>
          <w:p w14:paraId="008FC0E9" w14:textId="1FA5CBEC" w:rsidR="00ED69DB" w:rsidRDefault="00284B8A">
            <w:pPr>
              <w:pStyle w:val="TableParagraph"/>
              <w:spacing w:before="54"/>
              <w:ind w:left="109" w:right="115" w:firstLine="0"/>
              <w:jc w:val="left"/>
              <w:rPr>
                <w:b/>
                <w:sz w:val="20"/>
              </w:rPr>
            </w:pPr>
            <w:r>
              <w:rPr>
                <w:b/>
                <w:sz w:val="20"/>
              </w:rPr>
              <w:t>5</w:t>
            </w:r>
            <w:r w:rsidR="0006786F">
              <w:rPr>
                <w:b/>
                <w:sz w:val="20"/>
              </w:rPr>
              <w:t>.</w:t>
            </w:r>
            <w:r>
              <w:rPr>
                <w:b/>
                <w:sz w:val="20"/>
              </w:rPr>
              <w:t xml:space="preserve"> Събиране на приходи и обществени поръчки отделени от управлението на разходите</w:t>
            </w:r>
          </w:p>
        </w:tc>
        <w:tc>
          <w:tcPr>
            <w:tcW w:w="8078" w:type="dxa"/>
          </w:tcPr>
          <w:p w14:paraId="008FC0EA" w14:textId="77777777" w:rsidR="00ED69DB" w:rsidRPr="0006786F" w:rsidRDefault="00284B8A">
            <w:pPr>
              <w:pStyle w:val="TableParagraph"/>
              <w:numPr>
                <w:ilvl w:val="0"/>
                <w:numId w:val="9"/>
              </w:numPr>
              <w:tabs>
                <w:tab w:val="left" w:pos="465"/>
              </w:tabs>
              <w:spacing w:before="115"/>
              <w:ind w:right="78"/>
              <w:rPr>
                <w:sz w:val="16"/>
                <w:szCs w:val="18"/>
              </w:rPr>
            </w:pPr>
            <w:r w:rsidRPr="0006786F">
              <w:rPr>
                <w:sz w:val="16"/>
                <w:szCs w:val="18"/>
              </w:rPr>
              <w:t>Основната задача на агенциите, изпълняващи програми за публични разходи за околната среда, трябва да бъде управлението на цикъла на програми и проекти и финансирането на проекти. Събирането на приходи или извършването на директни поръчки за оборудване и строителни услуги трябва да се извършва от правителствените агенции, на които обикновено се възлагат тези отговорности.</w:t>
            </w:r>
          </w:p>
          <w:p w14:paraId="008FC0EB" w14:textId="77777777" w:rsidR="00ED69DB" w:rsidRPr="0006786F" w:rsidRDefault="00284B8A">
            <w:pPr>
              <w:pStyle w:val="TableParagraph"/>
              <w:numPr>
                <w:ilvl w:val="0"/>
                <w:numId w:val="9"/>
              </w:numPr>
              <w:tabs>
                <w:tab w:val="left" w:pos="465"/>
              </w:tabs>
              <w:spacing w:before="119"/>
              <w:ind w:right="82"/>
              <w:rPr>
                <w:sz w:val="16"/>
                <w:szCs w:val="18"/>
              </w:rPr>
            </w:pPr>
            <w:r w:rsidRPr="0006786F">
              <w:rPr>
                <w:sz w:val="16"/>
                <w:szCs w:val="18"/>
              </w:rPr>
              <w:t xml:space="preserve">Приходите от фискални или </w:t>
            </w:r>
            <w:proofErr w:type="spellStart"/>
            <w:r w:rsidRPr="0006786F">
              <w:rPr>
                <w:sz w:val="16"/>
                <w:szCs w:val="18"/>
              </w:rPr>
              <w:t>квазифискални</w:t>
            </w:r>
            <w:proofErr w:type="spellEnd"/>
            <w:r w:rsidRPr="0006786F">
              <w:rPr>
                <w:sz w:val="16"/>
                <w:szCs w:val="18"/>
              </w:rPr>
              <w:t xml:space="preserve"> инструменти следва да се събират от съответните данъчни органи под контрола на хазната.</w:t>
            </w:r>
          </w:p>
          <w:p w14:paraId="008FC0EC" w14:textId="77777777" w:rsidR="00ED69DB" w:rsidRPr="0006786F" w:rsidRDefault="00284B8A">
            <w:pPr>
              <w:pStyle w:val="TableParagraph"/>
              <w:numPr>
                <w:ilvl w:val="0"/>
                <w:numId w:val="9"/>
              </w:numPr>
              <w:tabs>
                <w:tab w:val="left" w:pos="465"/>
              </w:tabs>
              <w:spacing w:before="119" w:line="230" w:lineRule="atLeast"/>
              <w:ind w:right="87"/>
              <w:rPr>
                <w:sz w:val="16"/>
                <w:szCs w:val="18"/>
              </w:rPr>
            </w:pPr>
            <w:r w:rsidRPr="0006786F">
              <w:rPr>
                <w:sz w:val="16"/>
                <w:szCs w:val="18"/>
              </w:rPr>
              <w:t>Националните или международните правила за обществени поръчки следва да се прилагат за всички покупки, които са съфинансирани от публични средства, дори ако покупката е възложена на частно лице.</w:t>
            </w:r>
          </w:p>
        </w:tc>
      </w:tr>
    </w:tbl>
    <w:p w14:paraId="008FC0EE" w14:textId="77777777" w:rsidR="00ED69DB" w:rsidRDefault="00ED69DB">
      <w:pPr>
        <w:pStyle w:val="BodyText"/>
        <w:spacing w:before="6"/>
        <w:rPr>
          <w:b/>
          <w:sz w:val="12"/>
        </w:rPr>
      </w:pPr>
    </w:p>
    <w:p w14:paraId="008FC0EF" w14:textId="77777777" w:rsidR="00ED69DB" w:rsidRDefault="00284B8A" w:rsidP="0006786F">
      <w:pPr>
        <w:spacing w:before="93"/>
        <w:ind w:left="2013" w:right="400" w:hanging="1923"/>
        <w:jc w:val="center"/>
        <w:rPr>
          <w:b/>
          <w:sz w:val="20"/>
        </w:rPr>
      </w:pPr>
      <w:bookmarkStart w:id="2" w:name="Checklist_3._Performance_in_Terms_of_Man"/>
      <w:bookmarkEnd w:id="2"/>
      <w:r>
        <w:rPr>
          <w:b/>
          <w:sz w:val="20"/>
        </w:rPr>
        <w:t>Контролен списък 3. Резултати по отношение на ефективността на управлението</w:t>
      </w:r>
    </w:p>
    <w:p w14:paraId="008FC0F0" w14:textId="77777777" w:rsidR="00ED69DB" w:rsidRDefault="00ED69DB">
      <w:pPr>
        <w:pStyle w:val="BodyText"/>
        <w:spacing w:before="1" w:after="1"/>
        <w:rPr>
          <w:b/>
          <w:sz w:val="21"/>
        </w:rPr>
      </w:pPr>
    </w:p>
    <w:tbl>
      <w:tblPr>
        <w:tblW w:w="0" w:type="auto"/>
        <w:tblInd w:w="148"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8078"/>
      </w:tblGrid>
      <w:tr w:rsidR="00ED69DB" w14:paraId="008FC0F3" w14:textId="77777777">
        <w:trPr>
          <w:trHeight w:val="349"/>
        </w:trPr>
        <w:tc>
          <w:tcPr>
            <w:tcW w:w="2043" w:type="dxa"/>
            <w:shd w:val="clear" w:color="auto" w:fill="F3F3F3"/>
          </w:tcPr>
          <w:p w14:paraId="008FC0F1" w14:textId="77777777" w:rsidR="00ED69DB" w:rsidRDefault="00284B8A">
            <w:pPr>
              <w:pStyle w:val="TableParagraph"/>
              <w:spacing w:before="56"/>
              <w:ind w:left="109" w:firstLine="0"/>
              <w:jc w:val="left"/>
              <w:rPr>
                <w:b/>
                <w:sz w:val="20"/>
              </w:rPr>
            </w:pPr>
            <w:r>
              <w:rPr>
                <w:b/>
                <w:sz w:val="20"/>
              </w:rPr>
              <w:t>Принцип</w:t>
            </w:r>
          </w:p>
        </w:tc>
        <w:tc>
          <w:tcPr>
            <w:tcW w:w="8078" w:type="dxa"/>
            <w:shd w:val="clear" w:color="auto" w:fill="F3F3F3"/>
          </w:tcPr>
          <w:p w14:paraId="008FC0F2" w14:textId="77777777" w:rsidR="00ED69DB" w:rsidRDefault="00284B8A">
            <w:pPr>
              <w:pStyle w:val="TableParagraph"/>
              <w:spacing w:before="56"/>
              <w:ind w:left="107" w:firstLine="0"/>
              <w:jc w:val="left"/>
              <w:rPr>
                <w:b/>
                <w:sz w:val="20"/>
              </w:rPr>
            </w:pPr>
            <w:r>
              <w:rPr>
                <w:b/>
                <w:sz w:val="20"/>
              </w:rPr>
              <w:t>Добри практики</w:t>
            </w:r>
          </w:p>
        </w:tc>
      </w:tr>
      <w:tr w:rsidR="00ED69DB" w14:paraId="008FC0F7" w14:textId="77777777">
        <w:trPr>
          <w:trHeight w:val="1189"/>
        </w:trPr>
        <w:tc>
          <w:tcPr>
            <w:tcW w:w="2043" w:type="dxa"/>
          </w:tcPr>
          <w:p w14:paraId="008FC0F4" w14:textId="7C4263EC" w:rsidR="00ED69DB" w:rsidRDefault="00284B8A">
            <w:pPr>
              <w:pStyle w:val="TableParagraph"/>
              <w:spacing w:before="59"/>
              <w:ind w:left="109" w:right="115" w:firstLine="0"/>
              <w:jc w:val="left"/>
              <w:rPr>
                <w:b/>
                <w:sz w:val="20"/>
              </w:rPr>
            </w:pPr>
            <w:r>
              <w:rPr>
                <w:b/>
                <w:sz w:val="20"/>
              </w:rPr>
              <w:t>1</w:t>
            </w:r>
            <w:r w:rsidR="0006786F">
              <w:rPr>
                <w:b/>
                <w:sz w:val="20"/>
              </w:rPr>
              <w:t>.</w:t>
            </w:r>
            <w:r>
              <w:rPr>
                <w:b/>
                <w:sz w:val="20"/>
              </w:rPr>
              <w:t xml:space="preserve"> Разумно управление</w:t>
            </w:r>
          </w:p>
        </w:tc>
        <w:tc>
          <w:tcPr>
            <w:tcW w:w="8078" w:type="dxa"/>
          </w:tcPr>
          <w:p w14:paraId="008FC0F5" w14:textId="77777777" w:rsidR="00ED69DB" w:rsidRDefault="00284B8A">
            <w:pPr>
              <w:pStyle w:val="TableParagraph"/>
              <w:numPr>
                <w:ilvl w:val="0"/>
                <w:numId w:val="8"/>
              </w:numPr>
              <w:tabs>
                <w:tab w:val="left" w:pos="464"/>
                <w:tab w:val="left" w:pos="465"/>
              </w:tabs>
              <w:spacing w:before="120"/>
              <w:ind w:right="87"/>
              <w:jc w:val="left"/>
              <w:rPr>
                <w:sz w:val="20"/>
              </w:rPr>
            </w:pPr>
            <w:r>
              <w:rPr>
                <w:sz w:val="20"/>
              </w:rPr>
              <w:t>Програмите за публични разходи за околната среда трябва да се ръководят от ясни, изрични правила.</w:t>
            </w:r>
          </w:p>
          <w:p w14:paraId="008FC0F6" w14:textId="77777777" w:rsidR="00ED69DB" w:rsidRDefault="00284B8A">
            <w:pPr>
              <w:pStyle w:val="TableParagraph"/>
              <w:numPr>
                <w:ilvl w:val="0"/>
                <w:numId w:val="8"/>
              </w:numPr>
              <w:tabs>
                <w:tab w:val="left" w:pos="464"/>
                <w:tab w:val="left" w:pos="465"/>
              </w:tabs>
              <w:spacing w:before="134" w:line="230" w:lineRule="exact"/>
              <w:ind w:right="79"/>
              <w:jc w:val="left"/>
              <w:rPr>
                <w:sz w:val="20"/>
              </w:rPr>
            </w:pPr>
            <w:r>
              <w:rPr>
                <w:sz w:val="20"/>
              </w:rPr>
              <w:t>Условията за финансиране, вземане на решения и административни процедури, вътрешни политики и принципи на оценка и подбор на проекти трябва</w:t>
            </w:r>
          </w:p>
        </w:tc>
      </w:tr>
    </w:tbl>
    <w:p w14:paraId="008FC0F8" w14:textId="77777777" w:rsidR="00ED69DB" w:rsidRDefault="00ED69DB">
      <w:pPr>
        <w:spacing w:line="230" w:lineRule="exact"/>
        <w:rPr>
          <w:sz w:val="20"/>
        </w:rPr>
        <w:sectPr w:rsidR="00ED69DB">
          <w:pgSz w:w="11910" w:h="16840"/>
          <w:pgMar w:top="1320" w:right="760" w:bottom="280" w:left="760" w:header="849" w:footer="0" w:gutter="0"/>
          <w:cols w:space="720"/>
        </w:sectPr>
      </w:pPr>
    </w:p>
    <w:p w14:paraId="008FC0F9" w14:textId="77777777" w:rsidR="00ED69DB" w:rsidRDefault="00ED69DB">
      <w:pPr>
        <w:pStyle w:val="BodyText"/>
        <w:spacing w:before="5"/>
        <w:rPr>
          <w:b/>
          <w:sz w:val="7"/>
        </w:rPr>
      </w:pPr>
    </w:p>
    <w:tbl>
      <w:tblPr>
        <w:tblW w:w="0" w:type="auto"/>
        <w:tblInd w:w="148"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8078"/>
      </w:tblGrid>
      <w:tr w:rsidR="00ED69DB" w14:paraId="008FC100" w14:textId="77777777">
        <w:trPr>
          <w:trHeight w:val="4082"/>
        </w:trPr>
        <w:tc>
          <w:tcPr>
            <w:tcW w:w="2043" w:type="dxa"/>
          </w:tcPr>
          <w:p w14:paraId="008FC0FA" w14:textId="77777777" w:rsidR="00ED69DB" w:rsidRDefault="00ED69DB">
            <w:pPr>
              <w:pStyle w:val="TableParagraph"/>
              <w:spacing w:before="0"/>
              <w:ind w:left="0" w:firstLine="0"/>
              <w:jc w:val="left"/>
              <w:rPr>
                <w:rFonts w:ascii="Times New Roman"/>
                <w:sz w:val="18"/>
              </w:rPr>
            </w:pPr>
          </w:p>
        </w:tc>
        <w:tc>
          <w:tcPr>
            <w:tcW w:w="8078" w:type="dxa"/>
          </w:tcPr>
          <w:p w14:paraId="008FC0FB" w14:textId="77777777" w:rsidR="00ED69DB" w:rsidRPr="0006786F" w:rsidRDefault="00284B8A">
            <w:pPr>
              <w:pStyle w:val="TableParagraph"/>
              <w:spacing w:before="1"/>
              <w:ind w:right="81" w:firstLine="0"/>
              <w:rPr>
                <w:sz w:val="18"/>
                <w:szCs w:val="20"/>
              </w:rPr>
            </w:pPr>
            <w:r w:rsidRPr="0006786F">
              <w:rPr>
                <w:sz w:val="18"/>
                <w:szCs w:val="20"/>
              </w:rPr>
              <w:t>да бъдат достъпни за обществеността. Те трябва да бъдат смислени и последователни, да не се променят често или без обяснение и да бъдат периодично преразглеждани, за да се идентифицират областите за подобрение.</w:t>
            </w:r>
          </w:p>
          <w:p w14:paraId="008FC0FC" w14:textId="77777777" w:rsidR="00ED69DB" w:rsidRPr="0006786F" w:rsidRDefault="00284B8A">
            <w:pPr>
              <w:pStyle w:val="TableParagraph"/>
              <w:numPr>
                <w:ilvl w:val="0"/>
                <w:numId w:val="7"/>
              </w:numPr>
              <w:tabs>
                <w:tab w:val="left" w:pos="465"/>
              </w:tabs>
              <w:ind w:right="79"/>
              <w:rPr>
                <w:sz w:val="18"/>
                <w:szCs w:val="20"/>
              </w:rPr>
            </w:pPr>
            <w:r w:rsidRPr="0006786F">
              <w:rPr>
                <w:sz w:val="18"/>
                <w:szCs w:val="20"/>
              </w:rPr>
              <w:t>Трябва да се направи ясно разграничение между функциите за създаване на политики и функциите на изпълнително управление.</w:t>
            </w:r>
          </w:p>
          <w:p w14:paraId="008FC0FD" w14:textId="77777777" w:rsidR="00ED69DB" w:rsidRPr="0006786F" w:rsidRDefault="00284B8A">
            <w:pPr>
              <w:pStyle w:val="TableParagraph"/>
              <w:numPr>
                <w:ilvl w:val="0"/>
                <w:numId w:val="7"/>
              </w:numPr>
              <w:tabs>
                <w:tab w:val="left" w:pos="465"/>
              </w:tabs>
              <w:spacing w:before="120"/>
              <w:ind w:right="81"/>
              <w:rPr>
                <w:sz w:val="18"/>
                <w:szCs w:val="20"/>
              </w:rPr>
            </w:pPr>
            <w:r w:rsidRPr="0006786F">
              <w:rPr>
                <w:sz w:val="18"/>
                <w:szCs w:val="20"/>
              </w:rPr>
              <w:t>Трябва да се направи подходяща уговорка за функцията по изготвяне на политики, като например създаването на надзорен съвет. Изготвянето на политики в този контекст включва програмиране, определяне на приоритети, установяване на правила, оценка на изпълнението, надзор и контрол. Политическият надзор трябва да бъде ограничен до програмиране и надзор. Тук политическият процес има легитимна и важна роля.</w:t>
            </w:r>
          </w:p>
          <w:p w14:paraId="008FC0FE" w14:textId="77777777" w:rsidR="00ED69DB" w:rsidRPr="0006786F" w:rsidRDefault="00284B8A">
            <w:pPr>
              <w:pStyle w:val="TableParagraph"/>
              <w:numPr>
                <w:ilvl w:val="0"/>
                <w:numId w:val="7"/>
              </w:numPr>
              <w:tabs>
                <w:tab w:val="left" w:pos="465"/>
              </w:tabs>
              <w:spacing w:before="117"/>
              <w:ind w:right="78"/>
              <w:rPr>
                <w:sz w:val="18"/>
                <w:szCs w:val="20"/>
              </w:rPr>
            </w:pPr>
            <w:r w:rsidRPr="0006786F">
              <w:rPr>
                <w:sz w:val="18"/>
                <w:szCs w:val="20"/>
              </w:rPr>
              <w:t>Надзорният съвет на програма за публични разходи за околната среда трябва да включва представителство на ключовите заинтересовани страни с подходящи проверки и баланси между различни групи по интереси. Следва да се обмисли включването на неекологични органи, парламент и неправителствени</w:t>
            </w:r>
          </w:p>
          <w:p w14:paraId="008FC0FF" w14:textId="77777777" w:rsidR="00ED69DB" w:rsidRPr="0006786F" w:rsidRDefault="00284B8A">
            <w:pPr>
              <w:pStyle w:val="TableParagraph"/>
              <w:spacing w:before="1" w:line="210" w:lineRule="exact"/>
              <w:ind w:firstLine="0"/>
              <w:rPr>
                <w:sz w:val="18"/>
                <w:szCs w:val="20"/>
              </w:rPr>
            </w:pPr>
            <w:r w:rsidRPr="0006786F">
              <w:rPr>
                <w:sz w:val="18"/>
                <w:szCs w:val="20"/>
              </w:rPr>
              <w:t>организации, според случая.</w:t>
            </w:r>
          </w:p>
        </w:tc>
      </w:tr>
      <w:tr w:rsidR="00ED69DB" w14:paraId="008FC107" w14:textId="77777777">
        <w:trPr>
          <w:trHeight w:val="5267"/>
        </w:trPr>
        <w:tc>
          <w:tcPr>
            <w:tcW w:w="2043" w:type="dxa"/>
          </w:tcPr>
          <w:p w14:paraId="008FC101" w14:textId="1B625A85" w:rsidR="00ED69DB" w:rsidRDefault="00284B8A" w:rsidP="0006786F">
            <w:pPr>
              <w:pStyle w:val="TableParagraph"/>
              <w:tabs>
                <w:tab w:val="left" w:pos="1740"/>
              </w:tabs>
              <w:spacing w:before="56"/>
              <w:ind w:left="109" w:right="90" w:firstLine="0"/>
              <w:jc w:val="left"/>
              <w:rPr>
                <w:b/>
                <w:sz w:val="20"/>
              </w:rPr>
            </w:pPr>
            <w:r>
              <w:rPr>
                <w:b/>
                <w:sz w:val="20"/>
              </w:rPr>
              <w:t>2</w:t>
            </w:r>
            <w:r w:rsidR="0006786F">
              <w:rPr>
                <w:b/>
                <w:sz w:val="20"/>
              </w:rPr>
              <w:t>.</w:t>
            </w:r>
            <w:r>
              <w:rPr>
                <w:b/>
                <w:sz w:val="20"/>
              </w:rPr>
              <w:t>Професионално изпълнително управление</w:t>
            </w:r>
          </w:p>
        </w:tc>
        <w:tc>
          <w:tcPr>
            <w:tcW w:w="8078" w:type="dxa"/>
          </w:tcPr>
          <w:p w14:paraId="008FC102" w14:textId="77777777" w:rsidR="00ED69DB" w:rsidRPr="0006786F" w:rsidRDefault="00284B8A">
            <w:pPr>
              <w:pStyle w:val="TableParagraph"/>
              <w:numPr>
                <w:ilvl w:val="0"/>
                <w:numId w:val="6"/>
              </w:numPr>
              <w:tabs>
                <w:tab w:val="left" w:pos="465"/>
              </w:tabs>
              <w:spacing w:before="117"/>
              <w:ind w:right="77"/>
              <w:rPr>
                <w:sz w:val="18"/>
                <w:szCs w:val="20"/>
              </w:rPr>
            </w:pPr>
            <w:r w:rsidRPr="0006786F">
              <w:rPr>
                <w:sz w:val="18"/>
                <w:szCs w:val="20"/>
              </w:rPr>
              <w:t xml:space="preserve">Отговорностите за ежедневното управление и изпълнение на програмите за разходи за околната среда трябва да бъдат ясно отделени от изготвянето на политики, ясно дефинирани в нормативни и оперативни документи и защитени от </w:t>
            </w:r>
            <w:proofErr w:type="spellStart"/>
            <w:r w:rsidRPr="0006786F">
              <w:rPr>
                <w:i/>
                <w:sz w:val="18"/>
                <w:szCs w:val="20"/>
              </w:rPr>
              <w:t>ad</w:t>
            </w:r>
            <w:proofErr w:type="spellEnd"/>
            <w:r w:rsidRPr="0006786F">
              <w:rPr>
                <w:i/>
                <w:sz w:val="18"/>
                <w:szCs w:val="20"/>
              </w:rPr>
              <w:t xml:space="preserve"> </w:t>
            </w:r>
            <w:proofErr w:type="spellStart"/>
            <w:r w:rsidRPr="0006786F">
              <w:rPr>
                <w:i/>
                <w:sz w:val="18"/>
                <w:szCs w:val="20"/>
              </w:rPr>
              <w:t>hoc</w:t>
            </w:r>
            <w:proofErr w:type="spellEnd"/>
            <w:r w:rsidRPr="0006786F">
              <w:rPr>
                <w:sz w:val="18"/>
                <w:szCs w:val="20"/>
              </w:rPr>
              <w:t xml:space="preserve"> политически натиск в подкрепа на конкретни проекти.</w:t>
            </w:r>
          </w:p>
          <w:p w14:paraId="008FC103" w14:textId="77777777" w:rsidR="00ED69DB" w:rsidRPr="0006786F" w:rsidRDefault="00284B8A">
            <w:pPr>
              <w:pStyle w:val="TableParagraph"/>
              <w:numPr>
                <w:ilvl w:val="0"/>
                <w:numId w:val="6"/>
              </w:numPr>
              <w:tabs>
                <w:tab w:val="left" w:pos="465"/>
              </w:tabs>
              <w:spacing w:before="119"/>
              <w:ind w:right="84"/>
              <w:rPr>
                <w:sz w:val="18"/>
                <w:szCs w:val="20"/>
              </w:rPr>
            </w:pPr>
            <w:r w:rsidRPr="0006786F">
              <w:rPr>
                <w:sz w:val="18"/>
                <w:szCs w:val="20"/>
              </w:rPr>
              <w:t>Изпълнителната агенция трябва да има ясен, законен мандат. Тя трябва да бъде професионален, изпълнителен управленски орган с подходяща степен на оперативна автономия, предмет на стриктна отчетност за изпълнението. Нейните отговорности трябва да се съсредоточат върху управлението на проектния цикъл и по-специално върху безпристрастната оценка и подбор на проекти.</w:t>
            </w:r>
          </w:p>
          <w:p w14:paraId="008FC104" w14:textId="77777777" w:rsidR="00ED69DB" w:rsidRPr="0006786F" w:rsidRDefault="00284B8A">
            <w:pPr>
              <w:pStyle w:val="TableParagraph"/>
              <w:numPr>
                <w:ilvl w:val="0"/>
                <w:numId w:val="6"/>
              </w:numPr>
              <w:tabs>
                <w:tab w:val="left" w:pos="465"/>
              </w:tabs>
              <w:spacing w:before="119"/>
              <w:ind w:right="82"/>
              <w:rPr>
                <w:sz w:val="18"/>
                <w:szCs w:val="20"/>
              </w:rPr>
            </w:pPr>
            <w:r w:rsidRPr="0006786F">
              <w:rPr>
                <w:sz w:val="18"/>
                <w:szCs w:val="20"/>
              </w:rPr>
              <w:t>Изпълнителните мениджъри трябва да бъдат държани отговорни за работата си. Надзорният съвет на програмата за публични разходи за околната среда следва да прилага ясни критерии и показатели за ефективност при оценка на работата на изпълнителните мениджъри.</w:t>
            </w:r>
          </w:p>
          <w:p w14:paraId="008FC105" w14:textId="77777777" w:rsidR="00ED69DB" w:rsidRPr="0006786F" w:rsidRDefault="00284B8A">
            <w:pPr>
              <w:pStyle w:val="TableParagraph"/>
              <w:numPr>
                <w:ilvl w:val="0"/>
                <w:numId w:val="6"/>
              </w:numPr>
              <w:tabs>
                <w:tab w:val="left" w:pos="465"/>
              </w:tabs>
              <w:spacing w:before="119"/>
              <w:ind w:right="83"/>
              <w:rPr>
                <w:sz w:val="18"/>
                <w:szCs w:val="20"/>
              </w:rPr>
            </w:pPr>
            <w:r w:rsidRPr="0006786F">
              <w:rPr>
                <w:sz w:val="18"/>
                <w:szCs w:val="20"/>
              </w:rPr>
              <w:t>Изпълнителните агенции по големи специализирани програми за разходи за околната среда трябва да имат персонал, назначен изключително за тяхното управление и избран от изпълнителни мениджъри.</w:t>
            </w:r>
          </w:p>
          <w:p w14:paraId="008FC106" w14:textId="77777777" w:rsidR="00ED69DB" w:rsidRPr="0006786F" w:rsidRDefault="00284B8A">
            <w:pPr>
              <w:pStyle w:val="TableParagraph"/>
              <w:numPr>
                <w:ilvl w:val="0"/>
                <w:numId w:val="6"/>
              </w:numPr>
              <w:tabs>
                <w:tab w:val="left" w:pos="465"/>
              </w:tabs>
              <w:spacing w:before="135" w:line="230" w:lineRule="exact"/>
              <w:ind w:right="86"/>
              <w:rPr>
                <w:sz w:val="18"/>
                <w:szCs w:val="20"/>
              </w:rPr>
            </w:pPr>
            <w:r w:rsidRPr="0006786F">
              <w:rPr>
                <w:sz w:val="18"/>
                <w:szCs w:val="20"/>
              </w:rPr>
              <w:t>Уменията на персонала трябва да отговарят адекватно на техническите изисквания на дадена разходна програма. Набирането и възнаграждението на мениджърите и на персонала трябва да се основава стриктно на заслуги. Възнаграждението трябва да е достатъчно, за да привлича и поддържа хора с подходяща квалификация и да възнаграждава почтеността и ангажираността.</w:t>
            </w:r>
          </w:p>
        </w:tc>
      </w:tr>
      <w:tr w:rsidR="00ED69DB" w14:paraId="008FC10E" w14:textId="77777777">
        <w:trPr>
          <w:trHeight w:val="4346"/>
        </w:trPr>
        <w:tc>
          <w:tcPr>
            <w:tcW w:w="2043" w:type="dxa"/>
          </w:tcPr>
          <w:p w14:paraId="008FC108" w14:textId="77777777" w:rsidR="00ED69DB" w:rsidRDefault="00284B8A">
            <w:pPr>
              <w:pStyle w:val="TableParagraph"/>
              <w:spacing w:before="55"/>
              <w:ind w:left="109" w:firstLine="0"/>
              <w:jc w:val="left"/>
              <w:rPr>
                <w:b/>
                <w:sz w:val="20"/>
              </w:rPr>
            </w:pPr>
            <w:r>
              <w:rPr>
                <w:b/>
                <w:sz w:val="20"/>
              </w:rPr>
              <w:t>3 Разумно управление на проектния цикъл</w:t>
            </w:r>
          </w:p>
        </w:tc>
        <w:tc>
          <w:tcPr>
            <w:tcW w:w="8078" w:type="dxa"/>
          </w:tcPr>
          <w:p w14:paraId="008FC109" w14:textId="77777777" w:rsidR="00ED69DB" w:rsidRPr="0006786F" w:rsidRDefault="00284B8A">
            <w:pPr>
              <w:pStyle w:val="TableParagraph"/>
              <w:numPr>
                <w:ilvl w:val="0"/>
                <w:numId w:val="5"/>
              </w:numPr>
              <w:tabs>
                <w:tab w:val="left" w:pos="465"/>
              </w:tabs>
              <w:ind w:right="78"/>
              <w:rPr>
                <w:sz w:val="18"/>
                <w:szCs w:val="20"/>
              </w:rPr>
            </w:pPr>
            <w:r w:rsidRPr="0006786F">
              <w:rPr>
                <w:sz w:val="18"/>
                <w:szCs w:val="20"/>
              </w:rPr>
              <w:t xml:space="preserve">Проектният цикъл следва да бъде предмет на разбираеми, прозрачни и писмени процедури, които са последователни и публично достъпни, по-специално за всички потенциални </w:t>
            </w:r>
            <w:proofErr w:type="spellStart"/>
            <w:r w:rsidRPr="0006786F">
              <w:rPr>
                <w:sz w:val="18"/>
                <w:szCs w:val="20"/>
              </w:rPr>
              <w:t>бенефициери</w:t>
            </w:r>
            <w:proofErr w:type="spellEnd"/>
            <w:r w:rsidRPr="0006786F">
              <w:rPr>
                <w:sz w:val="18"/>
                <w:szCs w:val="20"/>
              </w:rPr>
              <w:t>; трябва да има наръчник за цикъла на проекта и да е наличен персонал, който да го използва.</w:t>
            </w:r>
          </w:p>
          <w:p w14:paraId="008FC10A" w14:textId="77777777" w:rsidR="00ED69DB" w:rsidRPr="0006786F" w:rsidRDefault="00284B8A">
            <w:pPr>
              <w:pStyle w:val="TableParagraph"/>
              <w:numPr>
                <w:ilvl w:val="0"/>
                <w:numId w:val="5"/>
              </w:numPr>
              <w:tabs>
                <w:tab w:val="left" w:pos="465"/>
              </w:tabs>
              <w:ind w:right="85"/>
              <w:rPr>
                <w:sz w:val="18"/>
                <w:szCs w:val="20"/>
              </w:rPr>
            </w:pPr>
            <w:r w:rsidRPr="0006786F">
              <w:rPr>
                <w:sz w:val="18"/>
                <w:szCs w:val="20"/>
              </w:rPr>
              <w:t xml:space="preserve">Идентифицирането на проекта трябва да бъде проактивно (например чрез рекламиране на програмата пред потенциални </w:t>
            </w:r>
            <w:proofErr w:type="spellStart"/>
            <w:r w:rsidRPr="0006786F">
              <w:rPr>
                <w:sz w:val="18"/>
                <w:szCs w:val="20"/>
              </w:rPr>
              <w:t>бенефициери</w:t>
            </w:r>
            <w:proofErr w:type="spellEnd"/>
            <w:r w:rsidRPr="0006786F">
              <w:rPr>
                <w:sz w:val="18"/>
                <w:szCs w:val="20"/>
              </w:rPr>
              <w:t>), да следва целите на програмата за публични разходи за околната среда и да се основава на реалистичен анализ на пазарните тенденции и търсенето на финансиране.</w:t>
            </w:r>
          </w:p>
          <w:p w14:paraId="008FC10B" w14:textId="77777777" w:rsidR="00ED69DB" w:rsidRPr="0006786F" w:rsidRDefault="00284B8A">
            <w:pPr>
              <w:pStyle w:val="TableParagraph"/>
              <w:numPr>
                <w:ilvl w:val="0"/>
                <w:numId w:val="5"/>
              </w:numPr>
              <w:tabs>
                <w:tab w:val="left" w:pos="465"/>
              </w:tabs>
              <w:spacing w:before="119"/>
              <w:ind w:right="77"/>
              <w:rPr>
                <w:sz w:val="18"/>
                <w:szCs w:val="20"/>
              </w:rPr>
            </w:pPr>
            <w:r w:rsidRPr="0006786F">
              <w:rPr>
                <w:sz w:val="18"/>
                <w:szCs w:val="20"/>
              </w:rPr>
              <w:t>Заявленията за финансиране трябва да се приемат само в стандартни формуляри, съобразени с различните типове проекти и подкрепени с ясни, лесни за употреба инструкции. Формулярите за кандидатстване трябва да са лесно достъпни за всички потенциални кандидати, за предпочитане в електронен вариант.</w:t>
            </w:r>
          </w:p>
          <w:p w14:paraId="008FC10C" w14:textId="77777777" w:rsidR="00ED69DB" w:rsidRPr="0006786F" w:rsidRDefault="00284B8A">
            <w:pPr>
              <w:pStyle w:val="TableParagraph"/>
              <w:numPr>
                <w:ilvl w:val="0"/>
                <w:numId w:val="5"/>
              </w:numPr>
              <w:tabs>
                <w:tab w:val="left" w:pos="465"/>
              </w:tabs>
              <w:spacing w:before="117"/>
              <w:ind w:right="80"/>
              <w:rPr>
                <w:sz w:val="18"/>
                <w:szCs w:val="20"/>
              </w:rPr>
            </w:pPr>
            <w:r w:rsidRPr="0006786F">
              <w:rPr>
                <w:sz w:val="18"/>
                <w:szCs w:val="20"/>
              </w:rPr>
              <w:t xml:space="preserve">Критериите и процедурите за оценка и подбор на проекти трябва да бъдат обективни, прозрачни и ясни. </w:t>
            </w:r>
            <w:proofErr w:type="spellStart"/>
            <w:r w:rsidRPr="0006786F">
              <w:rPr>
                <w:sz w:val="18"/>
                <w:szCs w:val="20"/>
              </w:rPr>
              <w:t>Дискреционните</w:t>
            </w:r>
            <w:proofErr w:type="spellEnd"/>
            <w:r w:rsidRPr="0006786F">
              <w:rPr>
                <w:sz w:val="18"/>
                <w:szCs w:val="20"/>
              </w:rPr>
              <w:t xml:space="preserve"> елементи на оценката и подбора на проекти трябва да бъдат предмет на изрични, писмени процедури, а резултатите от такива решения да се съхраняват в публично достъпни файлове.</w:t>
            </w:r>
          </w:p>
          <w:p w14:paraId="008FC10D" w14:textId="77777777" w:rsidR="00ED69DB" w:rsidRPr="0006786F" w:rsidRDefault="00284B8A">
            <w:pPr>
              <w:pStyle w:val="TableParagraph"/>
              <w:numPr>
                <w:ilvl w:val="0"/>
                <w:numId w:val="5"/>
              </w:numPr>
              <w:tabs>
                <w:tab w:val="left" w:pos="464"/>
                <w:tab w:val="left" w:pos="465"/>
              </w:tabs>
              <w:spacing w:line="226" w:lineRule="exact"/>
              <w:jc w:val="left"/>
              <w:rPr>
                <w:sz w:val="18"/>
                <w:szCs w:val="20"/>
              </w:rPr>
            </w:pPr>
            <w:r w:rsidRPr="0006786F">
              <w:rPr>
                <w:sz w:val="18"/>
                <w:szCs w:val="20"/>
              </w:rPr>
              <w:t>Системите и процедурите за оценяване трябва да бъдат съобразени с размера и сложността на</w:t>
            </w:r>
          </w:p>
        </w:tc>
      </w:tr>
    </w:tbl>
    <w:p w14:paraId="008FC10F" w14:textId="77777777" w:rsidR="00ED69DB" w:rsidRDefault="00ED69DB">
      <w:pPr>
        <w:spacing w:line="226" w:lineRule="exact"/>
        <w:rPr>
          <w:sz w:val="20"/>
        </w:rPr>
        <w:sectPr w:rsidR="00ED69DB">
          <w:pgSz w:w="11910" w:h="16840"/>
          <w:pgMar w:top="1320" w:right="760" w:bottom="280" w:left="760" w:header="849" w:footer="0" w:gutter="0"/>
          <w:cols w:space="720"/>
        </w:sectPr>
      </w:pPr>
    </w:p>
    <w:p w14:paraId="008FC110" w14:textId="77777777" w:rsidR="00ED69DB" w:rsidRDefault="00ED69DB">
      <w:pPr>
        <w:pStyle w:val="BodyText"/>
        <w:spacing w:before="5"/>
        <w:rPr>
          <w:b/>
          <w:sz w:val="7"/>
        </w:rPr>
      </w:pPr>
    </w:p>
    <w:tbl>
      <w:tblPr>
        <w:tblW w:w="0" w:type="auto"/>
        <w:tblInd w:w="148"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043"/>
        <w:gridCol w:w="8078"/>
      </w:tblGrid>
      <w:tr w:rsidR="00ED69DB" w14:paraId="008FC115" w14:textId="77777777">
        <w:trPr>
          <w:trHeight w:val="2204"/>
        </w:trPr>
        <w:tc>
          <w:tcPr>
            <w:tcW w:w="2043" w:type="dxa"/>
          </w:tcPr>
          <w:p w14:paraId="008FC111" w14:textId="77777777" w:rsidR="00ED69DB" w:rsidRDefault="00ED69DB">
            <w:pPr>
              <w:pStyle w:val="TableParagraph"/>
              <w:spacing w:before="0"/>
              <w:ind w:left="0" w:firstLine="0"/>
              <w:jc w:val="left"/>
              <w:rPr>
                <w:rFonts w:ascii="Times New Roman"/>
                <w:sz w:val="18"/>
              </w:rPr>
            </w:pPr>
          </w:p>
        </w:tc>
        <w:tc>
          <w:tcPr>
            <w:tcW w:w="8078" w:type="dxa"/>
          </w:tcPr>
          <w:p w14:paraId="008FC112" w14:textId="77777777" w:rsidR="00ED69DB" w:rsidRPr="00F94C99" w:rsidRDefault="00284B8A">
            <w:pPr>
              <w:pStyle w:val="TableParagraph"/>
              <w:spacing w:before="1"/>
              <w:ind w:right="79" w:firstLine="0"/>
              <w:rPr>
                <w:sz w:val="18"/>
                <w:szCs w:val="20"/>
              </w:rPr>
            </w:pPr>
            <w:r w:rsidRPr="00F94C99">
              <w:rPr>
                <w:sz w:val="18"/>
                <w:szCs w:val="20"/>
              </w:rPr>
              <w:t>различни видове проекти. За големи инвестиционни проекти трябва да се използва двуетапен процес на оценка (първи етап - скрининг спрямо критериите за допустимост; втори етап - оценка и класиране на допустимите проекти).</w:t>
            </w:r>
          </w:p>
          <w:p w14:paraId="008FC113" w14:textId="77777777" w:rsidR="00ED69DB" w:rsidRPr="00F94C99" w:rsidRDefault="00284B8A">
            <w:pPr>
              <w:pStyle w:val="TableParagraph"/>
              <w:numPr>
                <w:ilvl w:val="0"/>
                <w:numId w:val="4"/>
              </w:numPr>
              <w:tabs>
                <w:tab w:val="left" w:pos="465"/>
              </w:tabs>
              <w:ind w:right="75"/>
              <w:rPr>
                <w:sz w:val="18"/>
                <w:szCs w:val="20"/>
              </w:rPr>
            </w:pPr>
            <w:r w:rsidRPr="00F94C99">
              <w:rPr>
                <w:sz w:val="18"/>
                <w:szCs w:val="20"/>
              </w:rPr>
              <w:t xml:space="preserve">Системата за оценка трябва да бъде сравнително проста, базирана на </w:t>
            </w:r>
            <w:proofErr w:type="spellStart"/>
            <w:r w:rsidRPr="00F94C99">
              <w:rPr>
                <w:sz w:val="18"/>
                <w:szCs w:val="20"/>
              </w:rPr>
              <w:t>неперсонифицирани</w:t>
            </w:r>
            <w:proofErr w:type="spellEnd"/>
            <w:r w:rsidRPr="00F94C99">
              <w:rPr>
                <w:sz w:val="18"/>
                <w:szCs w:val="20"/>
              </w:rPr>
              <w:t xml:space="preserve"> правила и да позволява смислено сравнение на сравними проекти един с друг или спрямо еталон. Системата за оценяване трябва също така да позволява последваща проверка на процеса на подбор, включително проследяване на личните отговорности за</w:t>
            </w:r>
          </w:p>
          <w:p w14:paraId="008FC114" w14:textId="77777777" w:rsidR="00ED69DB" w:rsidRPr="00F94C99" w:rsidRDefault="00284B8A">
            <w:pPr>
              <w:pStyle w:val="TableParagraph"/>
              <w:spacing w:before="4" w:line="230" w:lineRule="exact"/>
              <w:ind w:right="87" w:firstLine="0"/>
              <w:rPr>
                <w:sz w:val="18"/>
                <w:szCs w:val="20"/>
              </w:rPr>
            </w:pPr>
            <w:r w:rsidRPr="00F94C99">
              <w:rPr>
                <w:sz w:val="18"/>
                <w:szCs w:val="20"/>
              </w:rPr>
              <w:t>важни преценки и решения. Докладите за оценка трябва да са ясни и публично достъпни.</w:t>
            </w:r>
          </w:p>
        </w:tc>
      </w:tr>
      <w:tr w:rsidR="00ED69DB" w14:paraId="008FC119" w14:textId="77777777">
        <w:trPr>
          <w:trHeight w:val="1873"/>
        </w:trPr>
        <w:tc>
          <w:tcPr>
            <w:tcW w:w="2043" w:type="dxa"/>
          </w:tcPr>
          <w:p w14:paraId="008FC116" w14:textId="5AE23CEC" w:rsidR="00ED69DB" w:rsidRDefault="00284B8A">
            <w:pPr>
              <w:pStyle w:val="TableParagraph"/>
              <w:spacing w:before="53"/>
              <w:ind w:left="109" w:right="45" w:firstLine="0"/>
              <w:jc w:val="left"/>
              <w:rPr>
                <w:b/>
                <w:sz w:val="20"/>
              </w:rPr>
            </w:pPr>
            <w:r>
              <w:rPr>
                <w:b/>
                <w:sz w:val="20"/>
              </w:rPr>
              <w:t>4</w:t>
            </w:r>
            <w:r w:rsidR="00F94C99">
              <w:rPr>
                <w:b/>
                <w:sz w:val="20"/>
              </w:rPr>
              <w:t>.</w:t>
            </w:r>
            <w:r>
              <w:rPr>
                <w:b/>
                <w:sz w:val="20"/>
              </w:rPr>
              <w:t xml:space="preserve"> Честни и безпристрастни отношения с външни заинтересовани страни</w:t>
            </w:r>
          </w:p>
        </w:tc>
        <w:tc>
          <w:tcPr>
            <w:tcW w:w="8078" w:type="dxa"/>
          </w:tcPr>
          <w:p w14:paraId="008FC117" w14:textId="77777777" w:rsidR="00ED69DB" w:rsidRPr="00F94C99" w:rsidRDefault="00284B8A">
            <w:pPr>
              <w:pStyle w:val="TableParagraph"/>
              <w:numPr>
                <w:ilvl w:val="0"/>
                <w:numId w:val="3"/>
              </w:numPr>
              <w:tabs>
                <w:tab w:val="left" w:pos="465"/>
              </w:tabs>
              <w:spacing w:before="114"/>
              <w:ind w:right="78"/>
              <w:rPr>
                <w:sz w:val="18"/>
                <w:szCs w:val="20"/>
              </w:rPr>
            </w:pPr>
            <w:r w:rsidRPr="00F94C99">
              <w:rPr>
                <w:sz w:val="18"/>
                <w:szCs w:val="20"/>
              </w:rPr>
              <w:t>Отношенията с външни заинтересовани страни (</w:t>
            </w:r>
            <w:proofErr w:type="spellStart"/>
            <w:r w:rsidRPr="00F94C99">
              <w:rPr>
                <w:sz w:val="18"/>
                <w:szCs w:val="20"/>
              </w:rPr>
              <w:t>бенефициери</w:t>
            </w:r>
            <w:proofErr w:type="spellEnd"/>
            <w:r w:rsidRPr="00F94C99">
              <w:rPr>
                <w:sz w:val="18"/>
                <w:szCs w:val="20"/>
              </w:rPr>
              <w:t>, посредници, консултанти) трябва да се управляват по прозрачен, безпристрастен и независим начин. Комуникационната политика трябва да гарантира, че всички кандидати имат равен достъп до информация относно възможностите за финансиране и равни възможности за безпристрастен преглед на техните проекти на база заслуги.</w:t>
            </w:r>
          </w:p>
          <w:p w14:paraId="008FC118" w14:textId="77777777" w:rsidR="00ED69DB" w:rsidRPr="00F94C99" w:rsidRDefault="00284B8A">
            <w:pPr>
              <w:pStyle w:val="TableParagraph"/>
              <w:numPr>
                <w:ilvl w:val="0"/>
                <w:numId w:val="3"/>
              </w:numPr>
              <w:tabs>
                <w:tab w:val="left" w:pos="465"/>
              </w:tabs>
              <w:spacing w:before="135" w:line="232" w:lineRule="exact"/>
              <w:ind w:right="85"/>
              <w:rPr>
                <w:sz w:val="18"/>
                <w:szCs w:val="20"/>
              </w:rPr>
            </w:pPr>
            <w:r w:rsidRPr="00F94C99">
              <w:rPr>
                <w:sz w:val="18"/>
                <w:szCs w:val="20"/>
              </w:rPr>
              <w:t>Всяко възлагане на задачи на външни изпълнители трябва да се извършва чрез честен, прозрачен и конкурентен процес.</w:t>
            </w:r>
          </w:p>
        </w:tc>
      </w:tr>
      <w:tr w:rsidR="00ED69DB" w14:paraId="008FC120" w14:textId="77777777">
        <w:trPr>
          <w:trHeight w:val="3750"/>
        </w:trPr>
        <w:tc>
          <w:tcPr>
            <w:tcW w:w="2043" w:type="dxa"/>
          </w:tcPr>
          <w:p w14:paraId="008FC11A" w14:textId="34481449" w:rsidR="00ED69DB" w:rsidRDefault="00284B8A" w:rsidP="00F94C99">
            <w:pPr>
              <w:pStyle w:val="TableParagraph"/>
              <w:spacing w:before="54"/>
              <w:ind w:left="109" w:firstLine="0"/>
              <w:jc w:val="left"/>
              <w:rPr>
                <w:b/>
                <w:sz w:val="20"/>
              </w:rPr>
            </w:pPr>
            <w:r>
              <w:rPr>
                <w:b/>
                <w:sz w:val="20"/>
              </w:rPr>
              <w:t>5</w:t>
            </w:r>
            <w:r w:rsidR="00F94C99">
              <w:rPr>
                <w:b/>
                <w:sz w:val="20"/>
              </w:rPr>
              <w:t>.</w:t>
            </w:r>
            <w:r>
              <w:rPr>
                <w:b/>
                <w:sz w:val="20"/>
              </w:rPr>
              <w:t xml:space="preserve"> Ефективно управление на финансовите продукти и свързаните с тях рискове</w:t>
            </w:r>
          </w:p>
        </w:tc>
        <w:tc>
          <w:tcPr>
            <w:tcW w:w="8078" w:type="dxa"/>
          </w:tcPr>
          <w:p w14:paraId="008FC11B" w14:textId="77777777" w:rsidR="00ED69DB" w:rsidRPr="00F94C99" w:rsidRDefault="00284B8A">
            <w:pPr>
              <w:pStyle w:val="TableParagraph"/>
              <w:numPr>
                <w:ilvl w:val="0"/>
                <w:numId w:val="2"/>
              </w:numPr>
              <w:tabs>
                <w:tab w:val="left" w:pos="465"/>
              </w:tabs>
              <w:spacing w:before="115"/>
              <w:ind w:right="89"/>
              <w:rPr>
                <w:sz w:val="18"/>
                <w:szCs w:val="20"/>
              </w:rPr>
            </w:pPr>
            <w:r w:rsidRPr="00F94C99">
              <w:rPr>
                <w:sz w:val="18"/>
                <w:szCs w:val="20"/>
              </w:rPr>
              <w:t>Изпълнителната агенция следва да използва само финансови продукти, посочени в условията на програмата за публични разходи за околната среда.</w:t>
            </w:r>
          </w:p>
          <w:p w14:paraId="008FC11C" w14:textId="77777777" w:rsidR="00ED69DB" w:rsidRPr="00F94C99" w:rsidRDefault="00284B8A">
            <w:pPr>
              <w:pStyle w:val="TableParagraph"/>
              <w:numPr>
                <w:ilvl w:val="0"/>
                <w:numId w:val="2"/>
              </w:numPr>
              <w:tabs>
                <w:tab w:val="left" w:pos="465"/>
              </w:tabs>
              <w:ind w:right="86"/>
              <w:rPr>
                <w:sz w:val="18"/>
                <w:szCs w:val="20"/>
              </w:rPr>
            </w:pPr>
            <w:r w:rsidRPr="00F94C99">
              <w:rPr>
                <w:sz w:val="18"/>
                <w:szCs w:val="20"/>
              </w:rPr>
              <w:t>Сложността на операциите и изборът на финансови продукти трябва да са пропорционални на институционалния капацитет за управление на свързаните с тях рискове.</w:t>
            </w:r>
          </w:p>
          <w:p w14:paraId="008FC11D" w14:textId="77777777" w:rsidR="00ED69DB" w:rsidRPr="00F94C99" w:rsidRDefault="00284B8A">
            <w:pPr>
              <w:pStyle w:val="TableParagraph"/>
              <w:numPr>
                <w:ilvl w:val="0"/>
                <w:numId w:val="2"/>
              </w:numPr>
              <w:tabs>
                <w:tab w:val="left" w:pos="465"/>
              </w:tabs>
              <w:spacing w:before="117"/>
              <w:ind w:right="78"/>
              <w:rPr>
                <w:sz w:val="18"/>
                <w:szCs w:val="20"/>
              </w:rPr>
            </w:pPr>
            <w:r w:rsidRPr="00F94C99">
              <w:rPr>
                <w:sz w:val="18"/>
                <w:szCs w:val="20"/>
              </w:rPr>
              <w:t xml:space="preserve">Безвъзмездните средства са най-простият и прозрачен финансов продукт в административно отношение. Когато се използват, те трябва да бъдат проектирани и разпределени така, че: да увеличат максимално стимулите за навременно и рентабилно изпълнение на отделни проекти и на цялото портфолио на изпълнителната агенция; да се максимизира </w:t>
            </w:r>
            <w:proofErr w:type="spellStart"/>
            <w:r w:rsidRPr="00F94C99">
              <w:rPr>
                <w:sz w:val="18"/>
                <w:szCs w:val="20"/>
              </w:rPr>
              <w:t>ливъриджът</w:t>
            </w:r>
            <w:proofErr w:type="spellEnd"/>
            <w:r w:rsidRPr="00F94C99">
              <w:rPr>
                <w:sz w:val="18"/>
                <w:szCs w:val="20"/>
              </w:rPr>
              <w:t xml:space="preserve"> на други ресурси; и да се сведат до минимум шансовете за злоупотреба с публични средства от кандидатите.</w:t>
            </w:r>
          </w:p>
          <w:p w14:paraId="008FC11E" w14:textId="77777777" w:rsidR="00ED69DB" w:rsidRPr="00F94C99" w:rsidRDefault="00284B8A">
            <w:pPr>
              <w:pStyle w:val="TableParagraph"/>
              <w:numPr>
                <w:ilvl w:val="0"/>
                <w:numId w:val="2"/>
              </w:numPr>
              <w:tabs>
                <w:tab w:val="left" w:pos="465"/>
              </w:tabs>
              <w:spacing w:before="119"/>
              <w:ind w:right="76"/>
              <w:rPr>
                <w:sz w:val="18"/>
                <w:szCs w:val="20"/>
              </w:rPr>
            </w:pPr>
            <w:r w:rsidRPr="00F94C99">
              <w:rPr>
                <w:sz w:val="18"/>
                <w:szCs w:val="20"/>
              </w:rPr>
              <w:t>Други финансови продукти могат да се разглеждат пропорционално на институционалния капацитет и по нарастващ риск и те включват: лихвени субсидии, заеми чрез посредници, директни заеми, лизинг, капиталови инвестиции и гаранции по заеми. Преди</w:t>
            </w:r>
          </w:p>
          <w:p w14:paraId="008FC11F" w14:textId="77777777" w:rsidR="00ED69DB" w:rsidRPr="00F94C99" w:rsidRDefault="00284B8A">
            <w:pPr>
              <w:pStyle w:val="TableParagraph"/>
              <w:spacing w:before="4" w:line="230" w:lineRule="exact"/>
              <w:ind w:right="86" w:firstLine="0"/>
              <w:rPr>
                <w:sz w:val="18"/>
                <w:szCs w:val="20"/>
              </w:rPr>
            </w:pPr>
            <w:r w:rsidRPr="00F94C99">
              <w:rPr>
                <w:sz w:val="18"/>
                <w:szCs w:val="20"/>
              </w:rPr>
              <w:t>да се приема нов финансов продукт, неговата осъществимост трябва да бъде проверена чрез оценка на рисковете, пазарните нужди и подкрепена от финансов план.</w:t>
            </w:r>
          </w:p>
        </w:tc>
      </w:tr>
    </w:tbl>
    <w:p w14:paraId="008FC121" w14:textId="77777777" w:rsidR="00ED69DB" w:rsidRDefault="00ED69DB">
      <w:pPr>
        <w:spacing w:line="230" w:lineRule="exact"/>
        <w:rPr>
          <w:sz w:val="20"/>
        </w:rPr>
        <w:sectPr w:rsidR="00ED69DB">
          <w:headerReference w:type="even" r:id="rId16"/>
          <w:pgSz w:w="11910" w:h="16840"/>
          <w:pgMar w:top="1320" w:right="760" w:bottom="280" w:left="760" w:header="849" w:footer="0" w:gutter="0"/>
          <w:cols w:space="720"/>
        </w:sectPr>
      </w:pPr>
    </w:p>
    <w:p w14:paraId="008FC122" w14:textId="77777777" w:rsidR="00ED69DB" w:rsidRDefault="00284B8A">
      <w:pPr>
        <w:pStyle w:val="Heading1"/>
      </w:pPr>
      <w:bookmarkStart w:id="3" w:name="About_the_OECD"/>
      <w:bookmarkEnd w:id="3"/>
      <w:r>
        <w:rPr>
          <w:color w:val="1F4679"/>
        </w:rPr>
        <w:lastRenderedPageBreak/>
        <w:t>Относно ОИСР</w:t>
      </w:r>
    </w:p>
    <w:p w14:paraId="008FC123" w14:textId="77777777" w:rsidR="00ED69DB" w:rsidRDefault="00ED69DB">
      <w:pPr>
        <w:pStyle w:val="BodyText"/>
        <w:spacing w:before="5"/>
        <w:rPr>
          <w:b/>
          <w:sz w:val="21"/>
        </w:rPr>
      </w:pPr>
    </w:p>
    <w:p w14:paraId="008FC124" w14:textId="77777777" w:rsidR="00ED69DB" w:rsidRDefault="00284B8A">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008FC125" w14:textId="77777777" w:rsidR="00ED69DB" w:rsidRDefault="00ED69DB">
      <w:pPr>
        <w:pStyle w:val="BodyText"/>
        <w:spacing w:before="10"/>
      </w:pPr>
    </w:p>
    <w:p w14:paraId="008FC126" w14:textId="77777777" w:rsidR="00ED69DB" w:rsidRDefault="00284B8A">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008FC127" w14:textId="77777777" w:rsidR="00ED69DB" w:rsidRDefault="00ED69DB">
      <w:pPr>
        <w:pStyle w:val="BodyText"/>
        <w:rPr>
          <w:sz w:val="22"/>
        </w:rPr>
      </w:pPr>
    </w:p>
    <w:p w14:paraId="008FC128" w14:textId="77777777" w:rsidR="00ED69DB" w:rsidRDefault="00284B8A">
      <w:pPr>
        <w:pStyle w:val="Heading1"/>
        <w:spacing w:before="141"/>
      </w:pPr>
      <w:bookmarkStart w:id="4" w:name="OECD_Legal_Instruments"/>
      <w:bookmarkEnd w:id="4"/>
      <w:r>
        <w:rPr>
          <w:color w:val="1F4679"/>
        </w:rPr>
        <w:t>Правни инструменти на ОИСР</w:t>
      </w:r>
    </w:p>
    <w:p w14:paraId="008FC129" w14:textId="77777777" w:rsidR="00ED69DB" w:rsidRDefault="00ED69DB">
      <w:pPr>
        <w:pStyle w:val="BodyText"/>
        <w:spacing w:before="7"/>
        <w:rPr>
          <w:b/>
          <w:sz w:val="21"/>
        </w:rPr>
      </w:pPr>
    </w:p>
    <w:p w14:paraId="008FC12A" w14:textId="77777777" w:rsidR="00ED69DB" w:rsidRDefault="00284B8A">
      <w:pPr>
        <w:pStyle w:val="BodyText"/>
        <w:ind w:left="116" w:right="150"/>
        <w:jc w:val="both"/>
      </w:pPr>
      <w:r>
        <w:t xml:space="preserve">От създаването на ОИСР през 1961 г. в рамките на ОИСР са разработени около 460 </w:t>
      </w:r>
      <w:proofErr w:type="spellStart"/>
      <w:r>
        <w:t>материалноправни</w:t>
      </w:r>
      <w:proofErr w:type="spellEnd"/>
      <w:r>
        <w:t xml:space="preserve">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008FC12B" w14:textId="77777777" w:rsidR="00ED69DB" w:rsidRDefault="00ED69DB">
      <w:pPr>
        <w:pStyle w:val="BodyText"/>
        <w:spacing w:before="10"/>
      </w:pPr>
    </w:p>
    <w:p w14:paraId="008FC12C" w14:textId="77777777" w:rsidR="00ED69DB" w:rsidRDefault="00284B8A">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008FC12D" w14:textId="77777777" w:rsidR="00ED69DB" w:rsidRDefault="00ED69DB">
      <w:pPr>
        <w:pStyle w:val="BodyText"/>
        <w:spacing w:before="8"/>
        <w:rPr>
          <w:sz w:val="18"/>
        </w:rPr>
      </w:pPr>
    </w:p>
    <w:p w14:paraId="008FC12E" w14:textId="77777777" w:rsidR="00ED69DB" w:rsidRDefault="00284B8A">
      <w:pPr>
        <w:pStyle w:val="ListParagraph"/>
        <w:numPr>
          <w:ilvl w:val="0"/>
          <w:numId w:val="1"/>
        </w:numPr>
        <w:tabs>
          <w:tab w:val="left" w:pos="853"/>
        </w:tabs>
        <w:spacing w:line="244"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008FC12F" w14:textId="77777777" w:rsidR="00ED69DB" w:rsidRDefault="00284B8A">
      <w:pPr>
        <w:pStyle w:val="ListParagraph"/>
        <w:numPr>
          <w:ilvl w:val="0"/>
          <w:numId w:val="1"/>
        </w:numPr>
        <w:tabs>
          <w:tab w:val="left" w:pos="853"/>
        </w:tabs>
        <w:spacing w:before="197" w:line="244"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008FC130" w14:textId="77777777" w:rsidR="00ED69DB" w:rsidRDefault="00284B8A">
      <w:pPr>
        <w:pStyle w:val="ListParagraph"/>
        <w:numPr>
          <w:ilvl w:val="0"/>
          <w:numId w:val="1"/>
        </w:numPr>
        <w:tabs>
          <w:tab w:val="left" w:pos="853"/>
        </w:tabs>
        <w:spacing w:before="197" w:line="244"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008FC131" w14:textId="77777777" w:rsidR="00ED69DB" w:rsidRDefault="00284B8A">
      <w:pPr>
        <w:pStyle w:val="ListParagraph"/>
        <w:numPr>
          <w:ilvl w:val="0"/>
          <w:numId w:val="1"/>
        </w:numPr>
        <w:tabs>
          <w:tab w:val="left" w:pos="853"/>
        </w:tabs>
        <w:spacing w:before="198" w:line="242" w:lineRule="auto"/>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008FC132" w14:textId="77777777" w:rsidR="00ED69DB" w:rsidRDefault="00ED69DB">
      <w:pPr>
        <w:pStyle w:val="BodyText"/>
        <w:spacing w:before="3"/>
        <w:rPr>
          <w:sz w:val="19"/>
        </w:rPr>
      </w:pPr>
    </w:p>
    <w:p w14:paraId="008FC133" w14:textId="77777777" w:rsidR="00ED69DB" w:rsidRDefault="00284B8A">
      <w:pPr>
        <w:pStyle w:val="ListParagraph"/>
        <w:numPr>
          <w:ilvl w:val="0"/>
          <w:numId w:val="1"/>
        </w:numPr>
        <w:tabs>
          <w:tab w:val="left" w:pos="853"/>
        </w:tabs>
        <w:spacing w:before="1"/>
        <w:ind w:right="108" w:hanging="710"/>
        <w:rPr>
          <w:sz w:val="20"/>
        </w:rPr>
      </w:pPr>
      <w:r>
        <w:rPr>
          <w:b/>
          <w:sz w:val="20"/>
        </w:rPr>
        <w:t>Споразумение, разбирателство и други</w:t>
      </w:r>
      <w:r>
        <w:rPr>
          <w:sz w:val="20"/>
        </w:rPr>
        <w:t xml:space="preserve">: няколко други типа </w:t>
      </w:r>
      <w:proofErr w:type="spellStart"/>
      <w:r>
        <w:rPr>
          <w:sz w:val="20"/>
        </w:rPr>
        <w:t>материалноправни</w:t>
      </w:r>
      <w:proofErr w:type="spellEnd"/>
      <w:r>
        <w:rPr>
          <w:sz w:val="20"/>
        </w:rPr>
        <w:t xml:space="preserve">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ED69DB">
      <w:headerReference w:type="default" r:id="rId17"/>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AA78B" w14:textId="77777777" w:rsidR="00630866" w:rsidRDefault="00630866">
      <w:r>
        <w:separator/>
      </w:r>
    </w:p>
  </w:endnote>
  <w:endnote w:type="continuationSeparator" w:id="0">
    <w:p w14:paraId="5E245899" w14:textId="77777777" w:rsidR="00630866" w:rsidRDefault="006308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Black">
    <w:altName w:val="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2356F" w14:textId="77777777" w:rsidR="00630866" w:rsidRDefault="00630866">
      <w:r>
        <w:separator/>
      </w:r>
    </w:p>
  </w:footnote>
  <w:footnote w:type="continuationSeparator" w:id="0">
    <w:p w14:paraId="25CA69AF" w14:textId="77777777" w:rsidR="00630866" w:rsidRDefault="006308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FC13B" w14:textId="30E4AE6C" w:rsidR="00ED69DB" w:rsidRDefault="000F74AF">
    <w:pPr>
      <w:pStyle w:val="BodyText"/>
      <w:spacing w:line="14" w:lineRule="auto"/>
    </w:pPr>
    <w:r>
      <w:pict w14:anchorId="008FC13F">
        <v:line id="_x0000_s1028" style="position:absolute;z-index:-15994880;mso-position-horizontal-relative:page;mso-position-vertical-relative:page" from="148.25pt,64.5pt" to="544.35pt,64.5pt" strokecolor="#2a2928" strokeweight=".63pt">
          <w10:wrap anchorx="page" anchory="page"/>
        </v:line>
      </w:pict>
    </w:r>
    <w:r w:rsidR="00206F2B">
      <w:pict w14:anchorId="008FC140">
        <v:shapetype id="_x0000_t202" coordsize="21600,21600" o:spt="202" path="m,l,21600r21600,l21600,xe">
          <v:stroke joinstyle="miter"/>
          <v:path gradientshapeok="t" o:connecttype="rect"/>
        </v:shapetype>
        <v:shape id="_x0000_s1027" type="#_x0000_t202" style="position:absolute;margin-left:39.5pt;margin-top:27.75pt;width:210.25pt;height:23.25pt;z-index:-15994368;mso-position-horizontal-relative:page;mso-position-vertical-relative:page" filled="f" stroked="f">
          <v:textbox inset="0,0,0,0">
            <w:txbxContent>
              <w:p w14:paraId="4E08ACAB" w14:textId="77777777" w:rsidR="000F74AF" w:rsidRDefault="000F74AF">
                <w:pPr>
                  <w:pStyle w:val="BodyText"/>
                  <w:tabs>
                    <w:tab w:val="left" w:pos="626"/>
                  </w:tabs>
                  <w:spacing w:before="18"/>
                  <w:ind w:left="60"/>
                </w:pPr>
              </w:p>
              <w:p w14:paraId="008FC148" w14:textId="50043F99" w:rsidR="00ED69DB" w:rsidRDefault="00284B8A">
                <w:pPr>
                  <w:pStyle w:val="BodyText"/>
                  <w:tabs>
                    <w:tab w:val="left" w:pos="626"/>
                  </w:tabs>
                  <w:spacing w:before="18"/>
                  <w:ind w:left="60"/>
                </w:pPr>
                <w:r>
                  <w:fldChar w:fldCharType="begin"/>
                </w:r>
                <w:r>
                  <w:rPr>
                    <w:b/>
                    <w:color w:val="2B2A29"/>
                    <w:u w:val="single" w:color="2A2928"/>
                  </w:rPr>
                  <w:instrText xml:space="preserve"> PAGE </w:instrText>
                </w:r>
                <w:r>
                  <w:fldChar w:fldCharType="separate"/>
                </w:r>
                <w:r>
                  <w:t>4</w:t>
                </w:r>
                <w:r>
                  <w:fldChar w:fldCharType="end"/>
                </w:r>
                <w:r>
                  <w:rPr>
                    <w:b/>
                    <w:color w:val="2B2A29"/>
                    <w:u w:val="single" w:color="2A2928"/>
                  </w:rPr>
                  <w:tab/>
                </w:r>
                <w:r>
                  <w:rPr>
                    <w:color w:val="2B2A29"/>
                    <w:u w:val="single" w:color="2A2928"/>
                  </w:rPr>
                  <w:t>O</w:t>
                </w:r>
                <w:r>
                  <w:rPr>
                    <w:color w:val="2B2A29"/>
                  </w:rPr>
                  <w:t>E</w:t>
                </w:r>
                <w:r>
                  <w:rPr>
                    <w:color w:val="2B2A29"/>
                    <w:u w:val="single" w:color="2A2928"/>
                  </w:rPr>
                  <w:t>CD</w:t>
                </w:r>
                <w:r>
                  <w:rPr>
                    <w:color w:val="2B2A29"/>
                  </w:rPr>
                  <w:t>/L</w:t>
                </w:r>
                <w:r>
                  <w:rPr>
                    <w:color w:val="2B2A29"/>
                    <w:u w:val="single" w:color="2A2928"/>
                  </w:rPr>
                  <w:t>EG</w:t>
                </w:r>
                <w:r>
                  <w:rPr>
                    <w:color w:val="2B2A29"/>
                  </w:rPr>
                  <w:t>AL/0345</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FC13C" w14:textId="00C03337" w:rsidR="00ED69DB" w:rsidRDefault="0070791D">
    <w:pPr>
      <w:pStyle w:val="BodyText"/>
      <w:spacing w:line="14" w:lineRule="auto"/>
    </w:pPr>
    <w:r>
      <w:pict w14:anchorId="008FC142">
        <v:shapetype id="_x0000_t202" coordsize="21600,21600" o:spt="202" path="m,l,21600r21600,l21600,xe">
          <v:stroke joinstyle="miter"/>
          <v:path gradientshapeok="t" o:connecttype="rect"/>
        </v:shapetype>
        <v:shape id="_x0000_s1029" type="#_x0000_t202" style="position:absolute;margin-left:411pt;margin-top:40pt;width:175.6pt;height:16.05pt;z-index:-15995392;mso-position-horizontal-relative:page;mso-position-vertical-relative:page" filled="f" stroked="f">
          <v:textbox inset="0,0,0,0">
            <w:txbxContent>
              <w:p w14:paraId="008FC147" w14:textId="32D12402" w:rsidR="00ED69DB" w:rsidRDefault="00284B8A">
                <w:pPr>
                  <w:pStyle w:val="BodyText"/>
                  <w:tabs>
                    <w:tab w:val="left" w:pos="2308"/>
                  </w:tabs>
                  <w:spacing w:before="18"/>
                  <w:ind w:left="20"/>
                </w:pPr>
                <w:r>
                  <w:rPr>
                    <w:color w:val="2B2A29"/>
                  </w:rPr>
                  <w:t>OEC</w:t>
                </w:r>
                <w:r>
                  <w:rPr>
                    <w:color w:val="2B2A29"/>
                    <w:u w:val="single" w:color="2A2928"/>
                  </w:rPr>
                  <w:t>D/</w:t>
                </w:r>
                <w:r>
                  <w:rPr>
                    <w:color w:val="2B2A29"/>
                  </w:rPr>
                  <w:t>L</w:t>
                </w:r>
                <w:r>
                  <w:rPr>
                    <w:color w:val="2B2A29"/>
                    <w:u w:val="single" w:color="2A2928"/>
                  </w:rPr>
                  <w:t>EG</w:t>
                </w:r>
                <w:r>
                  <w:rPr>
                    <w:color w:val="2B2A29"/>
                  </w:rPr>
                  <w:t>AL/0345</w:t>
                </w:r>
                <w:r>
                  <w:rPr>
                    <w:rFonts w:ascii="Times New Roman"/>
                    <w:color w:val="2B2A29"/>
                    <w:u w:val="single" w:color="2A2928"/>
                  </w:rPr>
                  <w:t xml:space="preserve"> </w:t>
                </w:r>
                <w:r>
                  <w:rPr>
                    <w:rFonts w:ascii="Times New Roman"/>
                    <w:color w:val="2B2A29"/>
                    <w:u w:val="single" w:color="2A2928"/>
                  </w:rPr>
                  <w:tab/>
                </w:r>
                <w:r>
                  <w:fldChar w:fldCharType="begin"/>
                </w:r>
                <w:r>
                  <w:rPr>
                    <w:b/>
                    <w:i/>
                    <w:color w:val="2B2A29"/>
                  </w:rPr>
                  <w:instrText xml:space="preserve"> PAGE </w:instrText>
                </w:r>
                <w:r>
                  <w:fldChar w:fldCharType="separate"/>
                </w:r>
                <w:r>
                  <w:t>5</w:t>
                </w:r>
                <w:r>
                  <w:fldChar w:fldCharType="end"/>
                </w:r>
                <w:r>
                  <w:rPr>
                    <w:color w:val="2B2A29"/>
                  </w:rPr>
                  <w:t>_</w:t>
                </w:r>
              </w:p>
            </w:txbxContent>
          </v:textbox>
          <w10:wrap anchorx="page" anchory="page"/>
        </v:shape>
      </w:pict>
    </w:r>
    <w:r w:rsidR="00630866">
      <w:pict w14:anchorId="008FC141">
        <v:line id="_x0000_s1030" style="position:absolute;z-index:-15995904;mso-position-horizontal-relative:page;mso-position-vertical-relative:page" from="42.5pt,56.05pt" to="438.6pt,56.05pt" strokecolor="#2a2928" strokeweight=".63pt">
          <w10:wrap anchorx="page" anchory="page"/>
        </v:lin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FC13D" w14:textId="21F00615" w:rsidR="00ED69DB" w:rsidRDefault="00F8692A">
    <w:pPr>
      <w:pStyle w:val="BodyText"/>
      <w:spacing w:line="14" w:lineRule="auto"/>
    </w:pPr>
    <w:r>
      <w:pict w14:anchorId="008FC144">
        <v:shapetype id="_x0000_t202" coordsize="21600,21600" o:spt="202" path="m,l,21600r21600,l21600,xe">
          <v:stroke joinstyle="miter"/>
          <v:path gradientshapeok="t" o:connecttype="rect"/>
        </v:shapetype>
        <v:shape id="_x0000_s1025" type="#_x0000_t202" style="position:absolute;margin-left:41.5pt;margin-top:41.45pt;width:221.75pt;height:16.05pt;z-index:-15993344;mso-position-horizontal-relative:page;mso-position-vertical-relative:page" filled="f" stroked="f">
          <v:textbox inset="0,0,0,0">
            <w:txbxContent>
              <w:p w14:paraId="008FC149" w14:textId="3BFC38C2" w:rsidR="00ED69DB" w:rsidRDefault="00284B8A">
                <w:pPr>
                  <w:pStyle w:val="BodyText"/>
                  <w:tabs>
                    <w:tab w:val="left" w:pos="586"/>
                  </w:tabs>
                  <w:spacing w:before="18"/>
                  <w:ind w:left="20"/>
                </w:pPr>
                <w:r>
                  <w:rPr>
                    <w:b/>
                    <w:color w:val="2B2A29"/>
                  </w:rPr>
                  <w:t>1</w:t>
                </w:r>
                <w:r>
                  <w:rPr>
                    <w:b/>
                    <w:color w:val="2B2A29"/>
                    <w:u w:val="single" w:color="2A2928"/>
                  </w:rPr>
                  <w:t>0</w:t>
                </w:r>
                <w:r>
                  <w:rPr>
                    <w:b/>
                    <w:color w:val="2B2A29"/>
                    <w:u w:val="single" w:color="2A2928"/>
                  </w:rPr>
                  <w:tab/>
                </w:r>
                <w:r>
                  <w:rPr>
                    <w:color w:val="2B2A29"/>
                    <w:u w:val="single" w:color="2A2928"/>
                  </w:rPr>
                  <w:t>O</w:t>
                </w:r>
                <w:r>
                  <w:rPr>
                    <w:color w:val="2B2A29"/>
                  </w:rPr>
                  <w:t>E</w:t>
                </w:r>
                <w:r>
                  <w:rPr>
                    <w:color w:val="2B2A29"/>
                    <w:u w:val="single" w:color="2A2928"/>
                  </w:rPr>
                  <w:t>CD</w:t>
                </w:r>
                <w:r>
                  <w:rPr>
                    <w:color w:val="2B2A29"/>
                  </w:rPr>
                  <w:t>/L</w:t>
                </w:r>
                <w:r>
                  <w:rPr>
                    <w:color w:val="2B2A29"/>
                    <w:u w:val="single" w:color="2A2928"/>
                  </w:rPr>
                  <w:t>EG</w:t>
                </w:r>
                <w:r>
                  <w:rPr>
                    <w:color w:val="2B2A29"/>
                  </w:rPr>
                  <w:t>AL/0345</w:t>
                </w:r>
              </w:p>
            </w:txbxContent>
          </v:textbox>
          <w10:wrap anchorx="page" anchory="page"/>
        </v:shape>
      </w:pict>
    </w:r>
    <w:r w:rsidR="00630866">
      <w:pict w14:anchorId="008FC143">
        <v:line id="_x0000_s1026" style="position:absolute;z-index:-15993856;mso-position-horizontal-relative:page;mso-position-vertical-relative:page" from="158pt,56.05pt" to="554.1pt,56.05pt" strokecolor="#2a2928" strokeweight=".63pt">
          <w10:wrap anchorx="page" anchory="page"/>
        </v:lin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FC13E" w14:textId="77777777" w:rsidR="00ED69DB" w:rsidRDefault="00ED69DB">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36CBB"/>
    <w:multiLevelType w:val="hybridMultilevel"/>
    <w:tmpl w:val="000ADEBC"/>
    <w:lvl w:ilvl="0" w:tplc="6AE412C8">
      <w:numFmt w:val="bullet"/>
      <w:lvlText w:val=""/>
      <w:lvlJc w:val="left"/>
      <w:pPr>
        <w:ind w:left="464" w:hanging="358"/>
      </w:pPr>
      <w:rPr>
        <w:rFonts w:ascii="Symbol" w:eastAsia="Symbol" w:hAnsi="Symbol" w:cs="Symbol" w:hint="default"/>
        <w:w w:val="99"/>
        <w:sz w:val="20"/>
        <w:szCs w:val="20"/>
        <w:lang w:val="en-US" w:eastAsia="en-US" w:bidi="ar-SA"/>
      </w:rPr>
    </w:lvl>
    <w:lvl w:ilvl="1" w:tplc="F96AE8AA">
      <w:numFmt w:val="bullet"/>
      <w:lvlText w:val="•"/>
      <w:lvlJc w:val="left"/>
      <w:pPr>
        <w:ind w:left="1218" w:hanging="358"/>
      </w:pPr>
      <w:rPr>
        <w:rFonts w:hint="default"/>
        <w:lang w:val="en-US" w:eastAsia="en-US" w:bidi="ar-SA"/>
      </w:rPr>
    </w:lvl>
    <w:lvl w:ilvl="2" w:tplc="72C68EFA">
      <w:numFmt w:val="bullet"/>
      <w:lvlText w:val="•"/>
      <w:lvlJc w:val="left"/>
      <w:pPr>
        <w:ind w:left="1977" w:hanging="358"/>
      </w:pPr>
      <w:rPr>
        <w:rFonts w:hint="default"/>
        <w:lang w:val="en-US" w:eastAsia="en-US" w:bidi="ar-SA"/>
      </w:rPr>
    </w:lvl>
    <w:lvl w:ilvl="3" w:tplc="9162F5F6">
      <w:numFmt w:val="bullet"/>
      <w:lvlText w:val="•"/>
      <w:lvlJc w:val="left"/>
      <w:pPr>
        <w:ind w:left="2736" w:hanging="358"/>
      </w:pPr>
      <w:rPr>
        <w:rFonts w:hint="default"/>
        <w:lang w:val="en-US" w:eastAsia="en-US" w:bidi="ar-SA"/>
      </w:rPr>
    </w:lvl>
    <w:lvl w:ilvl="4" w:tplc="7ACEA38E">
      <w:numFmt w:val="bullet"/>
      <w:lvlText w:val="•"/>
      <w:lvlJc w:val="left"/>
      <w:pPr>
        <w:ind w:left="3495" w:hanging="358"/>
      </w:pPr>
      <w:rPr>
        <w:rFonts w:hint="default"/>
        <w:lang w:val="en-US" w:eastAsia="en-US" w:bidi="ar-SA"/>
      </w:rPr>
    </w:lvl>
    <w:lvl w:ilvl="5" w:tplc="194E166C">
      <w:numFmt w:val="bullet"/>
      <w:lvlText w:val="•"/>
      <w:lvlJc w:val="left"/>
      <w:pPr>
        <w:ind w:left="4254" w:hanging="358"/>
      </w:pPr>
      <w:rPr>
        <w:rFonts w:hint="default"/>
        <w:lang w:val="en-US" w:eastAsia="en-US" w:bidi="ar-SA"/>
      </w:rPr>
    </w:lvl>
    <w:lvl w:ilvl="6" w:tplc="8C8A014C">
      <w:numFmt w:val="bullet"/>
      <w:lvlText w:val="•"/>
      <w:lvlJc w:val="left"/>
      <w:pPr>
        <w:ind w:left="5012" w:hanging="358"/>
      </w:pPr>
      <w:rPr>
        <w:rFonts w:hint="default"/>
        <w:lang w:val="en-US" w:eastAsia="en-US" w:bidi="ar-SA"/>
      </w:rPr>
    </w:lvl>
    <w:lvl w:ilvl="7" w:tplc="26A62CF0">
      <w:numFmt w:val="bullet"/>
      <w:lvlText w:val="•"/>
      <w:lvlJc w:val="left"/>
      <w:pPr>
        <w:ind w:left="5771" w:hanging="358"/>
      </w:pPr>
      <w:rPr>
        <w:rFonts w:hint="default"/>
        <w:lang w:val="en-US" w:eastAsia="en-US" w:bidi="ar-SA"/>
      </w:rPr>
    </w:lvl>
    <w:lvl w:ilvl="8" w:tplc="47E47EB0">
      <w:numFmt w:val="bullet"/>
      <w:lvlText w:val="•"/>
      <w:lvlJc w:val="left"/>
      <w:pPr>
        <w:ind w:left="6530" w:hanging="358"/>
      </w:pPr>
      <w:rPr>
        <w:rFonts w:hint="default"/>
        <w:lang w:val="en-US" w:eastAsia="en-US" w:bidi="ar-SA"/>
      </w:rPr>
    </w:lvl>
  </w:abstractNum>
  <w:abstractNum w:abstractNumId="1" w15:restartNumberingAfterBreak="0">
    <w:nsid w:val="0A742677"/>
    <w:multiLevelType w:val="hybridMultilevel"/>
    <w:tmpl w:val="9CE81FBE"/>
    <w:lvl w:ilvl="0" w:tplc="0FD49ADE">
      <w:numFmt w:val="bullet"/>
      <w:lvlText w:val=""/>
      <w:lvlJc w:val="left"/>
      <w:pPr>
        <w:ind w:left="464" w:hanging="358"/>
      </w:pPr>
      <w:rPr>
        <w:rFonts w:ascii="Symbol" w:eastAsia="Symbol" w:hAnsi="Symbol" w:cs="Symbol" w:hint="default"/>
        <w:w w:val="99"/>
        <w:sz w:val="20"/>
        <w:szCs w:val="20"/>
        <w:lang w:val="en-US" w:eastAsia="en-US" w:bidi="ar-SA"/>
      </w:rPr>
    </w:lvl>
    <w:lvl w:ilvl="1" w:tplc="CC683184">
      <w:numFmt w:val="bullet"/>
      <w:lvlText w:val="•"/>
      <w:lvlJc w:val="left"/>
      <w:pPr>
        <w:ind w:left="1218" w:hanging="358"/>
      </w:pPr>
      <w:rPr>
        <w:rFonts w:hint="default"/>
        <w:lang w:val="en-US" w:eastAsia="en-US" w:bidi="ar-SA"/>
      </w:rPr>
    </w:lvl>
    <w:lvl w:ilvl="2" w:tplc="F1025CCA">
      <w:numFmt w:val="bullet"/>
      <w:lvlText w:val="•"/>
      <w:lvlJc w:val="left"/>
      <w:pPr>
        <w:ind w:left="1977" w:hanging="358"/>
      </w:pPr>
      <w:rPr>
        <w:rFonts w:hint="default"/>
        <w:lang w:val="en-US" w:eastAsia="en-US" w:bidi="ar-SA"/>
      </w:rPr>
    </w:lvl>
    <w:lvl w:ilvl="3" w:tplc="03F8AC50">
      <w:numFmt w:val="bullet"/>
      <w:lvlText w:val="•"/>
      <w:lvlJc w:val="left"/>
      <w:pPr>
        <w:ind w:left="2736" w:hanging="358"/>
      </w:pPr>
      <w:rPr>
        <w:rFonts w:hint="default"/>
        <w:lang w:val="en-US" w:eastAsia="en-US" w:bidi="ar-SA"/>
      </w:rPr>
    </w:lvl>
    <w:lvl w:ilvl="4" w:tplc="1D8E3D56">
      <w:numFmt w:val="bullet"/>
      <w:lvlText w:val="•"/>
      <w:lvlJc w:val="left"/>
      <w:pPr>
        <w:ind w:left="3495" w:hanging="358"/>
      </w:pPr>
      <w:rPr>
        <w:rFonts w:hint="default"/>
        <w:lang w:val="en-US" w:eastAsia="en-US" w:bidi="ar-SA"/>
      </w:rPr>
    </w:lvl>
    <w:lvl w:ilvl="5" w:tplc="881E5328">
      <w:numFmt w:val="bullet"/>
      <w:lvlText w:val="•"/>
      <w:lvlJc w:val="left"/>
      <w:pPr>
        <w:ind w:left="4254" w:hanging="358"/>
      </w:pPr>
      <w:rPr>
        <w:rFonts w:hint="default"/>
        <w:lang w:val="en-US" w:eastAsia="en-US" w:bidi="ar-SA"/>
      </w:rPr>
    </w:lvl>
    <w:lvl w:ilvl="6" w:tplc="B44405D6">
      <w:numFmt w:val="bullet"/>
      <w:lvlText w:val="•"/>
      <w:lvlJc w:val="left"/>
      <w:pPr>
        <w:ind w:left="5012" w:hanging="358"/>
      </w:pPr>
      <w:rPr>
        <w:rFonts w:hint="default"/>
        <w:lang w:val="en-US" w:eastAsia="en-US" w:bidi="ar-SA"/>
      </w:rPr>
    </w:lvl>
    <w:lvl w:ilvl="7" w:tplc="2B7CBC72">
      <w:numFmt w:val="bullet"/>
      <w:lvlText w:val="•"/>
      <w:lvlJc w:val="left"/>
      <w:pPr>
        <w:ind w:left="5771" w:hanging="358"/>
      </w:pPr>
      <w:rPr>
        <w:rFonts w:hint="default"/>
        <w:lang w:val="en-US" w:eastAsia="en-US" w:bidi="ar-SA"/>
      </w:rPr>
    </w:lvl>
    <w:lvl w:ilvl="8" w:tplc="16FE66EC">
      <w:numFmt w:val="bullet"/>
      <w:lvlText w:val="•"/>
      <w:lvlJc w:val="left"/>
      <w:pPr>
        <w:ind w:left="6530" w:hanging="358"/>
      </w:pPr>
      <w:rPr>
        <w:rFonts w:hint="default"/>
        <w:lang w:val="en-US" w:eastAsia="en-US" w:bidi="ar-SA"/>
      </w:rPr>
    </w:lvl>
  </w:abstractNum>
  <w:abstractNum w:abstractNumId="2" w15:restartNumberingAfterBreak="0">
    <w:nsid w:val="0B74083C"/>
    <w:multiLevelType w:val="hybridMultilevel"/>
    <w:tmpl w:val="1026E1A4"/>
    <w:lvl w:ilvl="0" w:tplc="09AEC018">
      <w:numFmt w:val="bullet"/>
      <w:lvlText w:val=""/>
      <w:lvlJc w:val="left"/>
      <w:pPr>
        <w:ind w:left="464" w:hanging="358"/>
      </w:pPr>
      <w:rPr>
        <w:rFonts w:ascii="Symbol" w:eastAsia="Symbol" w:hAnsi="Symbol" w:cs="Symbol" w:hint="default"/>
        <w:w w:val="99"/>
        <w:sz w:val="20"/>
        <w:szCs w:val="20"/>
        <w:lang w:val="en-US" w:eastAsia="en-US" w:bidi="ar-SA"/>
      </w:rPr>
    </w:lvl>
    <w:lvl w:ilvl="1" w:tplc="D236E8A0">
      <w:numFmt w:val="bullet"/>
      <w:lvlText w:val="•"/>
      <w:lvlJc w:val="left"/>
      <w:pPr>
        <w:ind w:left="1218" w:hanging="358"/>
      </w:pPr>
      <w:rPr>
        <w:rFonts w:hint="default"/>
        <w:lang w:val="en-US" w:eastAsia="en-US" w:bidi="ar-SA"/>
      </w:rPr>
    </w:lvl>
    <w:lvl w:ilvl="2" w:tplc="C3924ED6">
      <w:numFmt w:val="bullet"/>
      <w:lvlText w:val="•"/>
      <w:lvlJc w:val="left"/>
      <w:pPr>
        <w:ind w:left="1977" w:hanging="358"/>
      </w:pPr>
      <w:rPr>
        <w:rFonts w:hint="default"/>
        <w:lang w:val="en-US" w:eastAsia="en-US" w:bidi="ar-SA"/>
      </w:rPr>
    </w:lvl>
    <w:lvl w:ilvl="3" w:tplc="B5EA4F40">
      <w:numFmt w:val="bullet"/>
      <w:lvlText w:val="•"/>
      <w:lvlJc w:val="left"/>
      <w:pPr>
        <w:ind w:left="2736" w:hanging="358"/>
      </w:pPr>
      <w:rPr>
        <w:rFonts w:hint="default"/>
        <w:lang w:val="en-US" w:eastAsia="en-US" w:bidi="ar-SA"/>
      </w:rPr>
    </w:lvl>
    <w:lvl w:ilvl="4" w:tplc="9AE26DF8">
      <w:numFmt w:val="bullet"/>
      <w:lvlText w:val="•"/>
      <w:lvlJc w:val="left"/>
      <w:pPr>
        <w:ind w:left="3495" w:hanging="358"/>
      </w:pPr>
      <w:rPr>
        <w:rFonts w:hint="default"/>
        <w:lang w:val="en-US" w:eastAsia="en-US" w:bidi="ar-SA"/>
      </w:rPr>
    </w:lvl>
    <w:lvl w:ilvl="5" w:tplc="2CDC65EC">
      <w:numFmt w:val="bullet"/>
      <w:lvlText w:val="•"/>
      <w:lvlJc w:val="left"/>
      <w:pPr>
        <w:ind w:left="4254" w:hanging="358"/>
      </w:pPr>
      <w:rPr>
        <w:rFonts w:hint="default"/>
        <w:lang w:val="en-US" w:eastAsia="en-US" w:bidi="ar-SA"/>
      </w:rPr>
    </w:lvl>
    <w:lvl w:ilvl="6" w:tplc="889AE28C">
      <w:numFmt w:val="bullet"/>
      <w:lvlText w:val="•"/>
      <w:lvlJc w:val="left"/>
      <w:pPr>
        <w:ind w:left="5012" w:hanging="358"/>
      </w:pPr>
      <w:rPr>
        <w:rFonts w:hint="default"/>
        <w:lang w:val="en-US" w:eastAsia="en-US" w:bidi="ar-SA"/>
      </w:rPr>
    </w:lvl>
    <w:lvl w:ilvl="7" w:tplc="C6BA6B36">
      <w:numFmt w:val="bullet"/>
      <w:lvlText w:val="•"/>
      <w:lvlJc w:val="left"/>
      <w:pPr>
        <w:ind w:left="5771" w:hanging="358"/>
      </w:pPr>
      <w:rPr>
        <w:rFonts w:hint="default"/>
        <w:lang w:val="en-US" w:eastAsia="en-US" w:bidi="ar-SA"/>
      </w:rPr>
    </w:lvl>
    <w:lvl w:ilvl="8" w:tplc="881E652C">
      <w:numFmt w:val="bullet"/>
      <w:lvlText w:val="•"/>
      <w:lvlJc w:val="left"/>
      <w:pPr>
        <w:ind w:left="6530" w:hanging="358"/>
      </w:pPr>
      <w:rPr>
        <w:rFonts w:hint="default"/>
        <w:lang w:val="en-US" w:eastAsia="en-US" w:bidi="ar-SA"/>
      </w:rPr>
    </w:lvl>
  </w:abstractNum>
  <w:abstractNum w:abstractNumId="3" w15:restartNumberingAfterBreak="0">
    <w:nsid w:val="17247A2D"/>
    <w:multiLevelType w:val="hybridMultilevel"/>
    <w:tmpl w:val="A8D44100"/>
    <w:lvl w:ilvl="0" w:tplc="2AEE7170">
      <w:numFmt w:val="bullet"/>
      <w:lvlText w:val=""/>
      <w:lvlJc w:val="left"/>
      <w:pPr>
        <w:ind w:left="464" w:hanging="358"/>
      </w:pPr>
      <w:rPr>
        <w:rFonts w:ascii="Symbol" w:eastAsia="Symbol" w:hAnsi="Symbol" w:cs="Symbol" w:hint="default"/>
        <w:w w:val="99"/>
        <w:sz w:val="20"/>
        <w:szCs w:val="20"/>
        <w:lang w:val="en-US" w:eastAsia="en-US" w:bidi="ar-SA"/>
      </w:rPr>
    </w:lvl>
    <w:lvl w:ilvl="1" w:tplc="4B0224F0">
      <w:numFmt w:val="bullet"/>
      <w:lvlText w:val="•"/>
      <w:lvlJc w:val="left"/>
      <w:pPr>
        <w:ind w:left="1210" w:hanging="358"/>
      </w:pPr>
      <w:rPr>
        <w:rFonts w:hint="default"/>
        <w:lang w:val="en-US" w:eastAsia="en-US" w:bidi="ar-SA"/>
      </w:rPr>
    </w:lvl>
    <w:lvl w:ilvl="2" w:tplc="8E52818C">
      <w:numFmt w:val="bullet"/>
      <w:lvlText w:val="•"/>
      <w:lvlJc w:val="left"/>
      <w:pPr>
        <w:ind w:left="1960" w:hanging="358"/>
      </w:pPr>
      <w:rPr>
        <w:rFonts w:hint="default"/>
        <w:lang w:val="en-US" w:eastAsia="en-US" w:bidi="ar-SA"/>
      </w:rPr>
    </w:lvl>
    <w:lvl w:ilvl="3" w:tplc="5AD88CFA">
      <w:numFmt w:val="bullet"/>
      <w:lvlText w:val="•"/>
      <w:lvlJc w:val="left"/>
      <w:pPr>
        <w:ind w:left="2710" w:hanging="358"/>
      </w:pPr>
      <w:rPr>
        <w:rFonts w:hint="default"/>
        <w:lang w:val="en-US" w:eastAsia="en-US" w:bidi="ar-SA"/>
      </w:rPr>
    </w:lvl>
    <w:lvl w:ilvl="4" w:tplc="F3188D14">
      <w:numFmt w:val="bullet"/>
      <w:lvlText w:val="•"/>
      <w:lvlJc w:val="left"/>
      <w:pPr>
        <w:ind w:left="3460" w:hanging="358"/>
      </w:pPr>
      <w:rPr>
        <w:rFonts w:hint="default"/>
        <w:lang w:val="en-US" w:eastAsia="en-US" w:bidi="ar-SA"/>
      </w:rPr>
    </w:lvl>
    <w:lvl w:ilvl="5" w:tplc="D076B540">
      <w:numFmt w:val="bullet"/>
      <w:lvlText w:val="•"/>
      <w:lvlJc w:val="left"/>
      <w:pPr>
        <w:ind w:left="4210" w:hanging="358"/>
      </w:pPr>
      <w:rPr>
        <w:rFonts w:hint="default"/>
        <w:lang w:val="en-US" w:eastAsia="en-US" w:bidi="ar-SA"/>
      </w:rPr>
    </w:lvl>
    <w:lvl w:ilvl="6" w:tplc="CD388CF8">
      <w:numFmt w:val="bullet"/>
      <w:lvlText w:val="•"/>
      <w:lvlJc w:val="left"/>
      <w:pPr>
        <w:ind w:left="4960" w:hanging="358"/>
      </w:pPr>
      <w:rPr>
        <w:rFonts w:hint="default"/>
        <w:lang w:val="en-US" w:eastAsia="en-US" w:bidi="ar-SA"/>
      </w:rPr>
    </w:lvl>
    <w:lvl w:ilvl="7" w:tplc="792AC3C6">
      <w:numFmt w:val="bullet"/>
      <w:lvlText w:val="•"/>
      <w:lvlJc w:val="left"/>
      <w:pPr>
        <w:ind w:left="5710" w:hanging="358"/>
      </w:pPr>
      <w:rPr>
        <w:rFonts w:hint="default"/>
        <w:lang w:val="en-US" w:eastAsia="en-US" w:bidi="ar-SA"/>
      </w:rPr>
    </w:lvl>
    <w:lvl w:ilvl="8" w:tplc="02362A8C">
      <w:numFmt w:val="bullet"/>
      <w:lvlText w:val="•"/>
      <w:lvlJc w:val="left"/>
      <w:pPr>
        <w:ind w:left="6460" w:hanging="358"/>
      </w:pPr>
      <w:rPr>
        <w:rFonts w:hint="default"/>
        <w:lang w:val="en-US" w:eastAsia="en-US" w:bidi="ar-SA"/>
      </w:rPr>
    </w:lvl>
  </w:abstractNum>
  <w:abstractNum w:abstractNumId="4" w15:restartNumberingAfterBreak="0">
    <w:nsid w:val="21C54CCB"/>
    <w:multiLevelType w:val="hybridMultilevel"/>
    <w:tmpl w:val="BAAE4572"/>
    <w:lvl w:ilvl="0" w:tplc="8B327990">
      <w:numFmt w:val="bullet"/>
      <w:lvlText w:val=""/>
      <w:lvlJc w:val="left"/>
      <w:pPr>
        <w:ind w:left="464" w:hanging="358"/>
      </w:pPr>
      <w:rPr>
        <w:rFonts w:ascii="Symbol" w:eastAsia="Symbol" w:hAnsi="Symbol" w:cs="Symbol" w:hint="default"/>
        <w:w w:val="99"/>
        <w:sz w:val="20"/>
        <w:szCs w:val="20"/>
        <w:lang w:val="en-US" w:eastAsia="en-US" w:bidi="ar-SA"/>
      </w:rPr>
    </w:lvl>
    <w:lvl w:ilvl="1" w:tplc="FF6C750C">
      <w:numFmt w:val="bullet"/>
      <w:lvlText w:val="•"/>
      <w:lvlJc w:val="left"/>
      <w:pPr>
        <w:ind w:left="1218" w:hanging="358"/>
      </w:pPr>
      <w:rPr>
        <w:rFonts w:hint="default"/>
        <w:lang w:val="en-US" w:eastAsia="en-US" w:bidi="ar-SA"/>
      </w:rPr>
    </w:lvl>
    <w:lvl w:ilvl="2" w:tplc="A6F4685A">
      <w:numFmt w:val="bullet"/>
      <w:lvlText w:val="•"/>
      <w:lvlJc w:val="left"/>
      <w:pPr>
        <w:ind w:left="1977" w:hanging="358"/>
      </w:pPr>
      <w:rPr>
        <w:rFonts w:hint="default"/>
        <w:lang w:val="en-US" w:eastAsia="en-US" w:bidi="ar-SA"/>
      </w:rPr>
    </w:lvl>
    <w:lvl w:ilvl="3" w:tplc="A3DC9BA8">
      <w:numFmt w:val="bullet"/>
      <w:lvlText w:val="•"/>
      <w:lvlJc w:val="left"/>
      <w:pPr>
        <w:ind w:left="2736" w:hanging="358"/>
      </w:pPr>
      <w:rPr>
        <w:rFonts w:hint="default"/>
        <w:lang w:val="en-US" w:eastAsia="en-US" w:bidi="ar-SA"/>
      </w:rPr>
    </w:lvl>
    <w:lvl w:ilvl="4" w:tplc="160C420C">
      <w:numFmt w:val="bullet"/>
      <w:lvlText w:val="•"/>
      <w:lvlJc w:val="left"/>
      <w:pPr>
        <w:ind w:left="3495" w:hanging="358"/>
      </w:pPr>
      <w:rPr>
        <w:rFonts w:hint="default"/>
        <w:lang w:val="en-US" w:eastAsia="en-US" w:bidi="ar-SA"/>
      </w:rPr>
    </w:lvl>
    <w:lvl w:ilvl="5" w:tplc="403A4C34">
      <w:numFmt w:val="bullet"/>
      <w:lvlText w:val="•"/>
      <w:lvlJc w:val="left"/>
      <w:pPr>
        <w:ind w:left="4254" w:hanging="358"/>
      </w:pPr>
      <w:rPr>
        <w:rFonts w:hint="default"/>
        <w:lang w:val="en-US" w:eastAsia="en-US" w:bidi="ar-SA"/>
      </w:rPr>
    </w:lvl>
    <w:lvl w:ilvl="6" w:tplc="D640D6AE">
      <w:numFmt w:val="bullet"/>
      <w:lvlText w:val="•"/>
      <w:lvlJc w:val="left"/>
      <w:pPr>
        <w:ind w:left="5012" w:hanging="358"/>
      </w:pPr>
      <w:rPr>
        <w:rFonts w:hint="default"/>
        <w:lang w:val="en-US" w:eastAsia="en-US" w:bidi="ar-SA"/>
      </w:rPr>
    </w:lvl>
    <w:lvl w:ilvl="7" w:tplc="5B962300">
      <w:numFmt w:val="bullet"/>
      <w:lvlText w:val="•"/>
      <w:lvlJc w:val="left"/>
      <w:pPr>
        <w:ind w:left="5771" w:hanging="358"/>
      </w:pPr>
      <w:rPr>
        <w:rFonts w:hint="default"/>
        <w:lang w:val="en-US" w:eastAsia="en-US" w:bidi="ar-SA"/>
      </w:rPr>
    </w:lvl>
    <w:lvl w:ilvl="8" w:tplc="187A88B6">
      <w:numFmt w:val="bullet"/>
      <w:lvlText w:val="•"/>
      <w:lvlJc w:val="left"/>
      <w:pPr>
        <w:ind w:left="6530" w:hanging="358"/>
      </w:pPr>
      <w:rPr>
        <w:rFonts w:hint="default"/>
        <w:lang w:val="en-US" w:eastAsia="en-US" w:bidi="ar-SA"/>
      </w:rPr>
    </w:lvl>
  </w:abstractNum>
  <w:abstractNum w:abstractNumId="5" w15:restartNumberingAfterBreak="0">
    <w:nsid w:val="25C3733A"/>
    <w:multiLevelType w:val="hybridMultilevel"/>
    <w:tmpl w:val="B7F60B00"/>
    <w:lvl w:ilvl="0" w:tplc="5A444B8C">
      <w:numFmt w:val="bullet"/>
      <w:lvlText w:val="•"/>
      <w:lvlJc w:val="left"/>
      <w:pPr>
        <w:ind w:left="852" w:hanging="711"/>
      </w:pPr>
      <w:rPr>
        <w:rFonts w:ascii="Verdana" w:eastAsia="Verdana" w:hAnsi="Verdana" w:cs="Verdana" w:hint="default"/>
        <w:w w:val="80"/>
        <w:sz w:val="20"/>
        <w:szCs w:val="20"/>
        <w:lang w:val="en-US" w:eastAsia="en-US" w:bidi="ar-SA"/>
      </w:rPr>
    </w:lvl>
    <w:lvl w:ilvl="1" w:tplc="AC4EA8B0">
      <w:numFmt w:val="bullet"/>
      <w:lvlText w:val="•"/>
      <w:lvlJc w:val="left"/>
      <w:pPr>
        <w:ind w:left="1712" w:hanging="711"/>
      </w:pPr>
      <w:rPr>
        <w:rFonts w:hint="default"/>
        <w:lang w:val="en-US" w:eastAsia="en-US" w:bidi="ar-SA"/>
      </w:rPr>
    </w:lvl>
    <w:lvl w:ilvl="2" w:tplc="F01867B2">
      <w:numFmt w:val="bullet"/>
      <w:lvlText w:val="•"/>
      <w:lvlJc w:val="left"/>
      <w:pPr>
        <w:ind w:left="2564" w:hanging="711"/>
      </w:pPr>
      <w:rPr>
        <w:rFonts w:hint="default"/>
        <w:lang w:val="en-US" w:eastAsia="en-US" w:bidi="ar-SA"/>
      </w:rPr>
    </w:lvl>
    <w:lvl w:ilvl="3" w:tplc="741CB1D0">
      <w:numFmt w:val="bullet"/>
      <w:lvlText w:val="•"/>
      <w:lvlJc w:val="left"/>
      <w:pPr>
        <w:ind w:left="3416" w:hanging="711"/>
      </w:pPr>
      <w:rPr>
        <w:rFonts w:hint="default"/>
        <w:lang w:val="en-US" w:eastAsia="en-US" w:bidi="ar-SA"/>
      </w:rPr>
    </w:lvl>
    <w:lvl w:ilvl="4" w:tplc="2820DDF4">
      <w:numFmt w:val="bullet"/>
      <w:lvlText w:val="•"/>
      <w:lvlJc w:val="left"/>
      <w:pPr>
        <w:ind w:left="4268" w:hanging="711"/>
      </w:pPr>
      <w:rPr>
        <w:rFonts w:hint="default"/>
        <w:lang w:val="en-US" w:eastAsia="en-US" w:bidi="ar-SA"/>
      </w:rPr>
    </w:lvl>
    <w:lvl w:ilvl="5" w:tplc="7C983618">
      <w:numFmt w:val="bullet"/>
      <w:lvlText w:val="•"/>
      <w:lvlJc w:val="left"/>
      <w:pPr>
        <w:ind w:left="5120" w:hanging="711"/>
      </w:pPr>
      <w:rPr>
        <w:rFonts w:hint="default"/>
        <w:lang w:val="en-US" w:eastAsia="en-US" w:bidi="ar-SA"/>
      </w:rPr>
    </w:lvl>
    <w:lvl w:ilvl="6" w:tplc="AB3248AC">
      <w:numFmt w:val="bullet"/>
      <w:lvlText w:val="•"/>
      <w:lvlJc w:val="left"/>
      <w:pPr>
        <w:ind w:left="5972" w:hanging="711"/>
      </w:pPr>
      <w:rPr>
        <w:rFonts w:hint="default"/>
        <w:lang w:val="en-US" w:eastAsia="en-US" w:bidi="ar-SA"/>
      </w:rPr>
    </w:lvl>
    <w:lvl w:ilvl="7" w:tplc="847C07DE">
      <w:numFmt w:val="bullet"/>
      <w:lvlText w:val="•"/>
      <w:lvlJc w:val="left"/>
      <w:pPr>
        <w:ind w:left="6824" w:hanging="711"/>
      </w:pPr>
      <w:rPr>
        <w:rFonts w:hint="default"/>
        <w:lang w:val="en-US" w:eastAsia="en-US" w:bidi="ar-SA"/>
      </w:rPr>
    </w:lvl>
    <w:lvl w:ilvl="8" w:tplc="400221CA">
      <w:numFmt w:val="bullet"/>
      <w:lvlText w:val="•"/>
      <w:lvlJc w:val="left"/>
      <w:pPr>
        <w:ind w:left="7676" w:hanging="711"/>
      </w:pPr>
      <w:rPr>
        <w:rFonts w:hint="default"/>
        <w:lang w:val="en-US" w:eastAsia="en-US" w:bidi="ar-SA"/>
      </w:rPr>
    </w:lvl>
  </w:abstractNum>
  <w:abstractNum w:abstractNumId="6" w15:restartNumberingAfterBreak="0">
    <w:nsid w:val="38C92ABD"/>
    <w:multiLevelType w:val="hybridMultilevel"/>
    <w:tmpl w:val="C2CC8C62"/>
    <w:lvl w:ilvl="0" w:tplc="1A9A09CC">
      <w:numFmt w:val="bullet"/>
      <w:lvlText w:val=""/>
      <w:lvlJc w:val="left"/>
      <w:pPr>
        <w:ind w:left="464" w:hanging="358"/>
      </w:pPr>
      <w:rPr>
        <w:rFonts w:ascii="Symbol" w:eastAsia="Symbol" w:hAnsi="Symbol" w:cs="Symbol" w:hint="default"/>
        <w:w w:val="99"/>
        <w:sz w:val="20"/>
        <w:szCs w:val="20"/>
        <w:lang w:val="en-US" w:eastAsia="en-US" w:bidi="ar-SA"/>
      </w:rPr>
    </w:lvl>
    <w:lvl w:ilvl="1" w:tplc="2AFC68BA">
      <w:numFmt w:val="bullet"/>
      <w:lvlText w:val="•"/>
      <w:lvlJc w:val="left"/>
      <w:pPr>
        <w:ind w:left="1210" w:hanging="358"/>
      </w:pPr>
      <w:rPr>
        <w:rFonts w:hint="default"/>
        <w:lang w:val="en-US" w:eastAsia="en-US" w:bidi="ar-SA"/>
      </w:rPr>
    </w:lvl>
    <w:lvl w:ilvl="2" w:tplc="3A28965E">
      <w:numFmt w:val="bullet"/>
      <w:lvlText w:val="•"/>
      <w:lvlJc w:val="left"/>
      <w:pPr>
        <w:ind w:left="1960" w:hanging="358"/>
      </w:pPr>
      <w:rPr>
        <w:rFonts w:hint="default"/>
        <w:lang w:val="en-US" w:eastAsia="en-US" w:bidi="ar-SA"/>
      </w:rPr>
    </w:lvl>
    <w:lvl w:ilvl="3" w:tplc="F92A5A08">
      <w:numFmt w:val="bullet"/>
      <w:lvlText w:val="•"/>
      <w:lvlJc w:val="left"/>
      <w:pPr>
        <w:ind w:left="2710" w:hanging="358"/>
      </w:pPr>
      <w:rPr>
        <w:rFonts w:hint="default"/>
        <w:lang w:val="en-US" w:eastAsia="en-US" w:bidi="ar-SA"/>
      </w:rPr>
    </w:lvl>
    <w:lvl w:ilvl="4" w:tplc="4C642EA0">
      <w:numFmt w:val="bullet"/>
      <w:lvlText w:val="•"/>
      <w:lvlJc w:val="left"/>
      <w:pPr>
        <w:ind w:left="3460" w:hanging="358"/>
      </w:pPr>
      <w:rPr>
        <w:rFonts w:hint="default"/>
        <w:lang w:val="en-US" w:eastAsia="en-US" w:bidi="ar-SA"/>
      </w:rPr>
    </w:lvl>
    <w:lvl w:ilvl="5" w:tplc="2DC2EA54">
      <w:numFmt w:val="bullet"/>
      <w:lvlText w:val="•"/>
      <w:lvlJc w:val="left"/>
      <w:pPr>
        <w:ind w:left="4210" w:hanging="358"/>
      </w:pPr>
      <w:rPr>
        <w:rFonts w:hint="default"/>
        <w:lang w:val="en-US" w:eastAsia="en-US" w:bidi="ar-SA"/>
      </w:rPr>
    </w:lvl>
    <w:lvl w:ilvl="6" w:tplc="1C58A6DA">
      <w:numFmt w:val="bullet"/>
      <w:lvlText w:val="•"/>
      <w:lvlJc w:val="left"/>
      <w:pPr>
        <w:ind w:left="4960" w:hanging="358"/>
      </w:pPr>
      <w:rPr>
        <w:rFonts w:hint="default"/>
        <w:lang w:val="en-US" w:eastAsia="en-US" w:bidi="ar-SA"/>
      </w:rPr>
    </w:lvl>
    <w:lvl w:ilvl="7" w:tplc="8CC01A0E">
      <w:numFmt w:val="bullet"/>
      <w:lvlText w:val="•"/>
      <w:lvlJc w:val="left"/>
      <w:pPr>
        <w:ind w:left="5710" w:hanging="358"/>
      </w:pPr>
      <w:rPr>
        <w:rFonts w:hint="default"/>
        <w:lang w:val="en-US" w:eastAsia="en-US" w:bidi="ar-SA"/>
      </w:rPr>
    </w:lvl>
    <w:lvl w:ilvl="8" w:tplc="05AA9320">
      <w:numFmt w:val="bullet"/>
      <w:lvlText w:val="•"/>
      <w:lvlJc w:val="left"/>
      <w:pPr>
        <w:ind w:left="6460" w:hanging="358"/>
      </w:pPr>
      <w:rPr>
        <w:rFonts w:hint="default"/>
        <w:lang w:val="en-US" w:eastAsia="en-US" w:bidi="ar-SA"/>
      </w:rPr>
    </w:lvl>
  </w:abstractNum>
  <w:abstractNum w:abstractNumId="7" w15:restartNumberingAfterBreak="0">
    <w:nsid w:val="43D63E5C"/>
    <w:multiLevelType w:val="hybridMultilevel"/>
    <w:tmpl w:val="2EC24AE2"/>
    <w:lvl w:ilvl="0" w:tplc="2E247C00">
      <w:numFmt w:val="bullet"/>
      <w:lvlText w:val=""/>
      <w:lvlJc w:val="left"/>
      <w:pPr>
        <w:ind w:left="464" w:hanging="358"/>
      </w:pPr>
      <w:rPr>
        <w:rFonts w:ascii="Symbol" w:eastAsia="Symbol" w:hAnsi="Symbol" w:cs="Symbol" w:hint="default"/>
        <w:w w:val="99"/>
        <w:sz w:val="20"/>
        <w:szCs w:val="20"/>
        <w:lang w:val="en-US" w:eastAsia="en-US" w:bidi="ar-SA"/>
      </w:rPr>
    </w:lvl>
    <w:lvl w:ilvl="1" w:tplc="9A2C1C3E">
      <w:numFmt w:val="bullet"/>
      <w:lvlText w:val="•"/>
      <w:lvlJc w:val="left"/>
      <w:pPr>
        <w:ind w:left="1218" w:hanging="358"/>
      </w:pPr>
      <w:rPr>
        <w:rFonts w:hint="default"/>
        <w:lang w:val="en-US" w:eastAsia="en-US" w:bidi="ar-SA"/>
      </w:rPr>
    </w:lvl>
    <w:lvl w:ilvl="2" w:tplc="E7A8968E">
      <w:numFmt w:val="bullet"/>
      <w:lvlText w:val="•"/>
      <w:lvlJc w:val="left"/>
      <w:pPr>
        <w:ind w:left="1977" w:hanging="358"/>
      </w:pPr>
      <w:rPr>
        <w:rFonts w:hint="default"/>
        <w:lang w:val="en-US" w:eastAsia="en-US" w:bidi="ar-SA"/>
      </w:rPr>
    </w:lvl>
    <w:lvl w:ilvl="3" w:tplc="6DD64602">
      <w:numFmt w:val="bullet"/>
      <w:lvlText w:val="•"/>
      <w:lvlJc w:val="left"/>
      <w:pPr>
        <w:ind w:left="2736" w:hanging="358"/>
      </w:pPr>
      <w:rPr>
        <w:rFonts w:hint="default"/>
        <w:lang w:val="en-US" w:eastAsia="en-US" w:bidi="ar-SA"/>
      </w:rPr>
    </w:lvl>
    <w:lvl w:ilvl="4" w:tplc="1C847DCC">
      <w:numFmt w:val="bullet"/>
      <w:lvlText w:val="•"/>
      <w:lvlJc w:val="left"/>
      <w:pPr>
        <w:ind w:left="3495" w:hanging="358"/>
      </w:pPr>
      <w:rPr>
        <w:rFonts w:hint="default"/>
        <w:lang w:val="en-US" w:eastAsia="en-US" w:bidi="ar-SA"/>
      </w:rPr>
    </w:lvl>
    <w:lvl w:ilvl="5" w:tplc="A1747698">
      <w:numFmt w:val="bullet"/>
      <w:lvlText w:val="•"/>
      <w:lvlJc w:val="left"/>
      <w:pPr>
        <w:ind w:left="4254" w:hanging="358"/>
      </w:pPr>
      <w:rPr>
        <w:rFonts w:hint="default"/>
        <w:lang w:val="en-US" w:eastAsia="en-US" w:bidi="ar-SA"/>
      </w:rPr>
    </w:lvl>
    <w:lvl w:ilvl="6" w:tplc="3EE8AFF0">
      <w:numFmt w:val="bullet"/>
      <w:lvlText w:val="•"/>
      <w:lvlJc w:val="left"/>
      <w:pPr>
        <w:ind w:left="5012" w:hanging="358"/>
      </w:pPr>
      <w:rPr>
        <w:rFonts w:hint="default"/>
        <w:lang w:val="en-US" w:eastAsia="en-US" w:bidi="ar-SA"/>
      </w:rPr>
    </w:lvl>
    <w:lvl w:ilvl="7" w:tplc="228A82D4">
      <w:numFmt w:val="bullet"/>
      <w:lvlText w:val="•"/>
      <w:lvlJc w:val="left"/>
      <w:pPr>
        <w:ind w:left="5771" w:hanging="358"/>
      </w:pPr>
      <w:rPr>
        <w:rFonts w:hint="default"/>
        <w:lang w:val="en-US" w:eastAsia="en-US" w:bidi="ar-SA"/>
      </w:rPr>
    </w:lvl>
    <w:lvl w:ilvl="8" w:tplc="6B06246C">
      <w:numFmt w:val="bullet"/>
      <w:lvlText w:val="•"/>
      <w:lvlJc w:val="left"/>
      <w:pPr>
        <w:ind w:left="6530" w:hanging="358"/>
      </w:pPr>
      <w:rPr>
        <w:rFonts w:hint="default"/>
        <w:lang w:val="en-US" w:eastAsia="en-US" w:bidi="ar-SA"/>
      </w:rPr>
    </w:lvl>
  </w:abstractNum>
  <w:abstractNum w:abstractNumId="8" w15:restartNumberingAfterBreak="0">
    <w:nsid w:val="50494124"/>
    <w:multiLevelType w:val="hybridMultilevel"/>
    <w:tmpl w:val="9810342A"/>
    <w:lvl w:ilvl="0" w:tplc="AC14F53A">
      <w:numFmt w:val="bullet"/>
      <w:lvlText w:val=""/>
      <w:lvlJc w:val="left"/>
      <w:pPr>
        <w:ind w:left="464" w:hanging="358"/>
      </w:pPr>
      <w:rPr>
        <w:rFonts w:ascii="Symbol" w:eastAsia="Symbol" w:hAnsi="Symbol" w:cs="Symbol" w:hint="default"/>
        <w:w w:val="99"/>
        <w:sz w:val="20"/>
        <w:szCs w:val="20"/>
        <w:lang w:val="en-US" w:eastAsia="en-US" w:bidi="ar-SA"/>
      </w:rPr>
    </w:lvl>
    <w:lvl w:ilvl="1" w:tplc="64F69C0A">
      <w:numFmt w:val="bullet"/>
      <w:lvlText w:val="•"/>
      <w:lvlJc w:val="left"/>
      <w:pPr>
        <w:ind w:left="1210" w:hanging="358"/>
      </w:pPr>
      <w:rPr>
        <w:rFonts w:hint="default"/>
        <w:lang w:val="en-US" w:eastAsia="en-US" w:bidi="ar-SA"/>
      </w:rPr>
    </w:lvl>
    <w:lvl w:ilvl="2" w:tplc="B6AEB272">
      <w:numFmt w:val="bullet"/>
      <w:lvlText w:val="•"/>
      <w:lvlJc w:val="left"/>
      <w:pPr>
        <w:ind w:left="1960" w:hanging="358"/>
      </w:pPr>
      <w:rPr>
        <w:rFonts w:hint="default"/>
        <w:lang w:val="en-US" w:eastAsia="en-US" w:bidi="ar-SA"/>
      </w:rPr>
    </w:lvl>
    <w:lvl w:ilvl="3" w:tplc="594AD952">
      <w:numFmt w:val="bullet"/>
      <w:lvlText w:val="•"/>
      <w:lvlJc w:val="left"/>
      <w:pPr>
        <w:ind w:left="2710" w:hanging="358"/>
      </w:pPr>
      <w:rPr>
        <w:rFonts w:hint="default"/>
        <w:lang w:val="en-US" w:eastAsia="en-US" w:bidi="ar-SA"/>
      </w:rPr>
    </w:lvl>
    <w:lvl w:ilvl="4" w:tplc="CC50D1B0">
      <w:numFmt w:val="bullet"/>
      <w:lvlText w:val="•"/>
      <w:lvlJc w:val="left"/>
      <w:pPr>
        <w:ind w:left="3460" w:hanging="358"/>
      </w:pPr>
      <w:rPr>
        <w:rFonts w:hint="default"/>
        <w:lang w:val="en-US" w:eastAsia="en-US" w:bidi="ar-SA"/>
      </w:rPr>
    </w:lvl>
    <w:lvl w:ilvl="5" w:tplc="085AE09C">
      <w:numFmt w:val="bullet"/>
      <w:lvlText w:val="•"/>
      <w:lvlJc w:val="left"/>
      <w:pPr>
        <w:ind w:left="4210" w:hanging="358"/>
      </w:pPr>
      <w:rPr>
        <w:rFonts w:hint="default"/>
        <w:lang w:val="en-US" w:eastAsia="en-US" w:bidi="ar-SA"/>
      </w:rPr>
    </w:lvl>
    <w:lvl w:ilvl="6" w:tplc="7F929D34">
      <w:numFmt w:val="bullet"/>
      <w:lvlText w:val="•"/>
      <w:lvlJc w:val="left"/>
      <w:pPr>
        <w:ind w:left="4960" w:hanging="358"/>
      </w:pPr>
      <w:rPr>
        <w:rFonts w:hint="default"/>
        <w:lang w:val="en-US" w:eastAsia="en-US" w:bidi="ar-SA"/>
      </w:rPr>
    </w:lvl>
    <w:lvl w:ilvl="7" w:tplc="5CF23C68">
      <w:numFmt w:val="bullet"/>
      <w:lvlText w:val="•"/>
      <w:lvlJc w:val="left"/>
      <w:pPr>
        <w:ind w:left="5710" w:hanging="358"/>
      </w:pPr>
      <w:rPr>
        <w:rFonts w:hint="default"/>
        <w:lang w:val="en-US" w:eastAsia="en-US" w:bidi="ar-SA"/>
      </w:rPr>
    </w:lvl>
    <w:lvl w:ilvl="8" w:tplc="CBC0124C">
      <w:numFmt w:val="bullet"/>
      <w:lvlText w:val="•"/>
      <w:lvlJc w:val="left"/>
      <w:pPr>
        <w:ind w:left="6460" w:hanging="358"/>
      </w:pPr>
      <w:rPr>
        <w:rFonts w:hint="default"/>
        <w:lang w:val="en-US" w:eastAsia="en-US" w:bidi="ar-SA"/>
      </w:rPr>
    </w:lvl>
  </w:abstractNum>
  <w:abstractNum w:abstractNumId="9" w15:restartNumberingAfterBreak="0">
    <w:nsid w:val="53453FCE"/>
    <w:multiLevelType w:val="hybridMultilevel"/>
    <w:tmpl w:val="11F4236C"/>
    <w:lvl w:ilvl="0" w:tplc="7130BDC4">
      <w:start w:val="1"/>
      <w:numFmt w:val="upperRoman"/>
      <w:lvlText w:val="%1."/>
      <w:lvlJc w:val="left"/>
      <w:pPr>
        <w:ind w:left="656" w:hanging="708"/>
        <w:jc w:val="left"/>
      </w:pPr>
      <w:rPr>
        <w:rFonts w:ascii="Arial" w:eastAsia="Arial" w:hAnsi="Arial" w:cs="Arial" w:hint="default"/>
        <w:b/>
        <w:bCs/>
        <w:spacing w:val="-1"/>
        <w:w w:val="99"/>
        <w:sz w:val="20"/>
        <w:szCs w:val="20"/>
        <w:lang w:val="en-US" w:eastAsia="en-US" w:bidi="ar-SA"/>
      </w:rPr>
    </w:lvl>
    <w:lvl w:ilvl="1" w:tplc="B5A03828">
      <w:numFmt w:val="bullet"/>
      <w:lvlText w:val=""/>
      <w:lvlJc w:val="left"/>
      <w:pPr>
        <w:ind w:left="1364" w:hanging="356"/>
      </w:pPr>
      <w:rPr>
        <w:rFonts w:ascii="Symbol" w:eastAsia="Symbol" w:hAnsi="Symbol" w:cs="Symbol" w:hint="default"/>
        <w:w w:val="99"/>
        <w:sz w:val="20"/>
        <w:szCs w:val="20"/>
        <w:lang w:val="en-US" w:eastAsia="en-US" w:bidi="ar-SA"/>
      </w:rPr>
    </w:lvl>
    <w:lvl w:ilvl="2" w:tplc="A104B390">
      <w:numFmt w:val="bullet"/>
      <w:lvlText w:val="•"/>
      <w:lvlJc w:val="left"/>
      <w:pPr>
        <w:ind w:left="2362" w:hanging="356"/>
      </w:pPr>
      <w:rPr>
        <w:rFonts w:hint="default"/>
        <w:lang w:val="en-US" w:eastAsia="en-US" w:bidi="ar-SA"/>
      </w:rPr>
    </w:lvl>
    <w:lvl w:ilvl="3" w:tplc="350EACCE">
      <w:numFmt w:val="bullet"/>
      <w:lvlText w:val="•"/>
      <w:lvlJc w:val="left"/>
      <w:pPr>
        <w:ind w:left="3365" w:hanging="356"/>
      </w:pPr>
      <w:rPr>
        <w:rFonts w:hint="default"/>
        <w:lang w:val="en-US" w:eastAsia="en-US" w:bidi="ar-SA"/>
      </w:rPr>
    </w:lvl>
    <w:lvl w:ilvl="4" w:tplc="03FE935C">
      <w:numFmt w:val="bullet"/>
      <w:lvlText w:val="•"/>
      <w:lvlJc w:val="left"/>
      <w:pPr>
        <w:ind w:left="4368" w:hanging="356"/>
      </w:pPr>
      <w:rPr>
        <w:rFonts w:hint="default"/>
        <w:lang w:val="en-US" w:eastAsia="en-US" w:bidi="ar-SA"/>
      </w:rPr>
    </w:lvl>
    <w:lvl w:ilvl="5" w:tplc="C9822A0C">
      <w:numFmt w:val="bullet"/>
      <w:lvlText w:val="•"/>
      <w:lvlJc w:val="left"/>
      <w:pPr>
        <w:ind w:left="5371" w:hanging="356"/>
      </w:pPr>
      <w:rPr>
        <w:rFonts w:hint="default"/>
        <w:lang w:val="en-US" w:eastAsia="en-US" w:bidi="ar-SA"/>
      </w:rPr>
    </w:lvl>
    <w:lvl w:ilvl="6" w:tplc="99E8F8B6">
      <w:numFmt w:val="bullet"/>
      <w:lvlText w:val="•"/>
      <w:lvlJc w:val="left"/>
      <w:pPr>
        <w:ind w:left="6374" w:hanging="356"/>
      </w:pPr>
      <w:rPr>
        <w:rFonts w:hint="default"/>
        <w:lang w:val="en-US" w:eastAsia="en-US" w:bidi="ar-SA"/>
      </w:rPr>
    </w:lvl>
    <w:lvl w:ilvl="7" w:tplc="F69C609A">
      <w:numFmt w:val="bullet"/>
      <w:lvlText w:val="•"/>
      <w:lvlJc w:val="left"/>
      <w:pPr>
        <w:ind w:left="7377" w:hanging="356"/>
      </w:pPr>
      <w:rPr>
        <w:rFonts w:hint="default"/>
        <w:lang w:val="en-US" w:eastAsia="en-US" w:bidi="ar-SA"/>
      </w:rPr>
    </w:lvl>
    <w:lvl w:ilvl="8" w:tplc="76F2B3C0">
      <w:numFmt w:val="bullet"/>
      <w:lvlText w:val="•"/>
      <w:lvlJc w:val="left"/>
      <w:pPr>
        <w:ind w:left="8380" w:hanging="356"/>
      </w:pPr>
      <w:rPr>
        <w:rFonts w:hint="default"/>
        <w:lang w:val="en-US" w:eastAsia="en-US" w:bidi="ar-SA"/>
      </w:rPr>
    </w:lvl>
  </w:abstractNum>
  <w:abstractNum w:abstractNumId="10" w15:restartNumberingAfterBreak="0">
    <w:nsid w:val="53C0366A"/>
    <w:multiLevelType w:val="hybridMultilevel"/>
    <w:tmpl w:val="7A406D3E"/>
    <w:lvl w:ilvl="0" w:tplc="7A1E6856">
      <w:numFmt w:val="bullet"/>
      <w:lvlText w:val=""/>
      <w:lvlJc w:val="left"/>
      <w:pPr>
        <w:ind w:left="464" w:hanging="358"/>
      </w:pPr>
      <w:rPr>
        <w:rFonts w:ascii="Symbol" w:eastAsia="Symbol" w:hAnsi="Symbol" w:cs="Symbol" w:hint="default"/>
        <w:w w:val="99"/>
        <w:sz w:val="20"/>
        <w:szCs w:val="20"/>
        <w:lang w:val="en-US" w:eastAsia="en-US" w:bidi="ar-SA"/>
      </w:rPr>
    </w:lvl>
    <w:lvl w:ilvl="1" w:tplc="438A8646">
      <w:numFmt w:val="bullet"/>
      <w:lvlText w:val="•"/>
      <w:lvlJc w:val="left"/>
      <w:pPr>
        <w:ind w:left="1210" w:hanging="358"/>
      </w:pPr>
      <w:rPr>
        <w:rFonts w:hint="default"/>
        <w:lang w:val="en-US" w:eastAsia="en-US" w:bidi="ar-SA"/>
      </w:rPr>
    </w:lvl>
    <w:lvl w:ilvl="2" w:tplc="C28AE424">
      <w:numFmt w:val="bullet"/>
      <w:lvlText w:val="•"/>
      <w:lvlJc w:val="left"/>
      <w:pPr>
        <w:ind w:left="1960" w:hanging="358"/>
      </w:pPr>
      <w:rPr>
        <w:rFonts w:hint="default"/>
        <w:lang w:val="en-US" w:eastAsia="en-US" w:bidi="ar-SA"/>
      </w:rPr>
    </w:lvl>
    <w:lvl w:ilvl="3" w:tplc="BF165898">
      <w:numFmt w:val="bullet"/>
      <w:lvlText w:val="•"/>
      <w:lvlJc w:val="left"/>
      <w:pPr>
        <w:ind w:left="2710" w:hanging="358"/>
      </w:pPr>
      <w:rPr>
        <w:rFonts w:hint="default"/>
        <w:lang w:val="en-US" w:eastAsia="en-US" w:bidi="ar-SA"/>
      </w:rPr>
    </w:lvl>
    <w:lvl w:ilvl="4" w:tplc="14BCE31A">
      <w:numFmt w:val="bullet"/>
      <w:lvlText w:val="•"/>
      <w:lvlJc w:val="left"/>
      <w:pPr>
        <w:ind w:left="3460" w:hanging="358"/>
      </w:pPr>
      <w:rPr>
        <w:rFonts w:hint="default"/>
        <w:lang w:val="en-US" w:eastAsia="en-US" w:bidi="ar-SA"/>
      </w:rPr>
    </w:lvl>
    <w:lvl w:ilvl="5" w:tplc="10C0F54A">
      <w:numFmt w:val="bullet"/>
      <w:lvlText w:val="•"/>
      <w:lvlJc w:val="left"/>
      <w:pPr>
        <w:ind w:left="4210" w:hanging="358"/>
      </w:pPr>
      <w:rPr>
        <w:rFonts w:hint="default"/>
        <w:lang w:val="en-US" w:eastAsia="en-US" w:bidi="ar-SA"/>
      </w:rPr>
    </w:lvl>
    <w:lvl w:ilvl="6" w:tplc="B3CE73A2">
      <w:numFmt w:val="bullet"/>
      <w:lvlText w:val="•"/>
      <w:lvlJc w:val="left"/>
      <w:pPr>
        <w:ind w:left="4960" w:hanging="358"/>
      </w:pPr>
      <w:rPr>
        <w:rFonts w:hint="default"/>
        <w:lang w:val="en-US" w:eastAsia="en-US" w:bidi="ar-SA"/>
      </w:rPr>
    </w:lvl>
    <w:lvl w:ilvl="7" w:tplc="8698E9F0">
      <w:numFmt w:val="bullet"/>
      <w:lvlText w:val="•"/>
      <w:lvlJc w:val="left"/>
      <w:pPr>
        <w:ind w:left="5710" w:hanging="358"/>
      </w:pPr>
      <w:rPr>
        <w:rFonts w:hint="default"/>
        <w:lang w:val="en-US" w:eastAsia="en-US" w:bidi="ar-SA"/>
      </w:rPr>
    </w:lvl>
    <w:lvl w:ilvl="8" w:tplc="25D835F6">
      <w:numFmt w:val="bullet"/>
      <w:lvlText w:val="•"/>
      <w:lvlJc w:val="left"/>
      <w:pPr>
        <w:ind w:left="6460" w:hanging="358"/>
      </w:pPr>
      <w:rPr>
        <w:rFonts w:hint="default"/>
        <w:lang w:val="en-US" w:eastAsia="en-US" w:bidi="ar-SA"/>
      </w:rPr>
    </w:lvl>
  </w:abstractNum>
  <w:abstractNum w:abstractNumId="11" w15:restartNumberingAfterBreak="0">
    <w:nsid w:val="5489665F"/>
    <w:multiLevelType w:val="hybridMultilevel"/>
    <w:tmpl w:val="4888084E"/>
    <w:lvl w:ilvl="0" w:tplc="0BB0BE20">
      <w:numFmt w:val="bullet"/>
      <w:lvlText w:val=""/>
      <w:lvlJc w:val="left"/>
      <w:pPr>
        <w:ind w:left="464" w:hanging="358"/>
      </w:pPr>
      <w:rPr>
        <w:rFonts w:ascii="Symbol" w:eastAsia="Symbol" w:hAnsi="Symbol" w:cs="Symbol" w:hint="default"/>
        <w:w w:val="99"/>
        <w:sz w:val="20"/>
        <w:szCs w:val="20"/>
        <w:lang w:val="en-US" w:eastAsia="en-US" w:bidi="ar-SA"/>
      </w:rPr>
    </w:lvl>
    <w:lvl w:ilvl="1" w:tplc="5ED2FC38">
      <w:numFmt w:val="bullet"/>
      <w:lvlText w:val="•"/>
      <w:lvlJc w:val="left"/>
      <w:pPr>
        <w:ind w:left="1218" w:hanging="358"/>
      </w:pPr>
      <w:rPr>
        <w:rFonts w:hint="default"/>
        <w:lang w:val="en-US" w:eastAsia="en-US" w:bidi="ar-SA"/>
      </w:rPr>
    </w:lvl>
    <w:lvl w:ilvl="2" w:tplc="8BCA3A76">
      <w:numFmt w:val="bullet"/>
      <w:lvlText w:val="•"/>
      <w:lvlJc w:val="left"/>
      <w:pPr>
        <w:ind w:left="1977" w:hanging="358"/>
      </w:pPr>
      <w:rPr>
        <w:rFonts w:hint="default"/>
        <w:lang w:val="en-US" w:eastAsia="en-US" w:bidi="ar-SA"/>
      </w:rPr>
    </w:lvl>
    <w:lvl w:ilvl="3" w:tplc="0EF634C8">
      <w:numFmt w:val="bullet"/>
      <w:lvlText w:val="•"/>
      <w:lvlJc w:val="left"/>
      <w:pPr>
        <w:ind w:left="2736" w:hanging="358"/>
      </w:pPr>
      <w:rPr>
        <w:rFonts w:hint="default"/>
        <w:lang w:val="en-US" w:eastAsia="en-US" w:bidi="ar-SA"/>
      </w:rPr>
    </w:lvl>
    <w:lvl w:ilvl="4" w:tplc="489631A2">
      <w:numFmt w:val="bullet"/>
      <w:lvlText w:val="•"/>
      <w:lvlJc w:val="left"/>
      <w:pPr>
        <w:ind w:left="3495" w:hanging="358"/>
      </w:pPr>
      <w:rPr>
        <w:rFonts w:hint="default"/>
        <w:lang w:val="en-US" w:eastAsia="en-US" w:bidi="ar-SA"/>
      </w:rPr>
    </w:lvl>
    <w:lvl w:ilvl="5" w:tplc="A06A9870">
      <w:numFmt w:val="bullet"/>
      <w:lvlText w:val="•"/>
      <w:lvlJc w:val="left"/>
      <w:pPr>
        <w:ind w:left="4254" w:hanging="358"/>
      </w:pPr>
      <w:rPr>
        <w:rFonts w:hint="default"/>
        <w:lang w:val="en-US" w:eastAsia="en-US" w:bidi="ar-SA"/>
      </w:rPr>
    </w:lvl>
    <w:lvl w:ilvl="6" w:tplc="96105FCE">
      <w:numFmt w:val="bullet"/>
      <w:lvlText w:val="•"/>
      <w:lvlJc w:val="left"/>
      <w:pPr>
        <w:ind w:left="5012" w:hanging="358"/>
      </w:pPr>
      <w:rPr>
        <w:rFonts w:hint="default"/>
        <w:lang w:val="en-US" w:eastAsia="en-US" w:bidi="ar-SA"/>
      </w:rPr>
    </w:lvl>
    <w:lvl w:ilvl="7" w:tplc="CA023030">
      <w:numFmt w:val="bullet"/>
      <w:lvlText w:val="•"/>
      <w:lvlJc w:val="left"/>
      <w:pPr>
        <w:ind w:left="5771" w:hanging="358"/>
      </w:pPr>
      <w:rPr>
        <w:rFonts w:hint="default"/>
        <w:lang w:val="en-US" w:eastAsia="en-US" w:bidi="ar-SA"/>
      </w:rPr>
    </w:lvl>
    <w:lvl w:ilvl="8" w:tplc="1BB65512">
      <w:numFmt w:val="bullet"/>
      <w:lvlText w:val="•"/>
      <w:lvlJc w:val="left"/>
      <w:pPr>
        <w:ind w:left="6530" w:hanging="358"/>
      </w:pPr>
      <w:rPr>
        <w:rFonts w:hint="default"/>
        <w:lang w:val="en-US" w:eastAsia="en-US" w:bidi="ar-SA"/>
      </w:rPr>
    </w:lvl>
  </w:abstractNum>
  <w:abstractNum w:abstractNumId="12" w15:restartNumberingAfterBreak="0">
    <w:nsid w:val="550C0313"/>
    <w:multiLevelType w:val="hybridMultilevel"/>
    <w:tmpl w:val="2DB28506"/>
    <w:lvl w:ilvl="0" w:tplc="D1B488B4">
      <w:numFmt w:val="bullet"/>
      <w:lvlText w:val=""/>
      <w:lvlJc w:val="left"/>
      <w:pPr>
        <w:ind w:left="464" w:hanging="358"/>
      </w:pPr>
      <w:rPr>
        <w:rFonts w:ascii="Symbol" w:eastAsia="Symbol" w:hAnsi="Symbol" w:cs="Symbol" w:hint="default"/>
        <w:w w:val="99"/>
        <w:sz w:val="20"/>
        <w:szCs w:val="20"/>
        <w:lang w:val="en-US" w:eastAsia="en-US" w:bidi="ar-SA"/>
      </w:rPr>
    </w:lvl>
    <w:lvl w:ilvl="1" w:tplc="C644B87E">
      <w:numFmt w:val="bullet"/>
      <w:lvlText w:val="•"/>
      <w:lvlJc w:val="left"/>
      <w:pPr>
        <w:ind w:left="1210" w:hanging="358"/>
      </w:pPr>
      <w:rPr>
        <w:rFonts w:hint="default"/>
        <w:lang w:val="en-US" w:eastAsia="en-US" w:bidi="ar-SA"/>
      </w:rPr>
    </w:lvl>
    <w:lvl w:ilvl="2" w:tplc="39A00BDC">
      <w:numFmt w:val="bullet"/>
      <w:lvlText w:val="•"/>
      <w:lvlJc w:val="left"/>
      <w:pPr>
        <w:ind w:left="1960" w:hanging="358"/>
      </w:pPr>
      <w:rPr>
        <w:rFonts w:hint="default"/>
        <w:lang w:val="en-US" w:eastAsia="en-US" w:bidi="ar-SA"/>
      </w:rPr>
    </w:lvl>
    <w:lvl w:ilvl="3" w:tplc="3E20E258">
      <w:numFmt w:val="bullet"/>
      <w:lvlText w:val="•"/>
      <w:lvlJc w:val="left"/>
      <w:pPr>
        <w:ind w:left="2710" w:hanging="358"/>
      </w:pPr>
      <w:rPr>
        <w:rFonts w:hint="default"/>
        <w:lang w:val="en-US" w:eastAsia="en-US" w:bidi="ar-SA"/>
      </w:rPr>
    </w:lvl>
    <w:lvl w:ilvl="4" w:tplc="CC72A6CE">
      <w:numFmt w:val="bullet"/>
      <w:lvlText w:val="•"/>
      <w:lvlJc w:val="left"/>
      <w:pPr>
        <w:ind w:left="3460" w:hanging="358"/>
      </w:pPr>
      <w:rPr>
        <w:rFonts w:hint="default"/>
        <w:lang w:val="en-US" w:eastAsia="en-US" w:bidi="ar-SA"/>
      </w:rPr>
    </w:lvl>
    <w:lvl w:ilvl="5" w:tplc="C1964FAC">
      <w:numFmt w:val="bullet"/>
      <w:lvlText w:val="•"/>
      <w:lvlJc w:val="left"/>
      <w:pPr>
        <w:ind w:left="4210" w:hanging="358"/>
      </w:pPr>
      <w:rPr>
        <w:rFonts w:hint="default"/>
        <w:lang w:val="en-US" w:eastAsia="en-US" w:bidi="ar-SA"/>
      </w:rPr>
    </w:lvl>
    <w:lvl w:ilvl="6" w:tplc="CC9C1D3E">
      <w:numFmt w:val="bullet"/>
      <w:lvlText w:val="•"/>
      <w:lvlJc w:val="left"/>
      <w:pPr>
        <w:ind w:left="4960" w:hanging="358"/>
      </w:pPr>
      <w:rPr>
        <w:rFonts w:hint="default"/>
        <w:lang w:val="en-US" w:eastAsia="en-US" w:bidi="ar-SA"/>
      </w:rPr>
    </w:lvl>
    <w:lvl w:ilvl="7" w:tplc="57E2FB02">
      <w:numFmt w:val="bullet"/>
      <w:lvlText w:val="•"/>
      <w:lvlJc w:val="left"/>
      <w:pPr>
        <w:ind w:left="5710" w:hanging="358"/>
      </w:pPr>
      <w:rPr>
        <w:rFonts w:hint="default"/>
        <w:lang w:val="en-US" w:eastAsia="en-US" w:bidi="ar-SA"/>
      </w:rPr>
    </w:lvl>
    <w:lvl w:ilvl="8" w:tplc="10C25D38">
      <w:numFmt w:val="bullet"/>
      <w:lvlText w:val="•"/>
      <w:lvlJc w:val="left"/>
      <w:pPr>
        <w:ind w:left="6460" w:hanging="358"/>
      </w:pPr>
      <w:rPr>
        <w:rFonts w:hint="default"/>
        <w:lang w:val="en-US" w:eastAsia="en-US" w:bidi="ar-SA"/>
      </w:rPr>
    </w:lvl>
  </w:abstractNum>
  <w:abstractNum w:abstractNumId="13" w15:restartNumberingAfterBreak="0">
    <w:nsid w:val="56402485"/>
    <w:multiLevelType w:val="hybridMultilevel"/>
    <w:tmpl w:val="70A04D2C"/>
    <w:lvl w:ilvl="0" w:tplc="ED28CA6C">
      <w:numFmt w:val="bullet"/>
      <w:lvlText w:val=""/>
      <w:lvlJc w:val="left"/>
      <w:pPr>
        <w:ind w:left="464" w:hanging="358"/>
      </w:pPr>
      <w:rPr>
        <w:rFonts w:ascii="Symbol" w:eastAsia="Symbol" w:hAnsi="Symbol" w:cs="Symbol" w:hint="default"/>
        <w:w w:val="99"/>
        <w:sz w:val="20"/>
        <w:szCs w:val="20"/>
        <w:lang w:val="en-US" w:eastAsia="en-US" w:bidi="ar-SA"/>
      </w:rPr>
    </w:lvl>
    <w:lvl w:ilvl="1" w:tplc="16643AEE">
      <w:numFmt w:val="bullet"/>
      <w:lvlText w:val="•"/>
      <w:lvlJc w:val="left"/>
      <w:pPr>
        <w:ind w:left="1218" w:hanging="358"/>
      </w:pPr>
      <w:rPr>
        <w:rFonts w:hint="default"/>
        <w:lang w:val="en-US" w:eastAsia="en-US" w:bidi="ar-SA"/>
      </w:rPr>
    </w:lvl>
    <w:lvl w:ilvl="2" w:tplc="1B38BCB8">
      <w:numFmt w:val="bullet"/>
      <w:lvlText w:val="•"/>
      <w:lvlJc w:val="left"/>
      <w:pPr>
        <w:ind w:left="1977" w:hanging="358"/>
      </w:pPr>
      <w:rPr>
        <w:rFonts w:hint="default"/>
        <w:lang w:val="en-US" w:eastAsia="en-US" w:bidi="ar-SA"/>
      </w:rPr>
    </w:lvl>
    <w:lvl w:ilvl="3" w:tplc="5AC0D6C6">
      <w:numFmt w:val="bullet"/>
      <w:lvlText w:val="•"/>
      <w:lvlJc w:val="left"/>
      <w:pPr>
        <w:ind w:left="2736" w:hanging="358"/>
      </w:pPr>
      <w:rPr>
        <w:rFonts w:hint="default"/>
        <w:lang w:val="en-US" w:eastAsia="en-US" w:bidi="ar-SA"/>
      </w:rPr>
    </w:lvl>
    <w:lvl w:ilvl="4" w:tplc="E6EA6550">
      <w:numFmt w:val="bullet"/>
      <w:lvlText w:val="•"/>
      <w:lvlJc w:val="left"/>
      <w:pPr>
        <w:ind w:left="3495" w:hanging="358"/>
      </w:pPr>
      <w:rPr>
        <w:rFonts w:hint="default"/>
        <w:lang w:val="en-US" w:eastAsia="en-US" w:bidi="ar-SA"/>
      </w:rPr>
    </w:lvl>
    <w:lvl w:ilvl="5" w:tplc="3D704908">
      <w:numFmt w:val="bullet"/>
      <w:lvlText w:val="•"/>
      <w:lvlJc w:val="left"/>
      <w:pPr>
        <w:ind w:left="4254" w:hanging="358"/>
      </w:pPr>
      <w:rPr>
        <w:rFonts w:hint="default"/>
        <w:lang w:val="en-US" w:eastAsia="en-US" w:bidi="ar-SA"/>
      </w:rPr>
    </w:lvl>
    <w:lvl w:ilvl="6" w:tplc="2124CFFC">
      <w:numFmt w:val="bullet"/>
      <w:lvlText w:val="•"/>
      <w:lvlJc w:val="left"/>
      <w:pPr>
        <w:ind w:left="5012" w:hanging="358"/>
      </w:pPr>
      <w:rPr>
        <w:rFonts w:hint="default"/>
        <w:lang w:val="en-US" w:eastAsia="en-US" w:bidi="ar-SA"/>
      </w:rPr>
    </w:lvl>
    <w:lvl w:ilvl="7" w:tplc="8A18321E">
      <w:numFmt w:val="bullet"/>
      <w:lvlText w:val="•"/>
      <w:lvlJc w:val="left"/>
      <w:pPr>
        <w:ind w:left="5771" w:hanging="358"/>
      </w:pPr>
      <w:rPr>
        <w:rFonts w:hint="default"/>
        <w:lang w:val="en-US" w:eastAsia="en-US" w:bidi="ar-SA"/>
      </w:rPr>
    </w:lvl>
    <w:lvl w:ilvl="8" w:tplc="199CC2D2">
      <w:numFmt w:val="bullet"/>
      <w:lvlText w:val="•"/>
      <w:lvlJc w:val="left"/>
      <w:pPr>
        <w:ind w:left="6530" w:hanging="358"/>
      </w:pPr>
      <w:rPr>
        <w:rFonts w:hint="default"/>
        <w:lang w:val="en-US" w:eastAsia="en-US" w:bidi="ar-SA"/>
      </w:rPr>
    </w:lvl>
  </w:abstractNum>
  <w:abstractNum w:abstractNumId="14" w15:restartNumberingAfterBreak="0">
    <w:nsid w:val="5C1B421E"/>
    <w:multiLevelType w:val="hybridMultilevel"/>
    <w:tmpl w:val="6EF646AE"/>
    <w:lvl w:ilvl="0" w:tplc="E3FE0EA6">
      <w:numFmt w:val="bullet"/>
      <w:lvlText w:val=""/>
      <w:lvlJc w:val="left"/>
      <w:pPr>
        <w:ind w:left="464" w:hanging="358"/>
      </w:pPr>
      <w:rPr>
        <w:rFonts w:ascii="Symbol" w:eastAsia="Symbol" w:hAnsi="Symbol" w:cs="Symbol" w:hint="default"/>
        <w:w w:val="99"/>
        <w:sz w:val="20"/>
        <w:szCs w:val="20"/>
        <w:lang w:val="en-US" w:eastAsia="en-US" w:bidi="ar-SA"/>
      </w:rPr>
    </w:lvl>
    <w:lvl w:ilvl="1" w:tplc="57EEA058">
      <w:numFmt w:val="bullet"/>
      <w:lvlText w:val="•"/>
      <w:lvlJc w:val="left"/>
      <w:pPr>
        <w:ind w:left="1218" w:hanging="358"/>
      </w:pPr>
      <w:rPr>
        <w:rFonts w:hint="default"/>
        <w:lang w:val="en-US" w:eastAsia="en-US" w:bidi="ar-SA"/>
      </w:rPr>
    </w:lvl>
    <w:lvl w:ilvl="2" w:tplc="C0CAA942">
      <w:numFmt w:val="bullet"/>
      <w:lvlText w:val="•"/>
      <w:lvlJc w:val="left"/>
      <w:pPr>
        <w:ind w:left="1977" w:hanging="358"/>
      </w:pPr>
      <w:rPr>
        <w:rFonts w:hint="default"/>
        <w:lang w:val="en-US" w:eastAsia="en-US" w:bidi="ar-SA"/>
      </w:rPr>
    </w:lvl>
    <w:lvl w:ilvl="3" w:tplc="BD6A17F0">
      <w:numFmt w:val="bullet"/>
      <w:lvlText w:val="•"/>
      <w:lvlJc w:val="left"/>
      <w:pPr>
        <w:ind w:left="2736" w:hanging="358"/>
      </w:pPr>
      <w:rPr>
        <w:rFonts w:hint="default"/>
        <w:lang w:val="en-US" w:eastAsia="en-US" w:bidi="ar-SA"/>
      </w:rPr>
    </w:lvl>
    <w:lvl w:ilvl="4" w:tplc="D17C1F2E">
      <w:numFmt w:val="bullet"/>
      <w:lvlText w:val="•"/>
      <w:lvlJc w:val="left"/>
      <w:pPr>
        <w:ind w:left="3495" w:hanging="358"/>
      </w:pPr>
      <w:rPr>
        <w:rFonts w:hint="default"/>
        <w:lang w:val="en-US" w:eastAsia="en-US" w:bidi="ar-SA"/>
      </w:rPr>
    </w:lvl>
    <w:lvl w:ilvl="5" w:tplc="6CC42F4C">
      <w:numFmt w:val="bullet"/>
      <w:lvlText w:val="•"/>
      <w:lvlJc w:val="left"/>
      <w:pPr>
        <w:ind w:left="4254" w:hanging="358"/>
      </w:pPr>
      <w:rPr>
        <w:rFonts w:hint="default"/>
        <w:lang w:val="en-US" w:eastAsia="en-US" w:bidi="ar-SA"/>
      </w:rPr>
    </w:lvl>
    <w:lvl w:ilvl="6" w:tplc="CEB813CA">
      <w:numFmt w:val="bullet"/>
      <w:lvlText w:val="•"/>
      <w:lvlJc w:val="left"/>
      <w:pPr>
        <w:ind w:left="5012" w:hanging="358"/>
      </w:pPr>
      <w:rPr>
        <w:rFonts w:hint="default"/>
        <w:lang w:val="en-US" w:eastAsia="en-US" w:bidi="ar-SA"/>
      </w:rPr>
    </w:lvl>
    <w:lvl w:ilvl="7" w:tplc="AD6A303A">
      <w:numFmt w:val="bullet"/>
      <w:lvlText w:val="•"/>
      <w:lvlJc w:val="left"/>
      <w:pPr>
        <w:ind w:left="5771" w:hanging="358"/>
      </w:pPr>
      <w:rPr>
        <w:rFonts w:hint="default"/>
        <w:lang w:val="en-US" w:eastAsia="en-US" w:bidi="ar-SA"/>
      </w:rPr>
    </w:lvl>
    <w:lvl w:ilvl="8" w:tplc="B1EE94A4">
      <w:numFmt w:val="bullet"/>
      <w:lvlText w:val="•"/>
      <w:lvlJc w:val="left"/>
      <w:pPr>
        <w:ind w:left="6530" w:hanging="358"/>
      </w:pPr>
      <w:rPr>
        <w:rFonts w:hint="default"/>
        <w:lang w:val="en-US" w:eastAsia="en-US" w:bidi="ar-SA"/>
      </w:rPr>
    </w:lvl>
  </w:abstractNum>
  <w:abstractNum w:abstractNumId="15" w15:restartNumberingAfterBreak="0">
    <w:nsid w:val="5C9F0566"/>
    <w:multiLevelType w:val="hybridMultilevel"/>
    <w:tmpl w:val="B7B2A62A"/>
    <w:lvl w:ilvl="0" w:tplc="473C37DE">
      <w:numFmt w:val="bullet"/>
      <w:lvlText w:val=""/>
      <w:lvlJc w:val="left"/>
      <w:pPr>
        <w:ind w:left="464" w:hanging="358"/>
      </w:pPr>
      <w:rPr>
        <w:rFonts w:ascii="Symbol" w:eastAsia="Symbol" w:hAnsi="Symbol" w:cs="Symbol" w:hint="default"/>
        <w:w w:val="99"/>
        <w:sz w:val="20"/>
        <w:szCs w:val="20"/>
        <w:lang w:val="en-US" w:eastAsia="en-US" w:bidi="ar-SA"/>
      </w:rPr>
    </w:lvl>
    <w:lvl w:ilvl="1" w:tplc="9522D504">
      <w:numFmt w:val="bullet"/>
      <w:lvlText w:val="•"/>
      <w:lvlJc w:val="left"/>
      <w:pPr>
        <w:ind w:left="1218" w:hanging="358"/>
      </w:pPr>
      <w:rPr>
        <w:rFonts w:hint="default"/>
        <w:lang w:val="en-US" w:eastAsia="en-US" w:bidi="ar-SA"/>
      </w:rPr>
    </w:lvl>
    <w:lvl w:ilvl="2" w:tplc="A400264A">
      <w:numFmt w:val="bullet"/>
      <w:lvlText w:val="•"/>
      <w:lvlJc w:val="left"/>
      <w:pPr>
        <w:ind w:left="1977" w:hanging="358"/>
      </w:pPr>
      <w:rPr>
        <w:rFonts w:hint="default"/>
        <w:lang w:val="en-US" w:eastAsia="en-US" w:bidi="ar-SA"/>
      </w:rPr>
    </w:lvl>
    <w:lvl w:ilvl="3" w:tplc="550038B4">
      <w:numFmt w:val="bullet"/>
      <w:lvlText w:val="•"/>
      <w:lvlJc w:val="left"/>
      <w:pPr>
        <w:ind w:left="2736" w:hanging="358"/>
      </w:pPr>
      <w:rPr>
        <w:rFonts w:hint="default"/>
        <w:lang w:val="en-US" w:eastAsia="en-US" w:bidi="ar-SA"/>
      </w:rPr>
    </w:lvl>
    <w:lvl w:ilvl="4" w:tplc="B6B86706">
      <w:numFmt w:val="bullet"/>
      <w:lvlText w:val="•"/>
      <w:lvlJc w:val="left"/>
      <w:pPr>
        <w:ind w:left="3495" w:hanging="358"/>
      </w:pPr>
      <w:rPr>
        <w:rFonts w:hint="default"/>
        <w:lang w:val="en-US" w:eastAsia="en-US" w:bidi="ar-SA"/>
      </w:rPr>
    </w:lvl>
    <w:lvl w:ilvl="5" w:tplc="C7B63FC0">
      <w:numFmt w:val="bullet"/>
      <w:lvlText w:val="•"/>
      <w:lvlJc w:val="left"/>
      <w:pPr>
        <w:ind w:left="4254" w:hanging="358"/>
      </w:pPr>
      <w:rPr>
        <w:rFonts w:hint="default"/>
        <w:lang w:val="en-US" w:eastAsia="en-US" w:bidi="ar-SA"/>
      </w:rPr>
    </w:lvl>
    <w:lvl w:ilvl="6" w:tplc="349E1FEE">
      <w:numFmt w:val="bullet"/>
      <w:lvlText w:val="•"/>
      <w:lvlJc w:val="left"/>
      <w:pPr>
        <w:ind w:left="5012" w:hanging="358"/>
      </w:pPr>
      <w:rPr>
        <w:rFonts w:hint="default"/>
        <w:lang w:val="en-US" w:eastAsia="en-US" w:bidi="ar-SA"/>
      </w:rPr>
    </w:lvl>
    <w:lvl w:ilvl="7" w:tplc="685E7F92">
      <w:numFmt w:val="bullet"/>
      <w:lvlText w:val="•"/>
      <w:lvlJc w:val="left"/>
      <w:pPr>
        <w:ind w:left="5771" w:hanging="358"/>
      </w:pPr>
      <w:rPr>
        <w:rFonts w:hint="default"/>
        <w:lang w:val="en-US" w:eastAsia="en-US" w:bidi="ar-SA"/>
      </w:rPr>
    </w:lvl>
    <w:lvl w:ilvl="8" w:tplc="A24E0540">
      <w:numFmt w:val="bullet"/>
      <w:lvlText w:val="•"/>
      <w:lvlJc w:val="left"/>
      <w:pPr>
        <w:ind w:left="6530" w:hanging="358"/>
      </w:pPr>
      <w:rPr>
        <w:rFonts w:hint="default"/>
        <w:lang w:val="en-US" w:eastAsia="en-US" w:bidi="ar-SA"/>
      </w:rPr>
    </w:lvl>
  </w:abstractNum>
  <w:abstractNum w:abstractNumId="16" w15:restartNumberingAfterBreak="0">
    <w:nsid w:val="5D0546F7"/>
    <w:multiLevelType w:val="hybridMultilevel"/>
    <w:tmpl w:val="6C92871E"/>
    <w:lvl w:ilvl="0" w:tplc="28F8316E">
      <w:numFmt w:val="bullet"/>
      <w:lvlText w:val=""/>
      <w:lvlJc w:val="left"/>
      <w:pPr>
        <w:ind w:left="464" w:hanging="358"/>
      </w:pPr>
      <w:rPr>
        <w:rFonts w:ascii="Symbol" w:eastAsia="Symbol" w:hAnsi="Symbol" w:cs="Symbol" w:hint="default"/>
        <w:w w:val="99"/>
        <w:sz w:val="20"/>
        <w:szCs w:val="20"/>
        <w:lang w:val="en-US" w:eastAsia="en-US" w:bidi="ar-SA"/>
      </w:rPr>
    </w:lvl>
    <w:lvl w:ilvl="1" w:tplc="C1987178">
      <w:numFmt w:val="bullet"/>
      <w:lvlText w:val="•"/>
      <w:lvlJc w:val="left"/>
      <w:pPr>
        <w:ind w:left="1218" w:hanging="358"/>
      </w:pPr>
      <w:rPr>
        <w:rFonts w:hint="default"/>
        <w:lang w:val="en-US" w:eastAsia="en-US" w:bidi="ar-SA"/>
      </w:rPr>
    </w:lvl>
    <w:lvl w:ilvl="2" w:tplc="9AD8EB3A">
      <w:numFmt w:val="bullet"/>
      <w:lvlText w:val="•"/>
      <w:lvlJc w:val="left"/>
      <w:pPr>
        <w:ind w:left="1977" w:hanging="358"/>
      </w:pPr>
      <w:rPr>
        <w:rFonts w:hint="default"/>
        <w:lang w:val="en-US" w:eastAsia="en-US" w:bidi="ar-SA"/>
      </w:rPr>
    </w:lvl>
    <w:lvl w:ilvl="3" w:tplc="9B3A8108">
      <w:numFmt w:val="bullet"/>
      <w:lvlText w:val="•"/>
      <w:lvlJc w:val="left"/>
      <w:pPr>
        <w:ind w:left="2736" w:hanging="358"/>
      </w:pPr>
      <w:rPr>
        <w:rFonts w:hint="default"/>
        <w:lang w:val="en-US" w:eastAsia="en-US" w:bidi="ar-SA"/>
      </w:rPr>
    </w:lvl>
    <w:lvl w:ilvl="4" w:tplc="775EAEC8">
      <w:numFmt w:val="bullet"/>
      <w:lvlText w:val="•"/>
      <w:lvlJc w:val="left"/>
      <w:pPr>
        <w:ind w:left="3495" w:hanging="358"/>
      </w:pPr>
      <w:rPr>
        <w:rFonts w:hint="default"/>
        <w:lang w:val="en-US" w:eastAsia="en-US" w:bidi="ar-SA"/>
      </w:rPr>
    </w:lvl>
    <w:lvl w:ilvl="5" w:tplc="B23EA418">
      <w:numFmt w:val="bullet"/>
      <w:lvlText w:val="•"/>
      <w:lvlJc w:val="left"/>
      <w:pPr>
        <w:ind w:left="4254" w:hanging="358"/>
      </w:pPr>
      <w:rPr>
        <w:rFonts w:hint="default"/>
        <w:lang w:val="en-US" w:eastAsia="en-US" w:bidi="ar-SA"/>
      </w:rPr>
    </w:lvl>
    <w:lvl w:ilvl="6" w:tplc="C922C94A">
      <w:numFmt w:val="bullet"/>
      <w:lvlText w:val="•"/>
      <w:lvlJc w:val="left"/>
      <w:pPr>
        <w:ind w:left="5012" w:hanging="358"/>
      </w:pPr>
      <w:rPr>
        <w:rFonts w:hint="default"/>
        <w:lang w:val="en-US" w:eastAsia="en-US" w:bidi="ar-SA"/>
      </w:rPr>
    </w:lvl>
    <w:lvl w:ilvl="7" w:tplc="9B0A7A44">
      <w:numFmt w:val="bullet"/>
      <w:lvlText w:val="•"/>
      <w:lvlJc w:val="left"/>
      <w:pPr>
        <w:ind w:left="5771" w:hanging="358"/>
      </w:pPr>
      <w:rPr>
        <w:rFonts w:hint="default"/>
        <w:lang w:val="en-US" w:eastAsia="en-US" w:bidi="ar-SA"/>
      </w:rPr>
    </w:lvl>
    <w:lvl w:ilvl="8" w:tplc="E3E4395C">
      <w:numFmt w:val="bullet"/>
      <w:lvlText w:val="•"/>
      <w:lvlJc w:val="left"/>
      <w:pPr>
        <w:ind w:left="6530" w:hanging="358"/>
      </w:pPr>
      <w:rPr>
        <w:rFonts w:hint="default"/>
        <w:lang w:val="en-US" w:eastAsia="en-US" w:bidi="ar-SA"/>
      </w:rPr>
    </w:lvl>
  </w:abstractNum>
  <w:abstractNum w:abstractNumId="17" w15:restartNumberingAfterBreak="0">
    <w:nsid w:val="5D322145"/>
    <w:multiLevelType w:val="hybridMultilevel"/>
    <w:tmpl w:val="F4EA4CD0"/>
    <w:lvl w:ilvl="0" w:tplc="222654B2">
      <w:numFmt w:val="bullet"/>
      <w:lvlText w:val=""/>
      <w:lvlJc w:val="left"/>
      <w:pPr>
        <w:ind w:left="464" w:hanging="358"/>
      </w:pPr>
      <w:rPr>
        <w:rFonts w:ascii="Symbol" w:eastAsia="Symbol" w:hAnsi="Symbol" w:cs="Symbol" w:hint="default"/>
        <w:w w:val="99"/>
        <w:sz w:val="20"/>
        <w:szCs w:val="20"/>
        <w:lang w:val="en-US" w:eastAsia="en-US" w:bidi="ar-SA"/>
      </w:rPr>
    </w:lvl>
    <w:lvl w:ilvl="1" w:tplc="B6B280F4">
      <w:numFmt w:val="bullet"/>
      <w:lvlText w:val="•"/>
      <w:lvlJc w:val="left"/>
      <w:pPr>
        <w:ind w:left="1210" w:hanging="358"/>
      </w:pPr>
      <w:rPr>
        <w:rFonts w:hint="default"/>
        <w:lang w:val="en-US" w:eastAsia="en-US" w:bidi="ar-SA"/>
      </w:rPr>
    </w:lvl>
    <w:lvl w:ilvl="2" w:tplc="98E892EA">
      <w:numFmt w:val="bullet"/>
      <w:lvlText w:val="•"/>
      <w:lvlJc w:val="left"/>
      <w:pPr>
        <w:ind w:left="1960" w:hanging="358"/>
      </w:pPr>
      <w:rPr>
        <w:rFonts w:hint="default"/>
        <w:lang w:val="en-US" w:eastAsia="en-US" w:bidi="ar-SA"/>
      </w:rPr>
    </w:lvl>
    <w:lvl w:ilvl="3" w:tplc="960A8372">
      <w:numFmt w:val="bullet"/>
      <w:lvlText w:val="•"/>
      <w:lvlJc w:val="left"/>
      <w:pPr>
        <w:ind w:left="2710" w:hanging="358"/>
      </w:pPr>
      <w:rPr>
        <w:rFonts w:hint="default"/>
        <w:lang w:val="en-US" w:eastAsia="en-US" w:bidi="ar-SA"/>
      </w:rPr>
    </w:lvl>
    <w:lvl w:ilvl="4" w:tplc="24B82366">
      <w:numFmt w:val="bullet"/>
      <w:lvlText w:val="•"/>
      <w:lvlJc w:val="left"/>
      <w:pPr>
        <w:ind w:left="3460" w:hanging="358"/>
      </w:pPr>
      <w:rPr>
        <w:rFonts w:hint="default"/>
        <w:lang w:val="en-US" w:eastAsia="en-US" w:bidi="ar-SA"/>
      </w:rPr>
    </w:lvl>
    <w:lvl w:ilvl="5" w:tplc="4502EA5A">
      <w:numFmt w:val="bullet"/>
      <w:lvlText w:val="•"/>
      <w:lvlJc w:val="left"/>
      <w:pPr>
        <w:ind w:left="4210" w:hanging="358"/>
      </w:pPr>
      <w:rPr>
        <w:rFonts w:hint="default"/>
        <w:lang w:val="en-US" w:eastAsia="en-US" w:bidi="ar-SA"/>
      </w:rPr>
    </w:lvl>
    <w:lvl w:ilvl="6" w:tplc="2BA60EDC">
      <w:numFmt w:val="bullet"/>
      <w:lvlText w:val="•"/>
      <w:lvlJc w:val="left"/>
      <w:pPr>
        <w:ind w:left="4960" w:hanging="358"/>
      </w:pPr>
      <w:rPr>
        <w:rFonts w:hint="default"/>
        <w:lang w:val="en-US" w:eastAsia="en-US" w:bidi="ar-SA"/>
      </w:rPr>
    </w:lvl>
    <w:lvl w:ilvl="7" w:tplc="802C9050">
      <w:numFmt w:val="bullet"/>
      <w:lvlText w:val="•"/>
      <w:lvlJc w:val="left"/>
      <w:pPr>
        <w:ind w:left="5710" w:hanging="358"/>
      </w:pPr>
      <w:rPr>
        <w:rFonts w:hint="default"/>
        <w:lang w:val="en-US" w:eastAsia="en-US" w:bidi="ar-SA"/>
      </w:rPr>
    </w:lvl>
    <w:lvl w:ilvl="8" w:tplc="FAD69910">
      <w:numFmt w:val="bullet"/>
      <w:lvlText w:val="•"/>
      <w:lvlJc w:val="left"/>
      <w:pPr>
        <w:ind w:left="6460" w:hanging="358"/>
      </w:pPr>
      <w:rPr>
        <w:rFonts w:hint="default"/>
        <w:lang w:val="en-US" w:eastAsia="en-US" w:bidi="ar-SA"/>
      </w:rPr>
    </w:lvl>
  </w:abstractNum>
  <w:abstractNum w:abstractNumId="18" w15:restartNumberingAfterBreak="0">
    <w:nsid w:val="6D6178F7"/>
    <w:multiLevelType w:val="hybridMultilevel"/>
    <w:tmpl w:val="DEA04C50"/>
    <w:lvl w:ilvl="0" w:tplc="EA345646">
      <w:numFmt w:val="bullet"/>
      <w:lvlText w:val=""/>
      <w:lvlJc w:val="left"/>
      <w:pPr>
        <w:ind w:left="464" w:hanging="358"/>
      </w:pPr>
      <w:rPr>
        <w:rFonts w:ascii="Symbol" w:eastAsia="Symbol" w:hAnsi="Symbol" w:cs="Symbol" w:hint="default"/>
        <w:w w:val="99"/>
        <w:sz w:val="20"/>
        <w:szCs w:val="20"/>
        <w:lang w:val="en-US" w:eastAsia="en-US" w:bidi="ar-SA"/>
      </w:rPr>
    </w:lvl>
    <w:lvl w:ilvl="1" w:tplc="43961D44">
      <w:numFmt w:val="bullet"/>
      <w:lvlText w:val="•"/>
      <w:lvlJc w:val="left"/>
      <w:pPr>
        <w:ind w:left="1218" w:hanging="358"/>
      </w:pPr>
      <w:rPr>
        <w:rFonts w:hint="default"/>
        <w:lang w:val="en-US" w:eastAsia="en-US" w:bidi="ar-SA"/>
      </w:rPr>
    </w:lvl>
    <w:lvl w:ilvl="2" w:tplc="15E44C58">
      <w:numFmt w:val="bullet"/>
      <w:lvlText w:val="•"/>
      <w:lvlJc w:val="left"/>
      <w:pPr>
        <w:ind w:left="1977" w:hanging="358"/>
      </w:pPr>
      <w:rPr>
        <w:rFonts w:hint="default"/>
        <w:lang w:val="en-US" w:eastAsia="en-US" w:bidi="ar-SA"/>
      </w:rPr>
    </w:lvl>
    <w:lvl w:ilvl="3" w:tplc="4BD80B06">
      <w:numFmt w:val="bullet"/>
      <w:lvlText w:val="•"/>
      <w:lvlJc w:val="left"/>
      <w:pPr>
        <w:ind w:left="2736" w:hanging="358"/>
      </w:pPr>
      <w:rPr>
        <w:rFonts w:hint="default"/>
        <w:lang w:val="en-US" w:eastAsia="en-US" w:bidi="ar-SA"/>
      </w:rPr>
    </w:lvl>
    <w:lvl w:ilvl="4" w:tplc="5802B4E6">
      <w:numFmt w:val="bullet"/>
      <w:lvlText w:val="•"/>
      <w:lvlJc w:val="left"/>
      <w:pPr>
        <w:ind w:left="3495" w:hanging="358"/>
      </w:pPr>
      <w:rPr>
        <w:rFonts w:hint="default"/>
        <w:lang w:val="en-US" w:eastAsia="en-US" w:bidi="ar-SA"/>
      </w:rPr>
    </w:lvl>
    <w:lvl w:ilvl="5" w:tplc="564E7A62">
      <w:numFmt w:val="bullet"/>
      <w:lvlText w:val="•"/>
      <w:lvlJc w:val="left"/>
      <w:pPr>
        <w:ind w:left="4254" w:hanging="358"/>
      </w:pPr>
      <w:rPr>
        <w:rFonts w:hint="default"/>
        <w:lang w:val="en-US" w:eastAsia="en-US" w:bidi="ar-SA"/>
      </w:rPr>
    </w:lvl>
    <w:lvl w:ilvl="6" w:tplc="799238C2">
      <w:numFmt w:val="bullet"/>
      <w:lvlText w:val="•"/>
      <w:lvlJc w:val="left"/>
      <w:pPr>
        <w:ind w:left="5012" w:hanging="358"/>
      </w:pPr>
      <w:rPr>
        <w:rFonts w:hint="default"/>
        <w:lang w:val="en-US" w:eastAsia="en-US" w:bidi="ar-SA"/>
      </w:rPr>
    </w:lvl>
    <w:lvl w:ilvl="7" w:tplc="ECB800E6">
      <w:numFmt w:val="bullet"/>
      <w:lvlText w:val="•"/>
      <w:lvlJc w:val="left"/>
      <w:pPr>
        <w:ind w:left="5771" w:hanging="358"/>
      </w:pPr>
      <w:rPr>
        <w:rFonts w:hint="default"/>
        <w:lang w:val="en-US" w:eastAsia="en-US" w:bidi="ar-SA"/>
      </w:rPr>
    </w:lvl>
    <w:lvl w:ilvl="8" w:tplc="C2AE1986">
      <w:numFmt w:val="bullet"/>
      <w:lvlText w:val="•"/>
      <w:lvlJc w:val="left"/>
      <w:pPr>
        <w:ind w:left="6530" w:hanging="358"/>
      </w:pPr>
      <w:rPr>
        <w:rFonts w:hint="default"/>
        <w:lang w:val="en-US" w:eastAsia="en-US" w:bidi="ar-SA"/>
      </w:rPr>
    </w:lvl>
  </w:abstractNum>
  <w:abstractNum w:abstractNumId="19" w15:restartNumberingAfterBreak="0">
    <w:nsid w:val="73320EA1"/>
    <w:multiLevelType w:val="hybridMultilevel"/>
    <w:tmpl w:val="BDC233B2"/>
    <w:lvl w:ilvl="0" w:tplc="AB16D47E">
      <w:numFmt w:val="bullet"/>
      <w:lvlText w:val=""/>
      <w:lvlJc w:val="left"/>
      <w:pPr>
        <w:ind w:left="464" w:hanging="358"/>
      </w:pPr>
      <w:rPr>
        <w:rFonts w:ascii="Symbol" w:eastAsia="Symbol" w:hAnsi="Symbol" w:cs="Symbol" w:hint="default"/>
        <w:w w:val="99"/>
        <w:sz w:val="20"/>
        <w:szCs w:val="20"/>
        <w:lang w:val="en-US" w:eastAsia="en-US" w:bidi="ar-SA"/>
      </w:rPr>
    </w:lvl>
    <w:lvl w:ilvl="1" w:tplc="74D8EB72">
      <w:numFmt w:val="bullet"/>
      <w:lvlText w:val="•"/>
      <w:lvlJc w:val="left"/>
      <w:pPr>
        <w:ind w:left="1218" w:hanging="358"/>
      </w:pPr>
      <w:rPr>
        <w:rFonts w:hint="default"/>
        <w:lang w:val="en-US" w:eastAsia="en-US" w:bidi="ar-SA"/>
      </w:rPr>
    </w:lvl>
    <w:lvl w:ilvl="2" w:tplc="10D40504">
      <w:numFmt w:val="bullet"/>
      <w:lvlText w:val="•"/>
      <w:lvlJc w:val="left"/>
      <w:pPr>
        <w:ind w:left="1977" w:hanging="358"/>
      </w:pPr>
      <w:rPr>
        <w:rFonts w:hint="default"/>
        <w:lang w:val="en-US" w:eastAsia="en-US" w:bidi="ar-SA"/>
      </w:rPr>
    </w:lvl>
    <w:lvl w:ilvl="3" w:tplc="E796080A">
      <w:numFmt w:val="bullet"/>
      <w:lvlText w:val="•"/>
      <w:lvlJc w:val="left"/>
      <w:pPr>
        <w:ind w:left="2736" w:hanging="358"/>
      </w:pPr>
      <w:rPr>
        <w:rFonts w:hint="default"/>
        <w:lang w:val="en-US" w:eastAsia="en-US" w:bidi="ar-SA"/>
      </w:rPr>
    </w:lvl>
    <w:lvl w:ilvl="4" w:tplc="DB04C0FC">
      <w:numFmt w:val="bullet"/>
      <w:lvlText w:val="•"/>
      <w:lvlJc w:val="left"/>
      <w:pPr>
        <w:ind w:left="3495" w:hanging="358"/>
      </w:pPr>
      <w:rPr>
        <w:rFonts w:hint="default"/>
        <w:lang w:val="en-US" w:eastAsia="en-US" w:bidi="ar-SA"/>
      </w:rPr>
    </w:lvl>
    <w:lvl w:ilvl="5" w:tplc="28385708">
      <w:numFmt w:val="bullet"/>
      <w:lvlText w:val="•"/>
      <w:lvlJc w:val="left"/>
      <w:pPr>
        <w:ind w:left="4254" w:hanging="358"/>
      </w:pPr>
      <w:rPr>
        <w:rFonts w:hint="default"/>
        <w:lang w:val="en-US" w:eastAsia="en-US" w:bidi="ar-SA"/>
      </w:rPr>
    </w:lvl>
    <w:lvl w:ilvl="6" w:tplc="4A725240">
      <w:numFmt w:val="bullet"/>
      <w:lvlText w:val="•"/>
      <w:lvlJc w:val="left"/>
      <w:pPr>
        <w:ind w:left="5012" w:hanging="358"/>
      </w:pPr>
      <w:rPr>
        <w:rFonts w:hint="default"/>
        <w:lang w:val="en-US" w:eastAsia="en-US" w:bidi="ar-SA"/>
      </w:rPr>
    </w:lvl>
    <w:lvl w:ilvl="7" w:tplc="BAD877D8">
      <w:numFmt w:val="bullet"/>
      <w:lvlText w:val="•"/>
      <w:lvlJc w:val="left"/>
      <w:pPr>
        <w:ind w:left="5771" w:hanging="358"/>
      </w:pPr>
      <w:rPr>
        <w:rFonts w:hint="default"/>
        <w:lang w:val="en-US" w:eastAsia="en-US" w:bidi="ar-SA"/>
      </w:rPr>
    </w:lvl>
    <w:lvl w:ilvl="8" w:tplc="FCA8711C">
      <w:numFmt w:val="bullet"/>
      <w:lvlText w:val="•"/>
      <w:lvlJc w:val="left"/>
      <w:pPr>
        <w:ind w:left="6530" w:hanging="358"/>
      </w:pPr>
      <w:rPr>
        <w:rFonts w:hint="default"/>
        <w:lang w:val="en-US" w:eastAsia="en-US" w:bidi="ar-SA"/>
      </w:rPr>
    </w:lvl>
  </w:abstractNum>
  <w:abstractNum w:abstractNumId="20" w15:restartNumberingAfterBreak="0">
    <w:nsid w:val="746A668E"/>
    <w:multiLevelType w:val="hybridMultilevel"/>
    <w:tmpl w:val="65388614"/>
    <w:lvl w:ilvl="0" w:tplc="534AA3F2">
      <w:numFmt w:val="bullet"/>
      <w:lvlText w:val=""/>
      <w:lvlJc w:val="left"/>
      <w:pPr>
        <w:ind w:left="464" w:hanging="358"/>
      </w:pPr>
      <w:rPr>
        <w:rFonts w:ascii="Symbol" w:eastAsia="Symbol" w:hAnsi="Symbol" w:cs="Symbol" w:hint="default"/>
        <w:w w:val="99"/>
        <w:sz w:val="20"/>
        <w:szCs w:val="20"/>
        <w:lang w:val="en-US" w:eastAsia="en-US" w:bidi="ar-SA"/>
      </w:rPr>
    </w:lvl>
    <w:lvl w:ilvl="1" w:tplc="0B285FBA">
      <w:numFmt w:val="bullet"/>
      <w:lvlText w:val="•"/>
      <w:lvlJc w:val="left"/>
      <w:pPr>
        <w:ind w:left="1218" w:hanging="358"/>
      </w:pPr>
      <w:rPr>
        <w:rFonts w:hint="default"/>
        <w:lang w:val="en-US" w:eastAsia="en-US" w:bidi="ar-SA"/>
      </w:rPr>
    </w:lvl>
    <w:lvl w:ilvl="2" w:tplc="EC0C4BFA">
      <w:numFmt w:val="bullet"/>
      <w:lvlText w:val="•"/>
      <w:lvlJc w:val="left"/>
      <w:pPr>
        <w:ind w:left="1977" w:hanging="358"/>
      </w:pPr>
      <w:rPr>
        <w:rFonts w:hint="default"/>
        <w:lang w:val="en-US" w:eastAsia="en-US" w:bidi="ar-SA"/>
      </w:rPr>
    </w:lvl>
    <w:lvl w:ilvl="3" w:tplc="0756D96C">
      <w:numFmt w:val="bullet"/>
      <w:lvlText w:val="•"/>
      <w:lvlJc w:val="left"/>
      <w:pPr>
        <w:ind w:left="2736" w:hanging="358"/>
      </w:pPr>
      <w:rPr>
        <w:rFonts w:hint="default"/>
        <w:lang w:val="en-US" w:eastAsia="en-US" w:bidi="ar-SA"/>
      </w:rPr>
    </w:lvl>
    <w:lvl w:ilvl="4" w:tplc="A5D431BE">
      <w:numFmt w:val="bullet"/>
      <w:lvlText w:val="•"/>
      <w:lvlJc w:val="left"/>
      <w:pPr>
        <w:ind w:left="3495" w:hanging="358"/>
      </w:pPr>
      <w:rPr>
        <w:rFonts w:hint="default"/>
        <w:lang w:val="en-US" w:eastAsia="en-US" w:bidi="ar-SA"/>
      </w:rPr>
    </w:lvl>
    <w:lvl w:ilvl="5" w:tplc="953C8CB8">
      <w:numFmt w:val="bullet"/>
      <w:lvlText w:val="•"/>
      <w:lvlJc w:val="left"/>
      <w:pPr>
        <w:ind w:left="4254" w:hanging="358"/>
      </w:pPr>
      <w:rPr>
        <w:rFonts w:hint="default"/>
        <w:lang w:val="en-US" w:eastAsia="en-US" w:bidi="ar-SA"/>
      </w:rPr>
    </w:lvl>
    <w:lvl w:ilvl="6" w:tplc="0F0EE7B8">
      <w:numFmt w:val="bullet"/>
      <w:lvlText w:val="•"/>
      <w:lvlJc w:val="left"/>
      <w:pPr>
        <w:ind w:left="5012" w:hanging="358"/>
      </w:pPr>
      <w:rPr>
        <w:rFonts w:hint="default"/>
        <w:lang w:val="en-US" w:eastAsia="en-US" w:bidi="ar-SA"/>
      </w:rPr>
    </w:lvl>
    <w:lvl w:ilvl="7" w:tplc="2146E7E8">
      <w:numFmt w:val="bullet"/>
      <w:lvlText w:val="•"/>
      <w:lvlJc w:val="left"/>
      <w:pPr>
        <w:ind w:left="5771" w:hanging="358"/>
      </w:pPr>
      <w:rPr>
        <w:rFonts w:hint="default"/>
        <w:lang w:val="en-US" w:eastAsia="en-US" w:bidi="ar-SA"/>
      </w:rPr>
    </w:lvl>
    <w:lvl w:ilvl="8" w:tplc="650277E0">
      <w:numFmt w:val="bullet"/>
      <w:lvlText w:val="•"/>
      <w:lvlJc w:val="left"/>
      <w:pPr>
        <w:ind w:left="6530" w:hanging="358"/>
      </w:pPr>
      <w:rPr>
        <w:rFonts w:hint="default"/>
        <w:lang w:val="en-US" w:eastAsia="en-US" w:bidi="ar-SA"/>
      </w:rPr>
    </w:lvl>
  </w:abstractNum>
  <w:num w:numId="1">
    <w:abstractNumId w:val="5"/>
  </w:num>
  <w:num w:numId="2">
    <w:abstractNumId w:val="16"/>
  </w:num>
  <w:num w:numId="3">
    <w:abstractNumId w:val="20"/>
  </w:num>
  <w:num w:numId="4">
    <w:abstractNumId w:val="4"/>
  </w:num>
  <w:num w:numId="5">
    <w:abstractNumId w:val="2"/>
  </w:num>
  <w:num w:numId="6">
    <w:abstractNumId w:val="18"/>
  </w:num>
  <w:num w:numId="7">
    <w:abstractNumId w:val="7"/>
  </w:num>
  <w:num w:numId="8">
    <w:abstractNumId w:val="14"/>
  </w:num>
  <w:num w:numId="9">
    <w:abstractNumId w:val="19"/>
  </w:num>
  <w:num w:numId="10">
    <w:abstractNumId w:val="13"/>
  </w:num>
  <w:num w:numId="11">
    <w:abstractNumId w:val="11"/>
  </w:num>
  <w:num w:numId="12">
    <w:abstractNumId w:val="1"/>
  </w:num>
  <w:num w:numId="13">
    <w:abstractNumId w:val="0"/>
  </w:num>
  <w:num w:numId="14">
    <w:abstractNumId w:val="15"/>
  </w:num>
  <w:num w:numId="15">
    <w:abstractNumId w:val="10"/>
  </w:num>
  <w:num w:numId="16">
    <w:abstractNumId w:val="6"/>
  </w:num>
  <w:num w:numId="17">
    <w:abstractNumId w:val="8"/>
  </w:num>
  <w:num w:numId="18">
    <w:abstractNumId w:val="3"/>
  </w:num>
  <w:num w:numId="19">
    <w:abstractNumId w:val="17"/>
  </w:num>
  <w:num w:numId="20">
    <w:abstractNumId w:val="12"/>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evenAndOddHeaders/>
  <w:drawingGridHorizontalSpacing w:val="110"/>
  <w:displayHorizontalDrawingGridEvery w:val="2"/>
  <w:characterSpacingControl w:val="doNotCompress"/>
  <w:hdrShapeDefaults>
    <o:shapedefaults v:ext="edit" spidmax="2061"/>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D69DB"/>
    <w:rsid w:val="0006786F"/>
    <w:rsid w:val="000F74AF"/>
    <w:rsid w:val="00151E09"/>
    <w:rsid w:val="00206F2B"/>
    <w:rsid w:val="00284B8A"/>
    <w:rsid w:val="00630866"/>
    <w:rsid w:val="0070791D"/>
    <w:rsid w:val="007B4DB4"/>
    <w:rsid w:val="00C10E7A"/>
    <w:rsid w:val="00ED69DB"/>
    <w:rsid w:val="00EE50BC"/>
    <w:rsid w:val="00F8692A"/>
    <w:rsid w:val="00F94C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008FBFF8"/>
  <w15:docId w15:val="{B1683CE6-251D-4ECB-8288-4C250624D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spacing w:before="82"/>
      <w:ind w:left="2013"/>
      <w:jc w:val="center"/>
      <w:outlineLvl w:val="1"/>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852" w:hanging="711"/>
      <w:jc w:val="both"/>
    </w:pPr>
  </w:style>
  <w:style w:type="paragraph" w:customStyle="1" w:styleId="TableParagraph">
    <w:name w:val="Table Paragraph"/>
    <w:basedOn w:val="Normal"/>
    <w:uiPriority w:val="1"/>
    <w:qFormat/>
    <w:pPr>
      <w:spacing w:before="118"/>
      <w:ind w:left="464" w:hanging="358"/>
      <w:jc w:val="both"/>
    </w:pPr>
  </w:style>
  <w:style w:type="paragraph" w:styleId="Header">
    <w:name w:val="header"/>
    <w:basedOn w:val="Normal"/>
    <w:link w:val="HeaderChar"/>
    <w:uiPriority w:val="99"/>
    <w:unhideWhenUsed/>
    <w:rsid w:val="00206F2B"/>
    <w:pPr>
      <w:tabs>
        <w:tab w:val="center" w:pos="4703"/>
        <w:tab w:val="right" w:pos="9406"/>
      </w:tabs>
    </w:pPr>
  </w:style>
  <w:style w:type="character" w:customStyle="1" w:styleId="HeaderChar">
    <w:name w:val="Header Char"/>
    <w:basedOn w:val="DefaultParagraphFont"/>
    <w:link w:val="Header"/>
    <w:uiPriority w:val="99"/>
    <w:rsid w:val="00206F2B"/>
    <w:rPr>
      <w:rFonts w:ascii="Arial" w:eastAsia="Arial" w:hAnsi="Arial" w:cs="Arial"/>
    </w:rPr>
  </w:style>
  <w:style w:type="paragraph" w:styleId="Footer">
    <w:name w:val="footer"/>
    <w:basedOn w:val="Normal"/>
    <w:link w:val="FooterChar"/>
    <w:uiPriority w:val="99"/>
    <w:unhideWhenUsed/>
    <w:rsid w:val="00206F2B"/>
    <w:pPr>
      <w:tabs>
        <w:tab w:val="center" w:pos="4703"/>
        <w:tab w:val="right" w:pos="9406"/>
      </w:tabs>
    </w:pPr>
  </w:style>
  <w:style w:type="character" w:customStyle="1" w:styleId="FooterChar">
    <w:name w:val="Footer Char"/>
    <w:basedOn w:val="DefaultParagraphFont"/>
    <w:link w:val="Footer"/>
    <w:uiPriority w:val="99"/>
    <w:rsid w:val="00206F2B"/>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c2649c6-0f6a-432e-8083-5d1192364e9a">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77F62E-C32C-43EF-B5D2-E05AD8607C03}"/>
</file>

<file path=customXml/itemProps2.xml><?xml version="1.0" encoding="utf-8"?>
<ds:datastoreItem xmlns:ds="http://schemas.openxmlformats.org/officeDocument/2006/customXml" ds:itemID="{57B19861-8D0F-4E43-BDDB-4355E52D435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EC3AB12-3F6C-4C75-B588-9265DEC7A2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11</Pages>
  <Words>4225</Words>
  <Characters>24085</Characters>
  <Application>Microsoft Office Word</Application>
  <DocSecurity>0</DocSecurity>
  <Lines>200</Lines>
  <Paragraphs>56</Paragraphs>
  <ScaleCrop>false</ScaleCrop>
  <Company/>
  <LinksUpToDate>false</LinksUpToDate>
  <CharactersWithSpaces>28254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Ivelina  Stoyanova</cp:lastModifiedBy>
  <cp:revision>11</cp:revision>
  <dcterms:created xsi:type="dcterms:W3CDTF">2022-01-19T09:02:00Z</dcterms:created>
  <dcterms:modified xsi:type="dcterms:W3CDTF">2022-01-31T09:47:00Z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