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2917D" w14:textId="77777777" w:rsidR="00A1228C" w:rsidRDefault="0009354E">
      <w:pPr>
        <w:pStyle w:val="BodyText"/>
        <w:rPr>
          <w:rFonts w:ascii="Times New Roman"/>
        </w:rPr>
      </w:pPr>
      <w:r>
        <w:pict w14:anchorId="2392925E">
          <v:group id="_x0000_s1030" style="position:absolute;margin-left:-.5pt;margin-top:35.8pt;width:595.6pt;height:567.95pt;z-index:-15885312;mso-position-horizontal-relative:page;mso-position-vertical-relative:page" coordorigin="-10,716" coordsize="11912,11359">
            <v:shape id="_x0000_s1037"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left:5242;top:5292;width:6660;height:6280">
              <v:imagedata r:id="rId10" o:title=""/>
            </v:shape>
            <v:shape id="_x0000_s1035" style="position:absolute;left:1204;top:11026;width:3651;height:396" coordorigin="1204,11026" coordsize="3651,396" path="m4855,11026r-3402,l1204,11422r3401,l4855,11026xe" fillcolor="#004674" stroked="f">
              <v:path arrowok="t"/>
            </v:shape>
            <v:shape id="_x0000_s1034"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1033" style="position:absolute;left:2109;top:1661;width:587;height:1546" coordorigin="2109,1661" coordsize="587,1546" path="m2696,1661r-587,945l2109,3207r587,-945l2696,1661xe" fillcolor="#6c6d70" stroked="f">
              <v:path arrowok="t"/>
            </v:shape>
            <v:shape id="_x0000_s1032" style="position:absolute;left:2720;top:716;width:587;height:1246" coordorigin="2720,716" coordsize="587,1246" path="m2720,716r,601l3120,1962r187,-301l2720,716xe" fillcolor="#8dc53e" stroked="f">
              <v:path arrowok="t"/>
            </v:shape>
            <v:shape id="_x0000_s1031" style="position:absolute;left:2720;top:1661;width:587;height:1546" coordorigin="2720,1661" coordsize="587,1546" path="m3307,1661r-587,945l2720,3207r587,-945l3307,1661xe" fillcolor="#6c6d70" stroked="f">
              <v:path arrowok="t"/>
            </v:shape>
            <w10:wrap anchorx="page" anchory="page"/>
          </v:group>
        </w:pict>
      </w:r>
    </w:p>
    <w:p w14:paraId="2392917E" w14:textId="77777777" w:rsidR="00A1228C" w:rsidRDefault="00A1228C">
      <w:pPr>
        <w:pStyle w:val="BodyText"/>
        <w:rPr>
          <w:rFonts w:ascii="Times New Roman"/>
        </w:rPr>
      </w:pPr>
    </w:p>
    <w:p w14:paraId="2392917F" w14:textId="77777777" w:rsidR="00A1228C" w:rsidRDefault="00A1228C">
      <w:pPr>
        <w:pStyle w:val="BodyText"/>
        <w:rPr>
          <w:rFonts w:ascii="Times New Roman"/>
        </w:rPr>
      </w:pPr>
    </w:p>
    <w:p w14:paraId="23929180" w14:textId="77777777" w:rsidR="00A1228C" w:rsidRDefault="00A1228C">
      <w:pPr>
        <w:pStyle w:val="BodyText"/>
        <w:rPr>
          <w:rFonts w:ascii="Times New Roman"/>
        </w:rPr>
      </w:pPr>
    </w:p>
    <w:p w14:paraId="23929181" w14:textId="77777777" w:rsidR="00A1228C" w:rsidRDefault="00A1228C">
      <w:pPr>
        <w:pStyle w:val="BodyText"/>
        <w:rPr>
          <w:rFonts w:ascii="Times New Roman"/>
        </w:rPr>
      </w:pPr>
    </w:p>
    <w:p w14:paraId="23929182" w14:textId="77777777" w:rsidR="00A1228C" w:rsidRDefault="00A1228C">
      <w:pPr>
        <w:pStyle w:val="BodyText"/>
        <w:rPr>
          <w:rFonts w:ascii="Times New Roman"/>
        </w:rPr>
      </w:pPr>
    </w:p>
    <w:p w14:paraId="23929183" w14:textId="77777777" w:rsidR="00A1228C" w:rsidRDefault="00A1228C">
      <w:pPr>
        <w:pStyle w:val="BodyText"/>
        <w:rPr>
          <w:rFonts w:ascii="Times New Roman"/>
        </w:rPr>
      </w:pPr>
    </w:p>
    <w:p w14:paraId="23929184" w14:textId="77777777" w:rsidR="00A1228C" w:rsidRDefault="00A1228C">
      <w:pPr>
        <w:pStyle w:val="BodyText"/>
        <w:rPr>
          <w:rFonts w:ascii="Times New Roman"/>
        </w:rPr>
      </w:pPr>
    </w:p>
    <w:p w14:paraId="23929185" w14:textId="77777777" w:rsidR="00A1228C" w:rsidRDefault="00A1228C">
      <w:pPr>
        <w:pStyle w:val="BodyText"/>
        <w:rPr>
          <w:rFonts w:ascii="Times New Roman"/>
        </w:rPr>
      </w:pPr>
    </w:p>
    <w:p w14:paraId="23929186" w14:textId="77777777" w:rsidR="00A1228C" w:rsidRDefault="00A1228C">
      <w:pPr>
        <w:pStyle w:val="BodyText"/>
        <w:rPr>
          <w:rFonts w:ascii="Times New Roman"/>
        </w:rPr>
      </w:pPr>
    </w:p>
    <w:p w14:paraId="23929187" w14:textId="77777777" w:rsidR="00A1228C" w:rsidRDefault="00A1228C">
      <w:pPr>
        <w:pStyle w:val="BodyText"/>
        <w:rPr>
          <w:rFonts w:ascii="Times New Roman"/>
        </w:rPr>
      </w:pPr>
    </w:p>
    <w:p w14:paraId="23929188" w14:textId="77777777" w:rsidR="00A1228C" w:rsidRDefault="0009354E" w:rsidP="00CD187C">
      <w:pPr>
        <w:pStyle w:val="Title"/>
        <w:spacing w:before="222"/>
        <w:ind w:left="284" w:right="2645" w:firstLine="142"/>
        <w:jc w:val="left"/>
      </w:pPr>
      <w:r>
        <w:rPr>
          <w:color w:val="57585B"/>
        </w:rPr>
        <w:t>Препоръка на Съвета относно</w:t>
      </w:r>
    </w:p>
    <w:p w14:paraId="23929189" w14:textId="77777777" w:rsidR="00A1228C" w:rsidRDefault="0009354E" w:rsidP="00CD187C">
      <w:pPr>
        <w:pStyle w:val="Title"/>
        <w:ind w:left="426" w:hanging="1986"/>
      </w:pPr>
      <w:r>
        <w:rPr>
          <w:color w:val="57585B"/>
        </w:rPr>
        <w:t>производителността на ресурсите</w:t>
      </w:r>
    </w:p>
    <w:p w14:paraId="2392918A" w14:textId="77777777" w:rsidR="00A1228C" w:rsidRDefault="00A1228C">
      <w:pPr>
        <w:pStyle w:val="BodyText"/>
      </w:pPr>
    </w:p>
    <w:p w14:paraId="2392918B" w14:textId="77777777" w:rsidR="00A1228C" w:rsidRDefault="00A1228C">
      <w:pPr>
        <w:pStyle w:val="BodyText"/>
      </w:pPr>
    </w:p>
    <w:p w14:paraId="2392918C" w14:textId="77777777" w:rsidR="00A1228C" w:rsidRDefault="00A1228C">
      <w:pPr>
        <w:pStyle w:val="BodyText"/>
      </w:pPr>
    </w:p>
    <w:p w14:paraId="2392918D" w14:textId="77777777" w:rsidR="00A1228C" w:rsidRDefault="00A1228C">
      <w:pPr>
        <w:pStyle w:val="BodyText"/>
      </w:pPr>
    </w:p>
    <w:p w14:paraId="2392918E" w14:textId="77777777" w:rsidR="00A1228C" w:rsidRDefault="00A1228C">
      <w:pPr>
        <w:pStyle w:val="BodyText"/>
      </w:pPr>
    </w:p>
    <w:p w14:paraId="2392918F" w14:textId="77777777" w:rsidR="00A1228C" w:rsidRDefault="00A1228C">
      <w:pPr>
        <w:pStyle w:val="BodyText"/>
      </w:pPr>
    </w:p>
    <w:p w14:paraId="23929190" w14:textId="77777777" w:rsidR="00A1228C" w:rsidRDefault="00A1228C">
      <w:pPr>
        <w:pStyle w:val="BodyText"/>
      </w:pPr>
    </w:p>
    <w:p w14:paraId="23929191" w14:textId="77777777" w:rsidR="00A1228C" w:rsidRDefault="00A1228C">
      <w:pPr>
        <w:pStyle w:val="BodyText"/>
      </w:pPr>
    </w:p>
    <w:p w14:paraId="23929192" w14:textId="77777777" w:rsidR="00A1228C" w:rsidRDefault="00A1228C">
      <w:pPr>
        <w:pStyle w:val="BodyText"/>
      </w:pPr>
    </w:p>
    <w:p w14:paraId="23929193" w14:textId="77777777" w:rsidR="00A1228C" w:rsidRDefault="00A1228C">
      <w:pPr>
        <w:pStyle w:val="BodyText"/>
      </w:pPr>
    </w:p>
    <w:p w14:paraId="23929194" w14:textId="77777777" w:rsidR="00A1228C" w:rsidRDefault="00A1228C">
      <w:pPr>
        <w:pStyle w:val="BodyText"/>
      </w:pPr>
    </w:p>
    <w:p w14:paraId="23929195" w14:textId="77777777" w:rsidR="00A1228C" w:rsidRDefault="00A1228C">
      <w:pPr>
        <w:pStyle w:val="BodyText"/>
      </w:pPr>
    </w:p>
    <w:p w14:paraId="23929196" w14:textId="77777777" w:rsidR="00A1228C" w:rsidRDefault="00A1228C">
      <w:pPr>
        <w:pStyle w:val="BodyText"/>
      </w:pPr>
    </w:p>
    <w:p w14:paraId="23929197" w14:textId="77777777" w:rsidR="00A1228C" w:rsidRDefault="00A1228C">
      <w:pPr>
        <w:pStyle w:val="BodyText"/>
      </w:pPr>
    </w:p>
    <w:p w14:paraId="23929198" w14:textId="77777777" w:rsidR="00A1228C" w:rsidRDefault="00A1228C">
      <w:pPr>
        <w:pStyle w:val="BodyText"/>
      </w:pPr>
    </w:p>
    <w:p w14:paraId="23929199" w14:textId="77777777" w:rsidR="00A1228C" w:rsidRDefault="00A1228C">
      <w:pPr>
        <w:pStyle w:val="BodyText"/>
      </w:pPr>
    </w:p>
    <w:p w14:paraId="2392919A" w14:textId="77777777" w:rsidR="00A1228C" w:rsidRDefault="00A1228C">
      <w:pPr>
        <w:pStyle w:val="BodyText"/>
      </w:pPr>
    </w:p>
    <w:p w14:paraId="2392919B" w14:textId="77777777" w:rsidR="00A1228C" w:rsidRDefault="00A1228C">
      <w:pPr>
        <w:pStyle w:val="BodyText"/>
      </w:pPr>
    </w:p>
    <w:p w14:paraId="2392919C" w14:textId="77777777" w:rsidR="00A1228C" w:rsidRDefault="00A1228C">
      <w:pPr>
        <w:pStyle w:val="BodyText"/>
      </w:pPr>
    </w:p>
    <w:p w14:paraId="2392919D" w14:textId="77777777" w:rsidR="00A1228C" w:rsidRDefault="00A1228C">
      <w:pPr>
        <w:pStyle w:val="BodyText"/>
      </w:pPr>
    </w:p>
    <w:p w14:paraId="2392919E" w14:textId="77777777" w:rsidR="00A1228C" w:rsidRDefault="00A1228C">
      <w:pPr>
        <w:pStyle w:val="BodyText"/>
      </w:pPr>
    </w:p>
    <w:p w14:paraId="2392919F" w14:textId="77777777" w:rsidR="00A1228C" w:rsidRDefault="00A1228C">
      <w:pPr>
        <w:pStyle w:val="BodyText"/>
      </w:pPr>
    </w:p>
    <w:p w14:paraId="239291A0" w14:textId="77777777" w:rsidR="00A1228C" w:rsidRDefault="00A1228C">
      <w:pPr>
        <w:pStyle w:val="BodyText"/>
      </w:pPr>
    </w:p>
    <w:p w14:paraId="239291A1" w14:textId="77777777" w:rsidR="00A1228C" w:rsidRDefault="00A1228C">
      <w:pPr>
        <w:pStyle w:val="BodyText"/>
      </w:pPr>
    </w:p>
    <w:p w14:paraId="239291A2" w14:textId="77777777" w:rsidR="00A1228C" w:rsidRDefault="00A1228C">
      <w:pPr>
        <w:pStyle w:val="BodyText"/>
      </w:pPr>
    </w:p>
    <w:p w14:paraId="239291A3" w14:textId="77777777" w:rsidR="00A1228C" w:rsidRDefault="00A1228C">
      <w:pPr>
        <w:pStyle w:val="BodyText"/>
      </w:pPr>
    </w:p>
    <w:p w14:paraId="239291A4" w14:textId="77777777" w:rsidR="00A1228C" w:rsidRDefault="00A1228C">
      <w:pPr>
        <w:pStyle w:val="BodyText"/>
      </w:pPr>
    </w:p>
    <w:p w14:paraId="239291A5" w14:textId="77777777" w:rsidR="00A1228C" w:rsidRDefault="00A1228C">
      <w:pPr>
        <w:pStyle w:val="BodyText"/>
      </w:pPr>
    </w:p>
    <w:p w14:paraId="239291A6" w14:textId="77777777" w:rsidR="00A1228C" w:rsidRDefault="00A1228C">
      <w:pPr>
        <w:pStyle w:val="BodyText"/>
      </w:pPr>
    </w:p>
    <w:p w14:paraId="239291A7" w14:textId="77777777" w:rsidR="00A1228C" w:rsidRDefault="00A1228C">
      <w:pPr>
        <w:pStyle w:val="BodyText"/>
        <w:spacing w:before="8"/>
        <w:rPr>
          <w:sz w:val="23"/>
        </w:rPr>
      </w:pPr>
    </w:p>
    <w:p w14:paraId="239291A8" w14:textId="77777777" w:rsidR="00A1228C" w:rsidRDefault="0009354E" w:rsidP="00CD187C">
      <w:pPr>
        <w:spacing w:before="142" w:line="204" w:lineRule="auto"/>
        <w:ind w:left="811" w:right="7088"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239291A9" w14:textId="77777777" w:rsidR="00A1228C" w:rsidRDefault="00A1228C">
      <w:pPr>
        <w:pStyle w:val="BodyText"/>
        <w:rPr>
          <w:rFonts w:ascii="Arial Black"/>
        </w:rPr>
      </w:pPr>
    </w:p>
    <w:p w14:paraId="239291AA" w14:textId="77777777" w:rsidR="00A1228C" w:rsidRDefault="00A1228C">
      <w:pPr>
        <w:pStyle w:val="BodyText"/>
        <w:rPr>
          <w:rFonts w:ascii="Arial Black"/>
        </w:rPr>
      </w:pPr>
    </w:p>
    <w:p w14:paraId="239291AB" w14:textId="77777777" w:rsidR="00A1228C" w:rsidRDefault="00A1228C">
      <w:pPr>
        <w:pStyle w:val="BodyText"/>
        <w:rPr>
          <w:rFonts w:ascii="Arial Black"/>
        </w:rPr>
      </w:pPr>
    </w:p>
    <w:p w14:paraId="239291AC" w14:textId="77777777" w:rsidR="00A1228C" w:rsidRDefault="00A1228C">
      <w:pPr>
        <w:pStyle w:val="BodyText"/>
        <w:rPr>
          <w:rFonts w:ascii="Arial Black"/>
        </w:rPr>
      </w:pPr>
    </w:p>
    <w:p w14:paraId="239291AD" w14:textId="77777777" w:rsidR="00A1228C" w:rsidRDefault="00A1228C">
      <w:pPr>
        <w:pStyle w:val="BodyText"/>
        <w:rPr>
          <w:rFonts w:ascii="Arial Black"/>
        </w:rPr>
      </w:pPr>
    </w:p>
    <w:p w14:paraId="239291AE" w14:textId="77777777" w:rsidR="00A1228C" w:rsidRDefault="00A1228C">
      <w:pPr>
        <w:pStyle w:val="BodyText"/>
        <w:rPr>
          <w:rFonts w:ascii="Arial Black"/>
        </w:rPr>
      </w:pPr>
    </w:p>
    <w:p w14:paraId="239291AF" w14:textId="77777777" w:rsidR="00A1228C" w:rsidRDefault="00A1228C">
      <w:pPr>
        <w:pStyle w:val="BodyText"/>
        <w:rPr>
          <w:rFonts w:ascii="Arial Black"/>
        </w:rPr>
      </w:pPr>
    </w:p>
    <w:p w14:paraId="239291B0" w14:textId="77777777" w:rsidR="00A1228C" w:rsidRDefault="00A1228C">
      <w:pPr>
        <w:pStyle w:val="BodyText"/>
        <w:rPr>
          <w:rFonts w:ascii="Arial Black"/>
        </w:rPr>
      </w:pPr>
    </w:p>
    <w:p w14:paraId="239291B1" w14:textId="77777777" w:rsidR="00A1228C" w:rsidRDefault="00A1228C">
      <w:pPr>
        <w:pStyle w:val="BodyText"/>
        <w:rPr>
          <w:rFonts w:ascii="Arial Black"/>
        </w:rPr>
      </w:pPr>
    </w:p>
    <w:p w14:paraId="239291B2" w14:textId="77777777" w:rsidR="00A1228C" w:rsidRDefault="00A1228C">
      <w:pPr>
        <w:pStyle w:val="BodyText"/>
        <w:rPr>
          <w:rFonts w:ascii="Arial Black"/>
        </w:rPr>
      </w:pPr>
    </w:p>
    <w:p w14:paraId="239291B3" w14:textId="77777777" w:rsidR="00A1228C" w:rsidRDefault="0009354E">
      <w:pPr>
        <w:pStyle w:val="BodyText"/>
        <w:spacing w:before="7"/>
        <w:rPr>
          <w:rFonts w:ascii="Arial Black"/>
          <w:sz w:val="19"/>
        </w:rPr>
      </w:pPr>
      <w:r>
        <w:rPr>
          <w:noProof/>
        </w:rPr>
        <w:drawing>
          <wp:anchor distT="0" distB="0" distL="0" distR="0" simplePos="0" relativeHeight="251659264" behindDoc="0" locked="0" layoutInCell="1" allowOverlap="1" wp14:anchorId="2392925F" wp14:editId="23929260">
            <wp:simplePos x="0" y="0"/>
            <wp:positionH relativeFrom="page">
              <wp:posOffset>5058409</wp:posOffset>
            </wp:positionH>
            <wp:positionV relativeFrom="paragraph">
              <wp:posOffset>199377</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239291B4" w14:textId="77777777" w:rsidR="00A1228C" w:rsidRDefault="00A1228C">
      <w:pPr>
        <w:rPr>
          <w:rFonts w:ascii="Arial Black"/>
          <w:sz w:val="19"/>
        </w:rPr>
        <w:sectPr w:rsidR="00A1228C">
          <w:type w:val="continuous"/>
          <w:pgSz w:w="11920" w:h="16850"/>
          <w:pgMar w:top="720" w:right="420" w:bottom="280" w:left="1680" w:header="720" w:footer="720" w:gutter="0"/>
          <w:cols w:space="720"/>
        </w:sectPr>
      </w:pPr>
    </w:p>
    <w:p w14:paraId="239291B5" w14:textId="77777777" w:rsidR="00A1228C" w:rsidRDefault="00A1228C">
      <w:pPr>
        <w:pStyle w:val="BodyText"/>
        <w:rPr>
          <w:rFonts w:ascii="Arial Black"/>
        </w:rPr>
      </w:pPr>
    </w:p>
    <w:p w14:paraId="239291B6" w14:textId="77777777" w:rsidR="00A1228C" w:rsidRDefault="00A1228C">
      <w:pPr>
        <w:pStyle w:val="BodyText"/>
        <w:rPr>
          <w:rFonts w:ascii="Arial Black"/>
        </w:rPr>
      </w:pPr>
    </w:p>
    <w:p w14:paraId="239291B7" w14:textId="77777777" w:rsidR="00A1228C" w:rsidRDefault="00A1228C">
      <w:pPr>
        <w:pStyle w:val="BodyText"/>
        <w:rPr>
          <w:rFonts w:ascii="Arial Black"/>
        </w:rPr>
      </w:pPr>
    </w:p>
    <w:p w14:paraId="239291B8" w14:textId="77777777" w:rsidR="00A1228C" w:rsidRDefault="00A1228C">
      <w:pPr>
        <w:pStyle w:val="BodyText"/>
        <w:rPr>
          <w:rFonts w:ascii="Arial Black"/>
        </w:rPr>
      </w:pPr>
    </w:p>
    <w:p w14:paraId="239291B9" w14:textId="77777777" w:rsidR="00A1228C" w:rsidRDefault="00A1228C">
      <w:pPr>
        <w:pStyle w:val="BodyText"/>
        <w:rPr>
          <w:rFonts w:ascii="Arial Black"/>
        </w:rPr>
      </w:pPr>
    </w:p>
    <w:p w14:paraId="239291BA" w14:textId="77777777" w:rsidR="00A1228C" w:rsidRDefault="00A1228C">
      <w:pPr>
        <w:pStyle w:val="BodyText"/>
        <w:spacing w:before="1"/>
        <w:rPr>
          <w:rFonts w:ascii="Arial Black"/>
          <w:sz w:val="22"/>
        </w:rPr>
      </w:pPr>
    </w:p>
    <w:p w14:paraId="239291BB" w14:textId="77777777" w:rsidR="00A1228C" w:rsidRDefault="0009354E">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w:t>
      </w:r>
      <w:r>
        <w:rPr>
          <w:sz w:val="18"/>
        </w:rPr>
        <w:t>циалните възгледи на страните-членки на ОИСР.</w:t>
      </w:r>
    </w:p>
    <w:p w14:paraId="239291BC" w14:textId="77777777" w:rsidR="00A1228C" w:rsidRDefault="00A1228C">
      <w:pPr>
        <w:pStyle w:val="BodyText"/>
        <w:spacing w:before="10"/>
        <w:rPr>
          <w:sz w:val="15"/>
        </w:rPr>
      </w:pPr>
    </w:p>
    <w:p w14:paraId="239291BD" w14:textId="77777777" w:rsidR="00A1228C" w:rsidRDefault="0009354E">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w:t>
      </w:r>
      <w:r>
        <w:rPr>
          <w:sz w:val="18"/>
        </w:rPr>
        <w:t>тория, град или област.</w:t>
      </w:r>
    </w:p>
    <w:p w14:paraId="239291BE" w14:textId="77777777" w:rsidR="00A1228C" w:rsidRDefault="00A1228C">
      <w:pPr>
        <w:pStyle w:val="BodyText"/>
      </w:pPr>
    </w:p>
    <w:p w14:paraId="239291BF" w14:textId="77777777" w:rsidR="00A1228C" w:rsidRDefault="00A1228C">
      <w:pPr>
        <w:pStyle w:val="BodyText"/>
      </w:pPr>
    </w:p>
    <w:p w14:paraId="239291C0" w14:textId="77777777" w:rsidR="00A1228C" w:rsidRDefault="00A1228C">
      <w:pPr>
        <w:pStyle w:val="BodyText"/>
      </w:pPr>
    </w:p>
    <w:p w14:paraId="239291C1" w14:textId="77777777" w:rsidR="00A1228C" w:rsidRDefault="00A1228C">
      <w:pPr>
        <w:pStyle w:val="BodyText"/>
      </w:pPr>
    </w:p>
    <w:p w14:paraId="239291C2" w14:textId="77777777" w:rsidR="00A1228C" w:rsidRDefault="00A1228C">
      <w:pPr>
        <w:pStyle w:val="BodyText"/>
      </w:pPr>
    </w:p>
    <w:p w14:paraId="239291C3" w14:textId="77777777" w:rsidR="00A1228C" w:rsidRDefault="00A1228C">
      <w:pPr>
        <w:pStyle w:val="BodyText"/>
      </w:pPr>
    </w:p>
    <w:p w14:paraId="239291C4" w14:textId="77777777" w:rsidR="00A1228C" w:rsidRDefault="00A1228C">
      <w:pPr>
        <w:pStyle w:val="BodyText"/>
      </w:pPr>
    </w:p>
    <w:p w14:paraId="239291C5" w14:textId="77777777" w:rsidR="00A1228C" w:rsidRDefault="00A1228C">
      <w:pPr>
        <w:pStyle w:val="BodyText"/>
      </w:pPr>
    </w:p>
    <w:p w14:paraId="239291C6" w14:textId="77777777" w:rsidR="00A1228C" w:rsidRDefault="00A1228C">
      <w:pPr>
        <w:pStyle w:val="BodyText"/>
      </w:pPr>
    </w:p>
    <w:p w14:paraId="239291C7" w14:textId="77777777" w:rsidR="00A1228C" w:rsidRDefault="00A1228C">
      <w:pPr>
        <w:pStyle w:val="BodyText"/>
      </w:pPr>
    </w:p>
    <w:p w14:paraId="239291C8" w14:textId="77777777" w:rsidR="00A1228C" w:rsidRDefault="00A1228C">
      <w:pPr>
        <w:pStyle w:val="BodyText"/>
      </w:pPr>
    </w:p>
    <w:p w14:paraId="239291C9" w14:textId="77777777" w:rsidR="00A1228C" w:rsidRDefault="00A1228C">
      <w:pPr>
        <w:pStyle w:val="BodyText"/>
      </w:pPr>
    </w:p>
    <w:p w14:paraId="239291CA" w14:textId="77777777" w:rsidR="00A1228C" w:rsidRDefault="00A1228C">
      <w:pPr>
        <w:pStyle w:val="BodyText"/>
      </w:pPr>
    </w:p>
    <w:p w14:paraId="239291CB" w14:textId="77777777" w:rsidR="00A1228C" w:rsidRDefault="00A1228C">
      <w:pPr>
        <w:pStyle w:val="BodyText"/>
      </w:pPr>
    </w:p>
    <w:p w14:paraId="239291CC" w14:textId="77777777" w:rsidR="00A1228C" w:rsidRDefault="00A1228C">
      <w:pPr>
        <w:pStyle w:val="BodyText"/>
      </w:pPr>
    </w:p>
    <w:p w14:paraId="239291CD" w14:textId="77777777" w:rsidR="00A1228C" w:rsidRDefault="00A1228C">
      <w:pPr>
        <w:pStyle w:val="BodyText"/>
      </w:pPr>
    </w:p>
    <w:p w14:paraId="239291CE" w14:textId="77777777" w:rsidR="00A1228C" w:rsidRDefault="00A1228C">
      <w:pPr>
        <w:pStyle w:val="BodyText"/>
      </w:pPr>
    </w:p>
    <w:p w14:paraId="239291CF" w14:textId="77777777" w:rsidR="00A1228C" w:rsidRDefault="00A1228C">
      <w:pPr>
        <w:pStyle w:val="BodyText"/>
      </w:pPr>
    </w:p>
    <w:p w14:paraId="239291D0" w14:textId="77777777" w:rsidR="00A1228C" w:rsidRDefault="00A1228C">
      <w:pPr>
        <w:pStyle w:val="BodyText"/>
      </w:pPr>
    </w:p>
    <w:p w14:paraId="239291D1" w14:textId="77777777" w:rsidR="00A1228C" w:rsidRDefault="00A1228C">
      <w:pPr>
        <w:pStyle w:val="BodyText"/>
      </w:pPr>
    </w:p>
    <w:p w14:paraId="239291D2" w14:textId="77777777" w:rsidR="00A1228C" w:rsidRDefault="00A1228C">
      <w:pPr>
        <w:pStyle w:val="BodyText"/>
      </w:pPr>
    </w:p>
    <w:p w14:paraId="239291D3" w14:textId="77777777" w:rsidR="00A1228C" w:rsidRDefault="00A1228C">
      <w:pPr>
        <w:pStyle w:val="BodyText"/>
      </w:pPr>
    </w:p>
    <w:p w14:paraId="239291D4" w14:textId="77777777" w:rsidR="00A1228C" w:rsidRDefault="00A1228C">
      <w:pPr>
        <w:pStyle w:val="BodyText"/>
      </w:pPr>
    </w:p>
    <w:p w14:paraId="239291D5" w14:textId="77777777" w:rsidR="00A1228C" w:rsidRDefault="00A1228C">
      <w:pPr>
        <w:pStyle w:val="BodyText"/>
      </w:pPr>
    </w:p>
    <w:p w14:paraId="239291D6" w14:textId="77777777" w:rsidR="00A1228C" w:rsidRDefault="00A1228C">
      <w:pPr>
        <w:pStyle w:val="BodyText"/>
      </w:pPr>
    </w:p>
    <w:p w14:paraId="239291D7" w14:textId="77777777" w:rsidR="00A1228C" w:rsidRDefault="00A1228C">
      <w:pPr>
        <w:pStyle w:val="BodyText"/>
      </w:pPr>
    </w:p>
    <w:p w14:paraId="239291D8" w14:textId="77777777" w:rsidR="00A1228C" w:rsidRDefault="00A1228C">
      <w:pPr>
        <w:pStyle w:val="BodyText"/>
      </w:pPr>
    </w:p>
    <w:p w14:paraId="239291D9" w14:textId="77777777" w:rsidR="00A1228C" w:rsidRDefault="00A1228C">
      <w:pPr>
        <w:pStyle w:val="BodyText"/>
      </w:pPr>
    </w:p>
    <w:p w14:paraId="239291DA" w14:textId="77777777" w:rsidR="00A1228C" w:rsidRDefault="00A1228C">
      <w:pPr>
        <w:pStyle w:val="BodyText"/>
        <w:spacing w:before="4"/>
      </w:pPr>
    </w:p>
    <w:p w14:paraId="239291DB" w14:textId="77777777" w:rsidR="00A1228C" w:rsidRDefault="0009354E">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w:t>
        </w:r>
        <w:r>
          <w:rPr>
            <w:color w:val="0000ED"/>
            <w:sz w:val="18"/>
            <w:u w:val="single" w:color="0000ED"/>
          </w:rPr>
          <w:t>ments.oecd.org</w:t>
        </w:r>
      </w:hyperlink>
      <w:r>
        <w:t xml:space="preserve"> </w:t>
      </w:r>
      <w:r>
        <w:rPr>
          <w:sz w:val="18"/>
        </w:rPr>
        <w:t>.</w:t>
      </w:r>
    </w:p>
    <w:p w14:paraId="239291DC" w14:textId="77777777" w:rsidR="00A1228C" w:rsidRDefault="0009354E">
      <w:pPr>
        <w:pStyle w:val="BodyText"/>
        <w:rPr>
          <w:sz w:val="14"/>
        </w:rPr>
      </w:pPr>
      <w:r>
        <w:pict w14:anchorId="23929262">
          <v:shapetype id="_x0000_t202" coordsize="21600,21600" o:spt="202" path="m,l,21600r21600,l21600,xe">
            <v:stroke joinstyle="miter"/>
            <v:path gradientshapeok="t" o:connecttype="rect"/>
          </v:shapetype>
          <v:shape id="_x0000_s1029" type="#_x0000_t202" style="position:absolute;margin-left:76.85pt;margin-top:9.3pt;width:441.5pt;height:21.5pt;z-index:-15727616;mso-wrap-distance-left:0;mso-wrap-distance-right:0;mso-position-horizontal-relative:page" fillcolor="#dcd8c2" stroked="f">
            <v:textbox inset="0,0,0,0">
              <w:txbxContent>
                <w:p w14:paraId="2392926D" w14:textId="77777777" w:rsidR="00A1228C" w:rsidRDefault="0009354E">
                  <w:pPr>
                    <w:spacing w:before="1"/>
                    <w:rPr>
                      <w:b/>
                      <w:sz w:val="18"/>
                    </w:rPr>
                  </w:pPr>
                  <w:r>
                    <w:rPr>
                      <w:b/>
                      <w:sz w:val="18"/>
                    </w:rPr>
                    <w:t>Моля, цитирайте този документ като:</w:t>
                  </w:r>
                </w:p>
                <w:p w14:paraId="2392926E" w14:textId="77777777" w:rsidR="00A1228C" w:rsidRDefault="0009354E">
                  <w:pPr>
                    <w:spacing w:before="8"/>
                    <w:rPr>
                      <w:sz w:val="18"/>
                    </w:rPr>
                  </w:pPr>
                  <w:r>
                    <w:rPr>
                      <w:sz w:val="18"/>
                    </w:rPr>
                    <w:t xml:space="preserve">ОИСР, </w:t>
                  </w:r>
                  <w:r>
                    <w:rPr>
                      <w:i/>
                      <w:sz w:val="18"/>
                    </w:rPr>
                    <w:t>Препоръка на Съвета относно производителността на ресурсите</w:t>
                  </w:r>
                  <w:r>
                    <w:rPr>
                      <w:sz w:val="18"/>
                    </w:rPr>
                    <w:t>, OECD/LEGAL/0358</w:t>
                  </w:r>
                </w:p>
              </w:txbxContent>
            </v:textbox>
            <w10:wrap type="topAndBottom" anchorx="page"/>
          </v:shape>
        </w:pict>
      </w:r>
    </w:p>
    <w:p w14:paraId="239291DD" w14:textId="77777777" w:rsidR="00A1228C" w:rsidRDefault="00A1228C">
      <w:pPr>
        <w:pStyle w:val="BodyText"/>
        <w:rPr>
          <w:sz w:val="15"/>
        </w:rPr>
      </w:pPr>
    </w:p>
    <w:p w14:paraId="239291DE" w14:textId="77777777" w:rsidR="00A1228C" w:rsidRDefault="0009354E">
      <w:pPr>
        <w:spacing w:before="96"/>
        <w:ind w:left="237"/>
        <w:jc w:val="both"/>
        <w:rPr>
          <w:sz w:val="14"/>
        </w:rPr>
      </w:pPr>
      <w:r>
        <w:rPr>
          <w:sz w:val="14"/>
        </w:rPr>
        <w:t>Серия: Правни инструменти на ОИСР</w:t>
      </w:r>
    </w:p>
    <w:p w14:paraId="239291DF" w14:textId="77777777" w:rsidR="00A1228C" w:rsidRDefault="00A1228C">
      <w:pPr>
        <w:pStyle w:val="BodyText"/>
        <w:rPr>
          <w:sz w:val="16"/>
        </w:rPr>
      </w:pPr>
    </w:p>
    <w:p w14:paraId="239291E0" w14:textId="77777777" w:rsidR="00A1228C" w:rsidRDefault="00A1228C">
      <w:pPr>
        <w:pStyle w:val="BodyText"/>
        <w:rPr>
          <w:sz w:val="16"/>
        </w:rPr>
      </w:pPr>
    </w:p>
    <w:p w14:paraId="239291E1" w14:textId="77777777" w:rsidR="00A1228C" w:rsidRDefault="00A1228C">
      <w:pPr>
        <w:pStyle w:val="BodyText"/>
        <w:spacing w:before="3"/>
        <w:rPr>
          <w:sz w:val="17"/>
        </w:rPr>
      </w:pPr>
    </w:p>
    <w:p w14:paraId="239291E2" w14:textId="77777777" w:rsidR="00A1228C" w:rsidRDefault="0009354E">
      <w:pPr>
        <w:ind w:left="237"/>
        <w:jc w:val="both"/>
        <w:rPr>
          <w:sz w:val="18"/>
        </w:rPr>
      </w:pPr>
      <w:r>
        <w:rPr>
          <w:sz w:val="18"/>
        </w:rPr>
        <w:t>© ОИСР 2021</w:t>
      </w:r>
    </w:p>
    <w:p w14:paraId="239291E3" w14:textId="77777777" w:rsidR="00A1228C" w:rsidRDefault="0009354E">
      <w:pPr>
        <w:pStyle w:val="BodyText"/>
        <w:rPr>
          <w:sz w:val="22"/>
        </w:rPr>
      </w:pPr>
      <w:r>
        <w:pict w14:anchorId="23929263">
          <v:rect id="_x0000_s1028" style="position:absolute;margin-left:76.85pt;margin-top:14.6pt;width:441.5pt;height:.5pt;z-index:-15727104;mso-wrap-distance-left:0;mso-wrap-distance-right:0;mso-position-horizontal-relative:page" fillcolor="black" stroked="f">
            <w10:wrap type="topAndBottom" anchorx="page"/>
          </v:rect>
        </w:pict>
      </w:r>
    </w:p>
    <w:p w14:paraId="239291E4" w14:textId="77777777" w:rsidR="00A1228C" w:rsidRDefault="0009354E">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239291E5" w14:textId="77777777" w:rsidR="00A1228C" w:rsidRDefault="00A1228C">
      <w:pPr>
        <w:pStyle w:val="BodyText"/>
        <w:spacing w:before="6"/>
        <w:rPr>
          <w:sz w:val="10"/>
        </w:rPr>
      </w:pPr>
    </w:p>
    <w:p w14:paraId="239291E6" w14:textId="77777777" w:rsidR="00A1228C" w:rsidRDefault="0009354E">
      <w:pPr>
        <w:spacing w:line="252" w:lineRule="auto"/>
        <w:ind w:left="237" w:right="237"/>
        <w:jc w:val="both"/>
        <w:rPr>
          <w:i/>
          <w:sz w:val="12"/>
        </w:rPr>
      </w:pPr>
      <w:r>
        <w:pict w14:anchorId="23929264">
          <v:rect id="_x0000_s1027" style="position:absolute;left:0;text-align:left;margin-left:76.85pt;margin-top:35.15pt;width:441.5pt;height:.5pt;z-index:-15726592;mso-wrap-distance-left:0;mso-wrap-distance-right:0;mso-position-horizontal-relative:page" fillcolor="black" stroked="f">
            <w10:wrap type="topAndBottom" anchorx="page"/>
          </v:rect>
        </w:pict>
      </w:r>
      <w:r>
        <w:rPr>
          <w:sz w:val="12"/>
        </w:rPr>
        <w:t>Този документ е достъпен на двата официални езика на О</w:t>
      </w:r>
      <w:r>
        <w:rPr>
          <w:sz w:val="12"/>
        </w:rPr>
        <w:t xml:space="preserve">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Pr>
          <w:i/>
          <w:sz w:val="12"/>
        </w:rPr>
        <w:t>„Този превод е изготвен от [ИМЕ НА АВТОРА НА ПРЕВОДА] само с информационна це</w:t>
      </w:r>
      <w:r>
        <w:rPr>
          <w:i/>
          <w:sz w:val="12"/>
        </w:rPr>
        <w:t>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t xml:space="preserve"> </w:t>
      </w:r>
      <w:hyperlink r:id="rId13">
        <w:r>
          <w:rPr>
            <w:i/>
            <w:color w:val="0000ED"/>
            <w:sz w:val="12"/>
            <w:u w:val="single" w:color="0000ED"/>
          </w:rPr>
          <w:t>http://legalinstruments.oecd.org</w:t>
        </w:r>
      </w:hyperlink>
      <w:r>
        <w:t xml:space="preserve"> </w:t>
      </w:r>
      <w:r>
        <w:rPr>
          <w:i/>
          <w:sz w:val="12"/>
        </w:rPr>
        <w:t>"</w:t>
      </w:r>
    </w:p>
    <w:p w14:paraId="239291E7" w14:textId="77777777" w:rsidR="00A1228C" w:rsidRDefault="00A1228C">
      <w:pPr>
        <w:spacing w:line="252" w:lineRule="auto"/>
        <w:jc w:val="both"/>
        <w:rPr>
          <w:sz w:val="12"/>
        </w:rPr>
        <w:sectPr w:rsidR="00A1228C">
          <w:pgSz w:w="11910" w:h="16840"/>
          <w:pgMar w:top="1580" w:right="1299" w:bottom="280" w:left="1300" w:header="720" w:footer="720" w:gutter="0"/>
          <w:cols w:space="720"/>
        </w:sectPr>
      </w:pPr>
    </w:p>
    <w:p w14:paraId="239291E8" w14:textId="77777777" w:rsidR="00A1228C" w:rsidRDefault="0009354E">
      <w:pPr>
        <w:pStyle w:val="Heading1"/>
        <w:spacing w:before="92"/>
        <w:ind w:left="237"/>
      </w:pPr>
      <w:r>
        <w:rPr>
          <w:color w:val="1E487C"/>
        </w:rPr>
        <w:lastRenderedPageBreak/>
        <w:t>Обща информация</w:t>
      </w:r>
    </w:p>
    <w:p w14:paraId="239291E9" w14:textId="77777777" w:rsidR="00A1228C" w:rsidRDefault="00A1228C">
      <w:pPr>
        <w:pStyle w:val="BodyText"/>
        <w:rPr>
          <w:b/>
          <w:sz w:val="26"/>
        </w:rPr>
      </w:pPr>
    </w:p>
    <w:p w14:paraId="239291EA" w14:textId="77777777" w:rsidR="00A1228C" w:rsidRDefault="00A1228C">
      <w:pPr>
        <w:pStyle w:val="BodyText"/>
        <w:spacing w:before="3"/>
        <w:rPr>
          <w:b/>
          <w:sz w:val="23"/>
        </w:rPr>
      </w:pPr>
    </w:p>
    <w:p w14:paraId="239291EB" w14:textId="77777777" w:rsidR="00A1228C" w:rsidRDefault="0009354E">
      <w:pPr>
        <w:pStyle w:val="BodyText"/>
        <w:ind w:left="237" w:right="234"/>
        <w:jc w:val="both"/>
      </w:pPr>
      <w:r>
        <w:t>Препоръката относно производителността на ресурсите беше приета от Съвета на ОИСР на 28 март 2008 г. по предложение на Комитета по екологична политика. След Препоръката на ОИСР от 2004 г. относно материалните потоци и производителността н</w:t>
      </w:r>
      <w:r>
        <w:t>а ресурсите, препоръката е втората, която се ангажира да подобри производителността на ресурсите. Докато първата препоръка беше да се подобри информацията за материалните потоци и производителността на ресурсите, настоящата препоръка анализира материалните</w:t>
      </w:r>
      <w:r>
        <w:t xml:space="preserve"> потоци и свързаните с тях въздействия върху околната среда, за насърчаване на използването на показатели за производителност на ресурсите и за разработване и прилагане на политики за подобряване на производителността на ресурсите и намаляване на отрицател</w:t>
      </w:r>
      <w:r>
        <w:t>ните въздействия върху околната среда от използването на материали и продукти.</w:t>
      </w:r>
    </w:p>
    <w:p w14:paraId="239291EC" w14:textId="77777777" w:rsidR="00A1228C" w:rsidRDefault="00A1228C">
      <w:pPr>
        <w:jc w:val="both"/>
        <w:sectPr w:rsidR="00A1228C">
          <w:headerReference w:type="even" r:id="rId14"/>
          <w:headerReference w:type="default" r:id="rId15"/>
          <w:pgSz w:w="11910" w:h="16840"/>
          <w:pgMar w:top="1320" w:right="1299" w:bottom="280" w:left="1300" w:header="849" w:footer="0" w:gutter="0"/>
          <w:pgNumType w:start="3"/>
          <w:cols w:space="720"/>
        </w:sectPr>
      </w:pPr>
    </w:p>
    <w:p w14:paraId="239291ED" w14:textId="77777777" w:rsidR="00A1228C" w:rsidRDefault="0009354E">
      <w:pPr>
        <w:pStyle w:val="Heading2"/>
        <w:spacing w:before="82"/>
      </w:pPr>
      <w:r>
        <w:lastRenderedPageBreak/>
        <w:t>СЪВЕТЪТ,</w:t>
      </w:r>
    </w:p>
    <w:p w14:paraId="239291EE" w14:textId="77777777" w:rsidR="00A1228C" w:rsidRPr="00225E51" w:rsidRDefault="00A1228C">
      <w:pPr>
        <w:pStyle w:val="BodyText"/>
        <w:rPr>
          <w:b/>
          <w:sz w:val="12"/>
          <w:szCs w:val="12"/>
        </w:rPr>
      </w:pPr>
    </w:p>
    <w:p w14:paraId="239291EF" w14:textId="77777777" w:rsidR="00A1228C" w:rsidRDefault="0009354E">
      <w:pPr>
        <w:pStyle w:val="BodyText"/>
        <w:spacing w:line="242" w:lineRule="auto"/>
        <w:ind w:left="116" w:right="117"/>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239291F0" w14:textId="77777777" w:rsidR="00A1228C" w:rsidRPr="00225E51" w:rsidRDefault="00A1228C">
      <w:pPr>
        <w:pStyle w:val="BodyText"/>
        <w:spacing w:before="6"/>
        <w:rPr>
          <w:sz w:val="12"/>
          <w:szCs w:val="12"/>
        </w:rPr>
      </w:pPr>
    </w:p>
    <w:p w14:paraId="239291F1" w14:textId="77777777" w:rsidR="00A1228C" w:rsidRDefault="0009354E">
      <w:pPr>
        <w:pStyle w:val="BodyText"/>
        <w:spacing w:line="242" w:lineRule="auto"/>
        <w:ind w:left="116" w:right="123"/>
        <w:jc w:val="both"/>
      </w:pPr>
      <w:r>
        <w:rPr>
          <w:b/>
        </w:rPr>
        <w:t>КАТО ВЗЕ ПРЕДВИД</w:t>
      </w:r>
      <w:r>
        <w:t xml:space="preserve"> Препоръката на Съвета от 26 май 1972 г. относно ръководните принципи за международните икономически аспекти на политиките в областта на околната среда [C(72)128];</w:t>
      </w:r>
    </w:p>
    <w:p w14:paraId="239291F2" w14:textId="77777777" w:rsidR="00A1228C" w:rsidRPr="00225E51" w:rsidRDefault="00A1228C">
      <w:pPr>
        <w:pStyle w:val="BodyText"/>
        <w:spacing w:before="4"/>
        <w:rPr>
          <w:sz w:val="12"/>
          <w:szCs w:val="12"/>
        </w:rPr>
      </w:pPr>
    </w:p>
    <w:p w14:paraId="239291F3" w14:textId="77777777" w:rsidR="00A1228C" w:rsidRDefault="0009354E">
      <w:pPr>
        <w:pStyle w:val="BodyText"/>
        <w:spacing w:line="242" w:lineRule="auto"/>
        <w:ind w:left="116" w:right="120"/>
        <w:jc w:val="both"/>
      </w:pPr>
      <w:r>
        <w:rPr>
          <w:b/>
        </w:rPr>
        <w:t>КАТО ВЗЕ ПРЕДВИД</w:t>
      </w:r>
      <w:r>
        <w:t xml:space="preserve"> Препоръката на Съвета от 28 септември 1976 г. относно всеобхватна политика</w:t>
      </w:r>
      <w:r>
        <w:t xml:space="preserve"> за управление на отпадъците [C(76)155(Final)];</w:t>
      </w:r>
    </w:p>
    <w:p w14:paraId="239291F4" w14:textId="77777777" w:rsidR="00A1228C" w:rsidRPr="00225E51" w:rsidRDefault="00A1228C">
      <w:pPr>
        <w:pStyle w:val="BodyText"/>
        <w:spacing w:before="6"/>
        <w:rPr>
          <w:sz w:val="12"/>
          <w:szCs w:val="12"/>
        </w:rPr>
      </w:pPr>
    </w:p>
    <w:p w14:paraId="239291F5" w14:textId="77777777" w:rsidR="00A1228C" w:rsidRDefault="0009354E">
      <w:pPr>
        <w:pStyle w:val="BodyText"/>
        <w:spacing w:line="242" w:lineRule="auto"/>
        <w:ind w:left="116" w:right="114"/>
        <w:jc w:val="both"/>
      </w:pPr>
      <w:r>
        <w:rPr>
          <w:b/>
        </w:rPr>
        <w:t>КАТО ВЗЕ ПРЕДВИД</w:t>
      </w:r>
      <w:r>
        <w:t xml:space="preserve"> Препоръката на Съвета от 31 януари 1991 г. относно показателите и информацията за околната среда [C(90)165(окончателен)];</w:t>
      </w:r>
    </w:p>
    <w:p w14:paraId="239291F6" w14:textId="77777777" w:rsidR="00A1228C" w:rsidRPr="00225E51" w:rsidRDefault="00A1228C">
      <w:pPr>
        <w:pStyle w:val="BodyText"/>
        <w:spacing w:before="6"/>
        <w:rPr>
          <w:sz w:val="12"/>
          <w:szCs w:val="12"/>
        </w:rPr>
      </w:pPr>
    </w:p>
    <w:p w14:paraId="239291F7" w14:textId="77777777" w:rsidR="00A1228C" w:rsidRDefault="0009354E">
      <w:pPr>
        <w:pStyle w:val="BodyText"/>
        <w:ind w:left="116" w:right="117"/>
        <w:jc w:val="both"/>
      </w:pPr>
      <w:r>
        <w:rPr>
          <w:b/>
        </w:rPr>
        <w:t>КАТО ВЗЕ ПРЕДВИД</w:t>
      </w:r>
      <w:r>
        <w:t xml:space="preserve"> Решение C(2001)107/FINAL на Съвета [от 14 юни 2001</w:t>
      </w:r>
      <w:r>
        <w:t xml:space="preserve"> г. и 25 февруари 2002 г., изменено с C(2004)20 и C(2005)141] относно контрола на трансграничното движение на отпадъци, предназначени за операции по оползотворяване;</w:t>
      </w:r>
    </w:p>
    <w:p w14:paraId="239291F8" w14:textId="77777777" w:rsidR="00A1228C" w:rsidRPr="00225E51" w:rsidRDefault="00A1228C">
      <w:pPr>
        <w:pStyle w:val="BodyText"/>
        <w:spacing w:before="10"/>
        <w:rPr>
          <w:sz w:val="12"/>
          <w:szCs w:val="12"/>
        </w:rPr>
      </w:pPr>
    </w:p>
    <w:p w14:paraId="239291F9" w14:textId="77777777" w:rsidR="00A1228C" w:rsidRDefault="0009354E">
      <w:pPr>
        <w:pStyle w:val="BodyText"/>
        <w:spacing w:line="242" w:lineRule="auto"/>
        <w:ind w:left="116" w:right="123"/>
        <w:jc w:val="both"/>
      </w:pPr>
      <w:r>
        <w:rPr>
          <w:b/>
        </w:rPr>
        <w:t>КАТО ВЗЕ ПРЕДВИД</w:t>
      </w:r>
      <w:r>
        <w:t xml:space="preserve"> Препоръката на Съвета от 21 април 2004 г. относно материалните потоци и </w:t>
      </w:r>
      <w:r>
        <w:t>производителността на ресурсите [C(2004)79];</w:t>
      </w:r>
    </w:p>
    <w:p w14:paraId="239291FA" w14:textId="77777777" w:rsidR="00A1228C" w:rsidRPr="00225E51" w:rsidRDefault="00A1228C">
      <w:pPr>
        <w:pStyle w:val="BodyText"/>
        <w:spacing w:before="6"/>
        <w:rPr>
          <w:sz w:val="12"/>
          <w:szCs w:val="12"/>
        </w:rPr>
      </w:pPr>
    </w:p>
    <w:p w14:paraId="239291FB" w14:textId="77777777" w:rsidR="00A1228C" w:rsidRDefault="0009354E">
      <w:pPr>
        <w:pStyle w:val="BodyText"/>
        <w:spacing w:line="242" w:lineRule="auto"/>
        <w:ind w:left="116" w:right="115"/>
        <w:jc w:val="both"/>
      </w:pPr>
      <w:r>
        <w:rPr>
          <w:b/>
        </w:rPr>
        <w:t>КАТО ВЗЕ ПРЕДВИД</w:t>
      </w:r>
      <w:r>
        <w:t xml:space="preserve"> Препоръката на Съвета от 9 юни 2004 г. относно екологосъобразно управление на отпадъците [C(2004)100];</w:t>
      </w:r>
    </w:p>
    <w:p w14:paraId="239291FC" w14:textId="77777777" w:rsidR="00A1228C" w:rsidRPr="00772461" w:rsidRDefault="00A1228C">
      <w:pPr>
        <w:pStyle w:val="BodyText"/>
        <w:spacing w:before="4"/>
        <w:rPr>
          <w:sz w:val="12"/>
          <w:szCs w:val="12"/>
        </w:rPr>
      </w:pPr>
    </w:p>
    <w:p w14:paraId="239291FD" w14:textId="77777777" w:rsidR="00A1228C" w:rsidRDefault="0009354E">
      <w:pPr>
        <w:pStyle w:val="BodyText"/>
        <w:spacing w:line="242" w:lineRule="auto"/>
        <w:ind w:left="116" w:right="113"/>
        <w:jc w:val="both"/>
      </w:pPr>
      <w:r>
        <w:rPr>
          <w:b/>
        </w:rPr>
        <w:t>КАТО ВЗЕ ПРЕДВИД</w:t>
      </w:r>
      <w:r>
        <w:t xml:space="preserve"> комюникето на заседанието на Съвета на ОИСР на министерско ниво от 17 ма</w:t>
      </w:r>
      <w:r>
        <w:t>й 2001 г., в което се казва, че “страните от ОИСР носят специална отговорност за лидерство в устойчивото развитие в световен мащаб, исторически и поради тежестта, която продължават да имат в глобалната икономика и околната среда";</w:t>
      </w:r>
    </w:p>
    <w:p w14:paraId="239291FE" w14:textId="77777777" w:rsidR="00A1228C" w:rsidRPr="00772461" w:rsidRDefault="00A1228C">
      <w:pPr>
        <w:pStyle w:val="BodyText"/>
        <w:spacing w:before="2"/>
        <w:rPr>
          <w:sz w:val="12"/>
          <w:szCs w:val="12"/>
        </w:rPr>
      </w:pPr>
    </w:p>
    <w:p w14:paraId="239291FF" w14:textId="77777777" w:rsidR="00A1228C" w:rsidRDefault="0009354E">
      <w:pPr>
        <w:pStyle w:val="BodyText"/>
        <w:spacing w:before="1" w:line="242" w:lineRule="auto"/>
        <w:ind w:left="116" w:right="113"/>
        <w:jc w:val="both"/>
      </w:pPr>
      <w:r>
        <w:rPr>
          <w:b/>
        </w:rPr>
        <w:t>КАТО ВЗЕ ПРЕДВИД</w:t>
      </w:r>
      <w:r>
        <w:t xml:space="preserve"> Стратегията на ОИСР за околната среда за първото десетилетие на 21-ви век, одобрена от Съвета на ОИСР през май 2001 г.;</w:t>
      </w:r>
    </w:p>
    <w:p w14:paraId="23929200" w14:textId="77777777" w:rsidR="00A1228C" w:rsidRPr="00772461" w:rsidRDefault="00A1228C">
      <w:pPr>
        <w:pStyle w:val="BodyText"/>
        <w:spacing w:before="4"/>
        <w:rPr>
          <w:sz w:val="12"/>
          <w:szCs w:val="12"/>
        </w:rPr>
      </w:pPr>
    </w:p>
    <w:p w14:paraId="23929201" w14:textId="77777777" w:rsidR="00A1228C" w:rsidRDefault="0009354E">
      <w:pPr>
        <w:pStyle w:val="BodyText"/>
        <w:spacing w:line="242" w:lineRule="auto"/>
        <w:ind w:left="116" w:right="115"/>
        <w:jc w:val="both"/>
      </w:pPr>
      <w:r>
        <w:rPr>
          <w:b/>
        </w:rPr>
        <w:t>КАТО ВЗЕ ПРЕДВИД</w:t>
      </w:r>
      <w:r>
        <w:t xml:space="preserve"> работата на ОИСР относно материалните потоци и производителността2 на </w:t>
      </w:r>
      <w:r>
        <w:rPr>
          <w:sz w:val="13"/>
        </w:rPr>
        <w:t>ресурсите1</w:t>
      </w:r>
      <w:r>
        <w:t>, предотвратяването и</w:t>
      </w:r>
      <w:r>
        <w:t xml:space="preserve"> рециклирането на отпадъците, устойчивото управление на материалите, управлението на природните ресурси и търговията и околната среда;</w:t>
      </w:r>
    </w:p>
    <w:p w14:paraId="23929202" w14:textId="77777777" w:rsidR="00A1228C" w:rsidRPr="00772461" w:rsidRDefault="00A1228C">
      <w:pPr>
        <w:pStyle w:val="BodyText"/>
        <w:spacing w:before="4"/>
        <w:rPr>
          <w:sz w:val="12"/>
          <w:szCs w:val="12"/>
        </w:rPr>
      </w:pPr>
    </w:p>
    <w:p w14:paraId="23929203" w14:textId="77777777" w:rsidR="00A1228C" w:rsidRDefault="0009354E">
      <w:pPr>
        <w:pStyle w:val="BodyText"/>
        <w:spacing w:line="242" w:lineRule="auto"/>
        <w:ind w:left="116" w:right="121"/>
        <w:jc w:val="both"/>
      </w:pPr>
      <w:r>
        <w:rPr>
          <w:b/>
        </w:rPr>
        <w:t>КАТО ВЗЕ ПРЕДВИД</w:t>
      </w:r>
      <w:r>
        <w:t xml:space="preserve"> международната работа по “3R” (Reduce, Reuse, and Recycle - Намаляване, повторна употреба и рециклиране</w:t>
      </w:r>
      <w:r>
        <w:t>), ръководена от Г-8; по устойчивото управление на ресурсите, ръководена от Международната група за устойчиво управление на ресурсите; и по енергийната ефективност, управлявана от Международната агенция по енергетика;</w:t>
      </w:r>
    </w:p>
    <w:p w14:paraId="23929204" w14:textId="77777777" w:rsidR="00A1228C" w:rsidRPr="00772461" w:rsidRDefault="00A1228C">
      <w:pPr>
        <w:pStyle w:val="BodyText"/>
        <w:spacing w:before="2"/>
        <w:rPr>
          <w:sz w:val="12"/>
          <w:szCs w:val="12"/>
        </w:rPr>
      </w:pPr>
    </w:p>
    <w:p w14:paraId="23929205" w14:textId="77777777" w:rsidR="00A1228C" w:rsidRDefault="0009354E">
      <w:pPr>
        <w:pStyle w:val="BodyText"/>
        <w:spacing w:line="242" w:lineRule="auto"/>
        <w:ind w:left="116" w:right="116"/>
        <w:jc w:val="both"/>
      </w:pPr>
      <w:r>
        <w:rPr>
          <w:b/>
        </w:rPr>
        <w:t>КАТО ОТЧЕТЕ</w:t>
      </w:r>
      <w:r>
        <w:t xml:space="preserve"> необходимостта от засилен</w:t>
      </w:r>
      <w:r>
        <w:t>и усилия от страна на страните-членки на ОИСР (както във вътрешен, така и в международен контекст) за подобряване на производителността на използването на природни ресурси на всички етапи от жизнения цикъл на тези ресурси (добив, транспониране, транспортир</w:t>
      </w:r>
      <w:r>
        <w:t>ане, потребление и обезвреждане) така че да се избегне загубата на ресурси и да се намалят свързаните с това отрицателни въздействия върху околната среда;</w:t>
      </w:r>
    </w:p>
    <w:p w14:paraId="23929206" w14:textId="77777777" w:rsidR="00A1228C" w:rsidRPr="00772461" w:rsidRDefault="00A1228C">
      <w:pPr>
        <w:pStyle w:val="BodyText"/>
        <w:spacing w:before="2"/>
        <w:rPr>
          <w:sz w:val="12"/>
          <w:szCs w:val="12"/>
        </w:rPr>
      </w:pPr>
    </w:p>
    <w:p w14:paraId="23929207" w14:textId="77777777" w:rsidR="00A1228C" w:rsidRDefault="0009354E">
      <w:pPr>
        <w:pStyle w:val="BodyText"/>
        <w:spacing w:before="1" w:line="242" w:lineRule="auto"/>
        <w:ind w:left="116" w:right="122"/>
        <w:jc w:val="both"/>
      </w:pPr>
      <w:r>
        <w:rPr>
          <w:b/>
        </w:rPr>
        <w:t>КАТО ОТЧЕТЕ,</w:t>
      </w:r>
      <w:r>
        <w:t xml:space="preserve"> че увеличаването на тази производителност също така ще намали натиска от потреблението върху природните ресурси като цяло, като по този начин ще допринесе за по-сигурни доставки на природни ресурси за всички;</w:t>
      </w:r>
    </w:p>
    <w:p w14:paraId="23929208" w14:textId="77777777" w:rsidR="00A1228C" w:rsidRPr="00772461" w:rsidRDefault="00A1228C">
      <w:pPr>
        <w:pStyle w:val="BodyText"/>
        <w:spacing w:before="4"/>
        <w:rPr>
          <w:sz w:val="12"/>
          <w:szCs w:val="12"/>
        </w:rPr>
      </w:pPr>
    </w:p>
    <w:p w14:paraId="23929209" w14:textId="77777777" w:rsidR="00A1228C" w:rsidRDefault="0009354E">
      <w:pPr>
        <w:pStyle w:val="BodyText"/>
        <w:spacing w:line="242" w:lineRule="auto"/>
        <w:ind w:left="116" w:right="124"/>
        <w:jc w:val="both"/>
      </w:pPr>
      <w:r>
        <w:rPr>
          <w:b/>
        </w:rPr>
        <w:t>КАТО ВЗЕ ПРЕДВИД</w:t>
      </w:r>
      <w:r>
        <w:t xml:space="preserve"> тясното сътрудничество по въ</w:t>
      </w:r>
      <w:r>
        <w:t>просите на околната среда между ОИСР и други международни организации;</w:t>
      </w:r>
    </w:p>
    <w:p w14:paraId="2392920A" w14:textId="77777777" w:rsidR="00A1228C" w:rsidRPr="00772461" w:rsidRDefault="00A1228C">
      <w:pPr>
        <w:pStyle w:val="BodyText"/>
        <w:spacing w:before="6"/>
        <w:rPr>
          <w:sz w:val="12"/>
          <w:szCs w:val="12"/>
        </w:rPr>
      </w:pPr>
    </w:p>
    <w:p w14:paraId="2392920B" w14:textId="77777777" w:rsidR="00A1228C" w:rsidRDefault="0009354E">
      <w:pPr>
        <w:pStyle w:val="Heading2"/>
      </w:pPr>
      <w:r>
        <w:t>По предложение на Комитета по екологична политика (EPOC):</w:t>
      </w:r>
    </w:p>
    <w:p w14:paraId="2392920C" w14:textId="77777777" w:rsidR="00A1228C" w:rsidRPr="00772461" w:rsidRDefault="00A1228C">
      <w:pPr>
        <w:pStyle w:val="BodyText"/>
        <w:spacing w:before="11"/>
        <w:rPr>
          <w:b/>
          <w:sz w:val="12"/>
          <w:szCs w:val="12"/>
        </w:rPr>
      </w:pPr>
    </w:p>
    <w:p w14:paraId="2392920D" w14:textId="77777777" w:rsidR="00A1228C" w:rsidRDefault="0009354E">
      <w:pPr>
        <w:pStyle w:val="ListParagraph"/>
        <w:numPr>
          <w:ilvl w:val="0"/>
          <w:numId w:val="2"/>
        </w:numPr>
        <w:tabs>
          <w:tab w:val="left" w:pos="968"/>
          <w:tab w:val="left" w:pos="969"/>
        </w:tabs>
        <w:ind w:right="120" w:firstLine="0"/>
        <w:rPr>
          <w:b/>
          <w:sz w:val="20"/>
        </w:rPr>
      </w:pPr>
      <w:r>
        <w:rPr>
          <w:b/>
          <w:sz w:val="20"/>
        </w:rPr>
        <w:t>ПРЕПОРЪЧВА, по отношение на анализа на материалните потоци и тяхното въздействие върху околната среда, страните-членки:</w:t>
      </w:r>
    </w:p>
    <w:p w14:paraId="2392920E" w14:textId="77777777" w:rsidR="00A1228C" w:rsidRPr="00772461" w:rsidRDefault="00A1228C">
      <w:pPr>
        <w:pStyle w:val="BodyText"/>
        <w:spacing w:before="10"/>
        <w:rPr>
          <w:b/>
          <w:sz w:val="12"/>
          <w:szCs w:val="12"/>
        </w:rPr>
      </w:pPr>
    </w:p>
    <w:p w14:paraId="2392920F" w14:textId="77777777" w:rsidR="00A1228C" w:rsidRDefault="0009354E">
      <w:pPr>
        <w:pStyle w:val="BodyText"/>
        <w:spacing w:before="1"/>
        <w:ind w:left="116" w:right="117"/>
        <w:jc w:val="both"/>
      </w:pPr>
      <w:r>
        <w:t xml:space="preserve">Да насърчават производителността на ресурсите чрез укрепване на капацитета им за анализиране на материалните потоци и свързаните с тях </w:t>
      </w:r>
      <w:r>
        <w:t>въздействия върху околната среда и работа за подобряване на системите за измерване на материалните потоци и производителността на ресурсите, като се възползват от опита на всички съответни министерства и отдели на правителството, научно-изследователски и д</w:t>
      </w:r>
      <w:r>
        <w:t>руги неправителствени организации, относно насоките и опита на ОИСР за</w:t>
      </w:r>
    </w:p>
    <w:p w14:paraId="23929210" w14:textId="77777777" w:rsidR="00A1228C" w:rsidRDefault="00A1228C">
      <w:pPr>
        <w:jc w:val="both"/>
        <w:sectPr w:rsidR="00A1228C">
          <w:pgSz w:w="11910" w:h="16840"/>
          <w:pgMar w:top="1320" w:right="1300" w:bottom="280" w:left="1300" w:header="849" w:footer="0" w:gutter="0"/>
          <w:cols w:space="720"/>
        </w:sectPr>
      </w:pPr>
    </w:p>
    <w:p w14:paraId="23929211" w14:textId="77777777" w:rsidR="00A1228C" w:rsidRDefault="0009354E">
      <w:pPr>
        <w:pStyle w:val="BodyText"/>
        <w:spacing w:before="85"/>
        <w:ind w:left="116" w:right="126"/>
        <w:jc w:val="both"/>
      </w:pPr>
      <w:r>
        <w:lastRenderedPageBreak/>
        <w:t>измерване и анализ на материалните потоци и производителността на ресурсите и на друга международна работа; и в този смисъл:</w:t>
      </w:r>
    </w:p>
    <w:p w14:paraId="23929212" w14:textId="77777777" w:rsidR="00A1228C" w:rsidRPr="0009354E" w:rsidRDefault="00A1228C">
      <w:pPr>
        <w:pStyle w:val="BodyText"/>
        <w:spacing w:before="11"/>
        <w:rPr>
          <w:sz w:val="6"/>
          <w:szCs w:val="6"/>
        </w:rPr>
      </w:pPr>
    </w:p>
    <w:p w14:paraId="23929213" w14:textId="77777777" w:rsidR="00A1228C" w:rsidRDefault="0009354E">
      <w:pPr>
        <w:pStyle w:val="ListParagraph"/>
        <w:numPr>
          <w:ilvl w:val="1"/>
          <w:numId w:val="2"/>
        </w:numPr>
        <w:tabs>
          <w:tab w:val="left" w:pos="968"/>
          <w:tab w:val="left" w:pos="969"/>
        </w:tabs>
        <w:ind w:right="119" w:firstLine="0"/>
        <w:jc w:val="both"/>
        <w:rPr>
          <w:sz w:val="20"/>
        </w:rPr>
      </w:pPr>
      <w:r>
        <w:rPr>
          <w:sz w:val="20"/>
        </w:rPr>
        <w:t>Да подобряват научните познания относно в</w:t>
      </w:r>
      <w:r>
        <w:rPr>
          <w:sz w:val="20"/>
        </w:rPr>
        <w:t>ъздействието върху околната среда и разходите за използване на ресурсите през целия жизнен цикъл на материалите и продуктите, в които са включени, от добив и производство на природни ресурси до управление в края на живота (като отпадъци, повторно използвае</w:t>
      </w:r>
      <w:r>
        <w:rPr>
          <w:sz w:val="20"/>
        </w:rPr>
        <w:t>ми и рециклируеми), включително от ресурси които са били внесени;</w:t>
      </w:r>
    </w:p>
    <w:p w14:paraId="23929214" w14:textId="77777777" w:rsidR="00A1228C" w:rsidRPr="0009354E" w:rsidRDefault="00A1228C">
      <w:pPr>
        <w:pStyle w:val="BodyText"/>
        <w:spacing w:before="9"/>
        <w:rPr>
          <w:sz w:val="6"/>
          <w:szCs w:val="6"/>
        </w:rPr>
      </w:pPr>
    </w:p>
    <w:p w14:paraId="23929215" w14:textId="77777777" w:rsidR="00A1228C" w:rsidRDefault="0009354E">
      <w:pPr>
        <w:pStyle w:val="ListParagraph"/>
        <w:numPr>
          <w:ilvl w:val="1"/>
          <w:numId w:val="2"/>
        </w:numPr>
        <w:tabs>
          <w:tab w:val="left" w:pos="968"/>
          <w:tab w:val="left" w:pos="969"/>
        </w:tabs>
        <w:ind w:right="119" w:firstLine="0"/>
        <w:jc w:val="both"/>
        <w:rPr>
          <w:sz w:val="20"/>
        </w:rPr>
      </w:pPr>
      <w:r>
        <w:rPr>
          <w:sz w:val="20"/>
        </w:rPr>
        <w:t>Да надграждат обхвата и качеството на данните за материалните потоци във и между страните и свързаните с тях въздействия върху околната среда, като обръщат особено внимание на наличието и м</w:t>
      </w:r>
      <w:r>
        <w:rPr>
          <w:sz w:val="20"/>
        </w:rPr>
        <w:t>еждународната съпоставимост на данните за физическите търговски потоци, включително потоци от рециклируеми материали и отпадъци, и избрани материални потоци, които са от икономическо и екологично значение;</w:t>
      </w:r>
    </w:p>
    <w:p w14:paraId="23929216" w14:textId="77777777" w:rsidR="00A1228C" w:rsidRPr="0009354E" w:rsidRDefault="00A1228C">
      <w:pPr>
        <w:pStyle w:val="BodyText"/>
        <w:spacing w:before="9"/>
        <w:rPr>
          <w:sz w:val="6"/>
          <w:szCs w:val="6"/>
        </w:rPr>
      </w:pPr>
    </w:p>
    <w:p w14:paraId="23929217" w14:textId="77777777" w:rsidR="00A1228C" w:rsidRDefault="0009354E">
      <w:pPr>
        <w:pStyle w:val="ListParagraph"/>
        <w:numPr>
          <w:ilvl w:val="1"/>
          <w:numId w:val="2"/>
        </w:numPr>
        <w:tabs>
          <w:tab w:val="left" w:pos="968"/>
          <w:tab w:val="left" w:pos="969"/>
        </w:tabs>
        <w:spacing w:before="1"/>
        <w:ind w:right="116" w:firstLine="0"/>
        <w:jc w:val="both"/>
        <w:rPr>
          <w:sz w:val="20"/>
        </w:rPr>
      </w:pPr>
      <w:r>
        <w:rPr>
          <w:sz w:val="20"/>
        </w:rPr>
        <w:t>Да работят за подобряване и използване на разумни</w:t>
      </w:r>
      <w:r>
        <w:rPr>
          <w:sz w:val="20"/>
        </w:rPr>
        <w:t>, подходящи и международно съвместими сметки за материални потоци, които проследяват запасите и потоците от природни ресурси и ги свързват с критични екологични цикли;</w:t>
      </w:r>
    </w:p>
    <w:p w14:paraId="23929218" w14:textId="77777777" w:rsidR="00A1228C" w:rsidRPr="0009354E" w:rsidRDefault="00A1228C">
      <w:pPr>
        <w:pStyle w:val="BodyText"/>
        <w:spacing w:before="10"/>
        <w:rPr>
          <w:sz w:val="6"/>
          <w:szCs w:val="6"/>
        </w:rPr>
      </w:pPr>
    </w:p>
    <w:p w14:paraId="23929219" w14:textId="77777777" w:rsidR="00A1228C" w:rsidRDefault="0009354E">
      <w:pPr>
        <w:pStyle w:val="ListParagraph"/>
        <w:numPr>
          <w:ilvl w:val="1"/>
          <w:numId w:val="2"/>
        </w:numPr>
        <w:tabs>
          <w:tab w:val="left" w:pos="968"/>
          <w:tab w:val="left" w:pos="969"/>
        </w:tabs>
        <w:spacing w:before="1"/>
        <w:ind w:right="123" w:firstLine="0"/>
        <w:jc w:val="both"/>
        <w:rPr>
          <w:sz w:val="20"/>
        </w:rPr>
      </w:pPr>
      <w:r>
        <w:rPr>
          <w:sz w:val="20"/>
        </w:rPr>
        <w:t>Да разработват допълнително и да насърчават използването на индикатори за оценка на ефе</w:t>
      </w:r>
      <w:r>
        <w:rPr>
          <w:sz w:val="20"/>
        </w:rPr>
        <w:t>ктивността на използването на материални ресурси, като внимателно са разгледали употребите и целите, практическите договорености, разходите, ползите и статистическата база за тези показатели, включително:</w:t>
      </w:r>
    </w:p>
    <w:p w14:paraId="2392921A" w14:textId="77777777" w:rsidR="00A1228C" w:rsidRPr="0009354E" w:rsidRDefault="00A1228C">
      <w:pPr>
        <w:pStyle w:val="BodyText"/>
        <w:spacing w:before="1"/>
        <w:rPr>
          <w:sz w:val="6"/>
          <w:szCs w:val="6"/>
        </w:rPr>
      </w:pPr>
    </w:p>
    <w:p w14:paraId="2392921B" w14:textId="77777777" w:rsidR="00A1228C" w:rsidRDefault="0009354E">
      <w:pPr>
        <w:pStyle w:val="ListParagraph"/>
        <w:numPr>
          <w:ilvl w:val="2"/>
          <w:numId w:val="2"/>
        </w:numPr>
        <w:tabs>
          <w:tab w:val="left" w:pos="969"/>
        </w:tabs>
        <w:spacing w:line="237" w:lineRule="auto"/>
        <w:rPr>
          <w:sz w:val="20"/>
        </w:rPr>
      </w:pPr>
      <w:r>
        <w:rPr>
          <w:sz w:val="20"/>
        </w:rPr>
        <w:t>Показатели за измерване на производителността на ресурсите и отделянето на използването на ресурсите от икономическия растеж на съответните макро, секторни и/или микро нива, като се вземат предвид и двете: обобщаващи показатели за наблюдение на използванет</w:t>
      </w:r>
      <w:r>
        <w:rPr>
          <w:sz w:val="20"/>
        </w:rPr>
        <w:t>о на природни ресурси, производителността на ресурсите и свързаните въздействия върху околната среда; и специфични и дезагрегирани показатели за наблюдение на използването на ресурсите, производителността на ресурсите, свързаните с 3R (Reduce, Reuse, and R</w:t>
      </w:r>
      <w:r>
        <w:rPr>
          <w:sz w:val="20"/>
        </w:rPr>
        <w:t>ecycle - Намаляване, повторна употреба и рециклиране) потоци и свързаните въздействия върху околната среда по отношение на конкретни ресурси, материали или дейности;</w:t>
      </w:r>
    </w:p>
    <w:p w14:paraId="2392921C" w14:textId="77777777" w:rsidR="00A1228C" w:rsidRDefault="0009354E">
      <w:pPr>
        <w:pStyle w:val="ListParagraph"/>
        <w:numPr>
          <w:ilvl w:val="2"/>
          <w:numId w:val="2"/>
        </w:numPr>
        <w:tabs>
          <w:tab w:val="left" w:pos="969"/>
        </w:tabs>
        <w:spacing w:before="130" w:line="228" w:lineRule="auto"/>
        <w:ind w:right="112"/>
        <w:rPr>
          <w:sz w:val="20"/>
        </w:rPr>
      </w:pPr>
      <w:r>
        <w:rPr>
          <w:sz w:val="20"/>
        </w:rPr>
        <w:t>Индикатори за информиране за наличието, качеството и влошаването на запасите от природни р</w:t>
      </w:r>
      <w:r>
        <w:rPr>
          <w:sz w:val="20"/>
        </w:rPr>
        <w:t>есурси, по-специално запасите от възобновяеми ресурси;</w:t>
      </w:r>
    </w:p>
    <w:p w14:paraId="2392921D" w14:textId="77777777" w:rsidR="00A1228C" w:rsidRDefault="0009354E">
      <w:pPr>
        <w:pStyle w:val="ListParagraph"/>
        <w:numPr>
          <w:ilvl w:val="2"/>
          <w:numId w:val="2"/>
        </w:numPr>
        <w:tabs>
          <w:tab w:val="left" w:pos="969"/>
        </w:tabs>
        <w:spacing w:before="133" w:line="228" w:lineRule="auto"/>
        <w:ind w:right="116"/>
        <w:rPr>
          <w:sz w:val="20"/>
        </w:rPr>
      </w:pPr>
      <w:r>
        <w:rPr>
          <w:sz w:val="20"/>
        </w:rPr>
        <w:t>Индикатори за проследяване на потоците и въздействието върху околната среда на материалите, като се вземе предвид целият им жизнен цикъл от добив на природни ресурси и производство до управление в края</w:t>
      </w:r>
      <w:r>
        <w:rPr>
          <w:sz w:val="20"/>
        </w:rPr>
        <w:t xml:space="preserve"> на жизнения цикъл;</w:t>
      </w:r>
    </w:p>
    <w:p w14:paraId="2392921E" w14:textId="77777777" w:rsidR="00A1228C" w:rsidRPr="0009354E" w:rsidRDefault="00A1228C">
      <w:pPr>
        <w:pStyle w:val="BodyText"/>
        <w:rPr>
          <w:sz w:val="6"/>
          <w:szCs w:val="6"/>
        </w:rPr>
      </w:pPr>
    </w:p>
    <w:p w14:paraId="2392921F" w14:textId="77777777" w:rsidR="00A1228C" w:rsidRDefault="0009354E">
      <w:pPr>
        <w:pStyle w:val="ListParagraph"/>
        <w:numPr>
          <w:ilvl w:val="1"/>
          <w:numId w:val="2"/>
        </w:numPr>
        <w:tabs>
          <w:tab w:val="left" w:pos="968"/>
          <w:tab w:val="left" w:pos="969"/>
        </w:tabs>
        <w:ind w:right="121" w:firstLine="0"/>
        <w:jc w:val="both"/>
        <w:rPr>
          <w:sz w:val="20"/>
        </w:rPr>
      </w:pPr>
      <w:r>
        <w:rPr>
          <w:sz w:val="20"/>
        </w:rPr>
        <w:t>Да си сътрудничат с икономики на страни, които не са членки, за да укрепят капацитета им за анализ на материалните потоци и свързаните с тях въздействия върху околната среда;</w:t>
      </w:r>
    </w:p>
    <w:p w14:paraId="23929220" w14:textId="77777777" w:rsidR="00A1228C" w:rsidRPr="0009354E" w:rsidRDefault="00A1228C">
      <w:pPr>
        <w:pStyle w:val="BodyText"/>
        <w:spacing w:before="11"/>
        <w:rPr>
          <w:sz w:val="6"/>
          <w:szCs w:val="6"/>
        </w:rPr>
      </w:pPr>
    </w:p>
    <w:p w14:paraId="23929221" w14:textId="77777777" w:rsidR="00A1228C" w:rsidRDefault="0009354E">
      <w:pPr>
        <w:pStyle w:val="ListParagraph"/>
        <w:numPr>
          <w:ilvl w:val="1"/>
          <w:numId w:val="2"/>
        </w:numPr>
        <w:tabs>
          <w:tab w:val="left" w:pos="968"/>
          <w:tab w:val="left" w:pos="969"/>
        </w:tabs>
        <w:ind w:right="122" w:firstLine="0"/>
        <w:jc w:val="both"/>
        <w:rPr>
          <w:sz w:val="20"/>
        </w:rPr>
      </w:pPr>
      <w:r>
        <w:rPr>
          <w:sz w:val="20"/>
        </w:rPr>
        <w:t>Да споделят насоки и опит на ОИСР относно измерването и ана</w:t>
      </w:r>
      <w:r>
        <w:rPr>
          <w:sz w:val="20"/>
        </w:rPr>
        <w:t>лиза на материалните потоци и производителността на ресурсите с всички съответни министерства и ведомства на правителството, научно-изследователски и други неправителствени организации и членове на частния сектор.</w:t>
      </w:r>
    </w:p>
    <w:p w14:paraId="23929222" w14:textId="77777777" w:rsidR="00A1228C" w:rsidRPr="0009354E" w:rsidRDefault="00A1228C">
      <w:pPr>
        <w:pStyle w:val="BodyText"/>
        <w:spacing w:before="9"/>
        <w:rPr>
          <w:sz w:val="6"/>
          <w:szCs w:val="6"/>
        </w:rPr>
      </w:pPr>
    </w:p>
    <w:p w14:paraId="23929223" w14:textId="77777777" w:rsidR="00A1228C" w:rsidRDefault="0009354E">
      <w:pPr>
        <w:pStyle w:val="Heading2"/>
        <w:numPr>
          <w:ilvl w:val="0"/>
          <w:numId w:val="2"/>
        </w:numPr>
        <w:tabs>
          <w:tab w:val="left" w:pos="968"/>
          <w:tab w:val="left" w:pos="969"/>
        </w:tabs>
        <w:ind w:right="123" w:firstLine="0"/>
        <w:jc w:val="both"/>
      </w:pPr>
      <w:r>
        <w:t>ПРЕПОРЪЧВА, по отношение на политиките за</w:t>
      </w:r>
      <w:r>
        <w:t xml:space="preserve"> подобряване на производителността на ресурсите, страните-членки:</w:t>
      </w:r>
    </w:p>
    <w:p w14:paraId="23929224" w14:textId="77777777" w:rsidR="00A1228C" w:rsidRPr="0009354E" w:rsidRDefault="00A1228C">
      <w:pPr>
        <w:pStyle w:val="BodyText"/>
        <w:spacing w:before="11"/>
        <w:rPr>
          <w:b/>
          <w:sz w:val="6"/>
          <w:szCs w:val="6"/>
        </w:rPr>
      </w:pPr>
    </w:p>
    <w:p w14:paraId="23929225" w14:textId="77777777" w:rsidR="00A1228C" w:rsidRDefault="0009354E">
      <w:pPr>
        <w:pStyle w:val="BodyText"/>
        <w:ind w:left="116" w:right="113"/>
        <w:jc w:val="both"/>
      </w:pPr>
      <w:r>
        <w:t>Да предприемат подходящи действия за подобряване на производителността на ресурсите и намаляване на отрицателните въздействия върху околната среда от използването на материали и продукти, ч</w:t>
      </w:r>
      <w:r>
        <w:t>рез насърчаване на екологично ефективно и икономически ефективно използване на природни ресурси и материали на макро, секторно и микро ниво и чрез включване на всички съответни министерства и ведомства на правителството, както и изследователски и други неп</w:t>
      </w:r>
      <w:r>
        <w:t>равителствени организации. За тази цел:</w:t>
      </w:r>
    </w:p>
    <w:p w14:paraId="23929226" w14:textId="77777777" w:rsidR="00A1228C" w:rsidRPr="0009354E" w:rsidRDefault="00A1228C">
      <w:pPr>
        <w:pStyle w:val="BodyText"/>
        <w:spacing w:before="10"/>
        <w:rPr>
          <w:sz w:val="6"/>
          <w:szCs w:val="6"/>
        </w:rPr>
      </w:pPr>
    </w:p>
    <w:p w14:paraId="23929227" w14:textId="77777777" w:rsidR="00A1228C" w:rsidRDefault="0009354E">
      <w:pPr>
        <w:pStyle w:val="ListParagraph"/>
        <w:numPr>
          <w:ilvl w:val="1"/>
          <w:numId w:val="2"/>
        </w:numPr>
        <w:tabs>
          <w:tab w:val="left" w:pos="968"/>
          <w:tab w:val="left" w:pos="969"/>
        </w:tabs>
        <w:ind w:right="123" w:firstLine="0"/>
        <w:jc w:val="both"/>
        <w:rPr>
          <w:sz w:val="20"/>
        </w:rPr>
      </w:pPr>
      <w:r>
        <w:rPr>
          <w:sz w:val="20"/>
        </w:rPr>
        <w:t>Да обмислят използването на информация за материалните потоци и тяхното въздействие върху околната среда за целите на планирането, както е подходящо в национален контекст, включително, например, използването на такава информация за определяне на цели, и сп</w:t>
      </w:r>
      <w:r>
        <w:rPr>
          <w:sz w:val="20"/>
        </w:rPr>
        <w:t>оделяне на този опит и най-добри практики с други страни-членки;</w:t>
      </w:r>
    </w:p>
    <w:p w14:paraId="23929228" w14:textId="77777777" w:rsidR="00A1228C" w:rsidRPr="0009354E" w:rsidRDefault="00A1228C">
      <w:pPr>
        <w:pStyle w:val="BodyText"/>
        <w:rPr>
          <w:sz w:val="12"/>
          <w:szCs w:val="12"/>
        </w:rPr>
      </w:pPr>
    </w:p>
    <w:p w14:paraId="23929229" w14:textId="77777777" w:rsidR="00A1228C" w:rsidRDefault="0009354E">
      <w:pPr>
        <w:pStyle w:val="ListParagraph"/>
        <w:numPr>
          <w:ilvl w:val="1"/>
          <w:numId w:val="2"/>
        </w:numPr>
        <w:tabs>
          <w:tab w:val="left" w:pos="968"/>
          <w:tab w:val="left" w:pos="969"/>
        </w:tabs>
        <w:ind w:right="117" w:firstLine="0"/>
        <w:jc w:val="both"/>
        <w:rPr>
          <w:sz w:val="20"/>
        </w:rPr>
      </w:pPr>
      <w:r>
        <w:rPr>
          <w:sz w:val="20"/>
        </w:rPr>
        <w:t>Да насърчават интегрирани подходи, ориентирани към жизнения цикъл, като политики за 3R (Reduce, Reuse, and Recycle - намаляване, повторна употреба и рециклиране), устойчиво управление на мат</w:t>
      </w:r>
      <w:r>
        <w:rPr>
          <w:sz w:val="20"/>
        </w:rPr>
        <w:t>ериали и устойчиво производство като принос за вземане на решения и за повишаване на съгласуваността между политиките;</w:t>
      </w:r>
    </w:p>
    <w:p w14:paraId="2392922A" w14:textId="77777777" w:rsidR="00A1228C" w:rsidRPr="0009354E" w:rsidRDefault="00A1228C">
      <w:pPr>
        <w:pStyle w:val="BodyText"/>
        <w:spacing w:before="9"/>
        <w:rPr>
          <w:sz w:val="6"/>
          <w:szCs w:val="6"/>
        </w:rPr>
      </w:pPr>
    </w:p>
    <w:p w14:paraId="2392922B" w14:textId="77777777" w:rsidR="00A1228C" w:rsidRDefault="0009354E">
      <w:pPr>
        <w:pStyle w:val="ListParagraph"/>
        <w:numPr>
          <w:ilvl w:val="1"/>
          <w:numId w:val="2"/>
        </w:numPr>
        <w:tabs>
          <w:tab w:val="left" w:pos="968"/>
          <w:tab w:val="left" w:pos="969"/>
        </w:tabs>
        <w:ind w:right="112" w:firstLine="0"/>
        <w:jc w:val="both"/>
        <w:rPr>
          <w:sz w:val="20"/>
        </w:rPr>
      </w:pPr>
      <w:r>
        <w:rPr>
          <w:sz w:val="20"/>
        </w:rPr>
        <w:t>Да развиват допълнително и насърчават използването на нови технологии и иновации, насочени към подобряване на производителността на ресу</w:t>
      </w:r>
      <w:r>
        <w:rPr>
          <w:sz w:val="20"/>
        </w:rPr>
        <w:t>рсите;</w:t>
      </w:r>
    </w:p>
    <w:p w14:paraId="2392922C" w14:textId="77777777" w:rsidR="00A1228C" w:rsidRPr="0009354E" w:rsidRDefault="00A1228C">
      <w:pPr>
        <w:pStyle w:val="BodyText"/>
        <w:spacing w:before="10"/>
        <w:rPr>
          <w:sz w:val="6"/>
          <w:szCs w:val="6"/>
        </w:rPr>
      </w:pPr>
    </w:p>
    <w:p w14:paraId="2392922D" w14:textId="77777777" w:rsidR="00A1228C" w:rsidRDefault="0009354E">
      <w:pPr>
        <w:pStyle w:val="ListParagraph"/>
        <w:numPr>
          <w:ilvl w:val="1"/>
          <w:numId w:val="2"/>
        </w:numPr>
        <w:tabs>
          <w:tab w:val="left" w:pos="968"/>
          <w:tab w:val="left" w:pos="969"/>
        </w:tabs>
        <w:spacing w:before="1"/>
        <w:ind w:left="968" w:right="0" w:hanging="853"/>
        <w:jc w:val="both"/>
        <w:rPr>
          <w:sz w:val="20"/>
        </w:rPr>
      </w:pPr>
      <w:r>
        <w:rPr>
          <w:sz w:val="20"/>
        </w:rPr>
        <w:t>Да насърчават сътрудничеството и споделянето на най-добри практики между предприятията;</w:t>
      </w:r>
    </w:p>
    <w:p w14:paraId="2392922E" w14:textId="77777777" w:rsidR="00A1228C" w:rsidRDefault="00A1228C">
      <w:pPr>
        <w:jc w:val="both"/>
        <w:rPr>
          <w:sz w:val="20"/>
        </w:rPr>
        <w:sectPr w:rsidR="00A1228C">
          <w:pgSz w:w="11910" w:h="16840"/>
          <w:pgMar w:top="1320" w:right="1300" w:bottom="280" w:left="1300" w:header="849" w:footer="0" w:gutter="0"/>
          <w:cols w:space="720"/>
        </w:sectPr>
      </w:pPr>
    </w:p>
    <w:p w14:paraId="2392922F" w14:textId="77777777" w:rsidR="00A1228C" w:rsidRDefault="0009354E">
      <w:pPr>
        <w:pStyle w:val="ListParagraph"/>
        <w:numPr>
          <w:ilvl w:val="1"/>
          <w:numId w:val="2"/>
        </w:numPr>
        <w:tabs>
          <w:tab w:val="left" w:pos="968"/>
          <w:tab w:val="left" w:pos="969"/>
        </w:tabs>
        <w:spacing w:before="85"/>
        <w:ind w:right="111" w:firstLine="0"/>
        <w:jc w:val="both"/>
        <w:rPr>
          <w:sz w:val="20"/>
        </w:rPr>
      </w:pPr>
      <w:r>
        <w:rPr>
          <w:sz w:val="20"/>
        </w:rPr>
        <w:lastRenderedPageBreak/>
        <w:t>Да допринасят за създаването на рамкови условия, които подобряват производителността на ресурсите чрез икономически инструменти;</w:t>
      </w:r>
    </w:p>
    <w:p w14:paraId="23929230" w14:textId="77777777" w:rsidR="00A1228C" w:rsidRDefault="00A1228C">
      <w:pPr>
        <w:pStyle w:val="BodyText"/>
        <w:spacing w:before="11"/>
      </w:pPr>
    </w:p>
    <w:p w14:paraId="23929231" w14:textId="77777777" w:rsidR="00A1228C" w:rsidRDefault="0009354E">
      <w:pPr>
        <w:pStyle w:val="ListParagraph"/>
        <w:numPr>
          <w:ilvl w:val="1"/>
          <w:numId w:val="2"/>
        </w:numPr>
        <w:tabs>
          <w:tab w:val="left" w:pos="968"/>
          <w:tab w:val="left" w:pos="969"/>
        </w:tabs>
        <w:ind w:right="120" w:firstLine="0"/>
        <w:jc w:val="both"/>
        <w:rPr>
          <w:sz w:val="20"/>
        </w:rPr>
      </w:pPr>
      <w:r>
        <w:rPr>
          <w:sz w:val="20"/>
        </w:rPr>
        <w:t>Да си сътрудничат, за да гарантират, че мерките на политиката, предприети за подобряване на производителността на ресурсите, са ефективни в икономическо отношение, ефективни от гледна точка на околната среда и справедливи в социално отношение;</w:t>
      </w:r>
    </w:p>
    <w:p w14:paraId="23929232" w14:textId="77777777" w:rsidR="00A1228C" w:rsidRDefault="00A1228C">
      <w:pPr>
        <w:pStyle w:val="BodyText"/>
        <w:spacing w:before="11"/>
      </w:pPr>
    </w:p>
    <w:p w14:paraId="23929233" w14:textId="77777777" w:rsidR="00A1228C" w:rsidRDefault="0009354E">
      <w:pPr>
        <w:pStyle w:val="ListParagraph"/>
        <w:numPr>
          <w:ilvl w:val="1"/>
          <w:numId w:val="2"/>
        </w:numPr>
        <w:tabs>
          <w:tab w:val="left" w:pos="968"/>
          <w:tab w:val="left" w:pos="969"/>
        </w:tabs>
        <w:ind w:firstLine="0"/>
        <w:jc w:val="both"/>
        <w:rPr>
          <w:sz w:val="20"/>
        </w:rPr>
      </w:pPr>
      <w:r>
        <w:rPr>
          <w:sz w:val="20"/>
        </w:rPr>
        <w:t>Да си сътру</w:t>
      </w:r>
      <w:r>
        <w:rPr>
          <w:sz w:val="20"/>
        </w:rPr>
        <w:t>дничат с икономики на страни, които не са членки, за да засилят капацитета им за разработване и прилагане на политики, отнасящи се до подобряване на производителността на ресурсите.</w:t>
      </w:r>
    </w:p>
    <w:p w14:paraId="23929234" w14:textId="77777777" w:rsidR="00A1228C" w:rsidRDefault="00A1228C">
      <w:pPr>
        <w:pStyle w:val="BodyText"/>
        <w:spacing w:before="6"/>
      </w:pPr>
    </w:p>
    <w:p w14:paraId="23929235" w14:textId="77777777" w:rsidR="00A1228C" w:rsidRDefault="0009354E">
      <w:pPr>
        <w:pStyle w:val="Heading2"/>
        <w:numPr>
          <w:ilvl w:val="0"/>
          <w:numId w:val="2"/>
        </w:numPr>
        <w:tabs>
          <w:tab w:val="left" w:pos="968"/>
          <w:tab w:val="left" w:pos="969"/>
        </w:tabs>
        <w:ind w:left="968" w:hanging="853"/>
        <w:jc w:val="both"/>
      </w:pPr>
      <w:r>
        <w:t>УКАЗВА на Комитета по екологична политика:</w:t>
      </w:r>
    </w:p>
    <w:p w14:paraId="23929236" w14:textId="77777777" w:rsidR="00A1228C" w:rsidRDefault="00A1228C">
      <w:pPr>
        <w:pStyle w:val="BodyText"/>
        <w:spacing w:before="1"/>
        <w:rPr>
          <w:b/>
          <w:sz w:val="21"/>
        </w:rPr>
      </w:pPr>
    </w:p>
    <w:p w14:paraId="23929237" w14:textId="77777777" w:rsidR="00A1228C" w:rsidRDefault="0009354E">
      <w:pPr>
        <w:pStyle w:val="ListParagraph"/>
        <w:numPr>
          <w:ilvl w:val="1"/>
          <w:numId w:val="2"/>
        </w:numPr>
        <w:tabs>
          <w:tab w:val="left" w:pos="968"/>
          <w:tab w:val="left" w:pos="969"/>
        </w:tabs>
        <w:ind w:right="122" w:firstLine="0"/>
        <w:jc w:val="both"/>
        <w:rPr>
          <w:sz w:val="20"/>
        </w:rPr>
      </w:pPr>
      <w:r>
        <w:rPr>
          <w:sz w:val="20"/>
        </w:rPr>
        <w:t>Да преразгледа съществуващите</w:t>
      </w:r>
      <w:r>
        <w:rPr>
          <w:sz w:val="20"/>
        </w:rPr>
        <w:t xml:space="preserve"> политики и практики и да допринесе за разработването на общи принципи и насоки на политиката относно производителността на ресурсите и устойчивото управление на материалите;</w:t>
      </w:r>
    </w:p>
    <w:p w14:paraId="23929238" w14:textId="77777777" w:rsidR="00A1228C" w:rsidRDefault="00A1228C">
      <w:pPr>
        <w:pStyle w:val="BodyText"/>
        <w:rPr>
          <w:sz w:val="21"/>
        </w:rPr>
      </w:pPr>
    </w:p>
    <w:p w14:paraId="23929239" w14:textId="77777777" w:rsidR="00A1228C" w:rsidRDefault="0009354E">
      <w:pPr>
        <w:pStyle w:val="ListParagraph"/>
        <w:numPr>
          <w:ilvl w:val="1"/>
          <w:numId w:val="2"/>
        </w:numPr>
        <w:tabs>
          <w:tab w:val="left" w:pos="968"/>
          <w:tab w:val="left" w:pos="969"/>
        </w:tabs>
        <w:ind w:firstLine="0"/>
        <w:jc w:val="both"/>
        <w:rPr>
          <w:sz w:val="20"/>
        </w:rPr>
      </w:pPr>
      <w:r>
        <w:rPr>
          <w:sz w:val="20"/>
        </w:rPr>
        <w:t>Да засили капацитета си за анализ на материалните потоци на международно ниво, с</w:t>
      </w:r>
      <w:r>
        <w:rPr>
          <w:sz w:val="20"/>
        </w:rPr>
        <w:t xml:space="preserve"> особен акцент върху ключови материали, върху преките и непреките потоци и тяхното въздействие върху околната среда, включително възможно разработване на съответни бази данни в сътрудничество с други международни организации и икономики на страни, които не</w:t>
      </w:r>
      <w:r>
        <w:rPr>
          <w:sz w:val="20"/>
        </w:rPr>
        <w:t xml:space="preserve"> са членки;</w:t>
      </w:r>
    </w:p>
    <w:p w14:paraId="2392923A" w14:textId="77777777" w:rsidR="00A1228C" w:rsidRDefault="00A1228C">
      <w:pPr>
        <w:pStyle w:val="BodyText"/>
        <w:spacing w:before="9"/>
      </w:pPr>
    </w:p>
    <w:p w14:paraId="2392923B" w14:textId="77777777" w:rsidR="00A1228C" w:rsidRDefault="0009354E">
      <w:pPr>
        <w:pStyle w:val="ListParagraph"/>
        <w:numPr>
          <w:ilvl w:val="1"/>
          <w:numId w:val="2"/>
        </w:numPr>
        <w:tabs>
          <w:tab w:val="left" w:pos="968"/>
          <w:tab w:val="left" w:pos="969"/>
        </w:tabs>
        <w:spacing w:before="1"/>
        <w:ind w:right="122" w:firstLine="0"/>
        <w:jc w:val="both"/>
        <w:rPr>
          <w:sz w:val="20"/>
        </w:rPr>
      </w:pPr>
      <w:r>
        <w:rPr>
          <w:sz w:val="20"/>
        </w:rPr>
        <w:t>Да развие допълнително и при необходимост да насърчава използването на анализ на материалния поток, показатели за производителност на ресурсите и методи за оценка на въздействието върху околната среда от използването на ресурсите;</w:t>
      </w:r>
    </w:p>
    <w:p w14:paraId="2392923C" w14:textId="77777777" w:rsidR="00A1228C" w:rsidRDefault="00A1228C">
      <w:pPr>
        <w:pStyle w:val="BodyText"/>
        <w:spacing w:before="10"/>
      </w:pPr>
    </w:p>
    <w:p w14:paraId="2392923D" w14:textId="77777777" w:rsidR="00A1228C" w:rsidRDefault="0009354E">
      <w:pPr>
        <w:pStyle w:val="ListParagraph"/>
        <w:numPr>
          <w:ilvl w:val="1"/>
          <w:numId w:val="2"/>
        </w:numPr>
        <w:tabs>
          <w:tab w:val="left" w:pos="968"/>
          <w:tab w:val="left" w:pos="969"/>
        </w:tabs>
        <w:ind w:right="125" w:firstLine="0"/>
        <w:jc w:val="both"/>
        <w:rPr>
          <w:sz w:val="20"/>
        </w:rPr>
      </w:pPr>
      <w:r>
        <w:rPr>
          <w:sz w:val="20"/>
        </w:rPr>
        <w:t>Да подкрепя усилията на страните-членки за разработване и прилагане на интегрирани политики за управление на природни ресурси и материали през целия им жизнен цикъл, като улеснява обмена на опит и най-добри практики в областта на производителността на ресу</w:t>
      </w:r>
      <w:r>
        <w:rPr>
          <w:sz w:val="20"/>
        </w:rPr>
        <w:t>рсите, включително устойчиво управление на материали и устойчиво производство;</w:t>
      </w:r>
    </w:p>
    <w:p w14:paraId="2392923E" w14:textId="77777777" w:rsidR="00A1228C" w:rsidRDefault="00A1228C">
      <w:pPr>
        <w:pStyle w:val="BodyText"/>
        <w:spacing w:before="10"/>
      </w:pPr>
    </w:p>
    <w:p w14:paraId="2392923F" w14:textId="77777777" w:rsidR="00A1228C" w:rsidRDefault="0009354E">
      <w:pPr>
        <w:pStyle w:val="ListParagraph"/>
        <w:numPr>
          <w:ilvl w:val="1"/>
          <w:numId w:val="2"/>
        </w:numPr>
        <w:tabs>
          <w:tab w:val="left" w:pos="968"/>
          <w:tab w:val="left" w:pos="969"/>
        </w:tabs>
        <w:ind w:right="115" w:firstLine="0"/>
        <w:jc w:val="both"/>
        <w:rPr>
          <w:sz w:val="20"/>
        </w:rPr>
      </w:pPr>
      <w:r>
        <w:rPr>
          <w:sz w:val="20"/>
        </w:rPr>
        <w:t>Да подпомогне икономиките на страните, които не са членки, при разработването и прилагането на политически рамки и системи за измерване, които допринасят за постигането на цели</w:t>
      </w:r>
      <w:r>
        <w:rPr>
          <w:sz w:val="20"/>
        </w:rPr>
        <w:t>те на настоящата препоръка както на национално, така и на международно ниво;</w:t>
      </w:r>
    </w:p>
    <w:p w14:paraId="23929240" w14:textId="77777777" w:rsidR="00A1228C" w:rsidRDefault="00A1228C">
      <w:pPr>
        <w:pStyle w:val="BodyText"/>
        <w:spacing w:before="8"/>
      </w:pPr>
    </w:p>
    <w:p w14:paraId="23929241" w14:textId="77777777" w:rsidR="00A1228C" w:rsidRDefault="0009354E">
      <w:pPr>
        <w:pStyle w:val="ListParagraph"/>
        <w:numPr>
          <w:ilvl w:val="1"/>
          <w:numId w:val="2"/>
        </w:numPr>
        <w:tabs>
          <w:tab w:val="left" w:pos="968"/>
          <w:tab w:val="left" w:pos="969"/>
        </w:tabs>
        <w:spacing w:before="1"/>
        <w:ind w:right="118" w:firstLine="0"/>
        <w:jc w:val="both"/>
        <w:rPr>
          <w:sz w:val="20"/>
        </w:rPr>
      </w:pPr>
      <w:r>
        <w:rPr>
          <w:sz w:val="20"/>
        </w:rPr>
        <w:t>Да изпълнява тези задачи в сътрудничество с други подходящи органи на ОИСР, други международни организации като UNEP (включително Ресурсния панел) и Г-8 (включително инициативата 3R) и частния сектор;</w:t>
      </w:r>
    </w:p>
    <w:p w14:paraId="23929242" w14:textId="77777777" w:rsidR="00A1228C" w:rsidRDefault="00A1228C">
      <w:pPr>
        <w:pStyle w:val="BodyText"/>
        <w:rPr>
          <w:sz w:val="21"/>
        </w:rPr>
      </w:pPr>
    </w:p>
    <w:p w14:paraId="23929243" w14:textId="77777777" w:rsidR="00A1228C" w:rsidRDefault="0009354E">
      <w:pPr>
        <w:pStyle w:val="ListParagraph"/>
        <w:numPr>
          <w:ilvl w:val="1"/>
          <w:numId w:val="2"/>
        </w:numPr>
        <w:tabs>
          <w:tab w:val="left" w:pos="968"/>
          <w:tab w:val="left" w:pos="969"/>
        </w:tabs>
        <w:ind w:right="127" w:firstLine="0"/>
        <w:jc w:val="both"/>
        <w:rPr>
          <w:sz w:val="20"/>
        </w:rPr>
      </w:pPr>
      <w:r>
        <w:rPr>
          <w:sz w:val="20"/>
        </w:rPr>
        <w:t>Да докладва на Съвета за постигнатия напредък при прил</w:t>
      </w:r>
      <w:r>
        <w:rPr>
          <w:sz w:val="20"/>
        </w:rPr>
        <w:t>агането на тази препоръка в рамките на пет години след нейното приемане.</w:t>
      </w:r>
    </w:p>
    <w:p w14:paraId="23929244" w14:textId="77777777" w:rsidR="00A1228C" w:rsidRDefault="00A1228C">
      <w:pPr>
        <w:pStyle w:val="BodyText"/>
      </w:pPr>
    </w:p>
    <w:p w14:paraId="23929245" w14:textId="77777777" w:rsidR="00A1228C" w:rsidRDefault="0009354E">
      <w:pPr>
        <w:pStyle w:val="BodyText"/>
        <w:spacing w:before="9"/>
        <w:rPr>
          <w:sz w:val="22"/>
        </w:rPr>
      </w:pPr>
      <w:r>
        <w:pict w14:anchorId="23929265">
          <v:rect id="_x0000_s1026" style="position:absolute;margin-left:70.8pt;margin-top:15.1pt;width:2in;height:.35pt;z-index:-15726080;mso-wrap-distance-left:0;mso-wrap-distance-right:0;mso-position-horizontal-relative:page" fillcolor="black" stroked="f">
            <w10:wrap type="topAndBottom" anchorx="page"/>
          </v:rect>
        </w:pict>
      </w:r>
    </w:p>
    <w:p w14:paraId="23929246" w14:textId="77777777" w:rsidR="00A1228C" w:rsidRDefault="0009354E">
      <w:pPr>
        <w:spacing w:before="36"/>
        <w:ind w:left="543" w:right="113" w:hanging="286"/>
        <w:jc w:val="both"/>
        <w:rPr>
          <w:sz w:val="18"/>
        </w:rPr>
      </w:pPr>
      <w:r>
        <w:rPr>
          <w:sz w:val="12"/>
        </w:rPr>
        <w:t>1</w:t>
      </w:r>
      <w:r>
        <w:t xml:space="preserve"> </w:t>
      </w:r>
      <w:r>
        <w:rPr>
          <w:sz w:val="18"/>
        </w:rPr>
        <w:t>За целите на тази препоръка терминът „ресурс“ се разбира като включващ природни ресурси (и материалите и продуктите, получени от тях), чиито добив, преработка, използване и обезв</w:t>
      </w:r>
      <w:r>
        <w:rPr>
          <w:sz w:val="18"/>
        </w:rPr>
        <w:t>реждане са от международно значение както от икономическа, така и от екологична гледна точка. Обхватът на препоръката е ограничен до минерали (метални и неметални промишлени минерали) и биомаса. Енергийните ресурси (напр. въглища, нефт, газ), водните и риб</w:t>
      </w:r>
      <w:r>
        <w:rPr>
          <w:sz w:val="18"/>
        </w:rPr>
        <w:t>ните ресурси са изключени и са обхванати само до степента, в която са част от интегриран подход към целия ресурсен цикъл.</w:t>
      </w:r>
    </w:p>
    <w:p w14:paraId="23929247" w14:textId="77777777" w:rsidR="00A1228C" w:rsidRDefault="0009354E">
      <w:pPr>
        <w:spacing w:before="115"/>
        <w:ind w:left="543" w:right="111" w:hanging="286"/>
        <w:jc w:val="both"/>
        <w:rPr>
          <w:sz w:val="18"/>
        </w:rPr>
      </w:pPr>
      <w:r>
        <w:rPr>
          <w:sz w:val="12"/>
        </w:rPr>
        <w:t>2</w:t>
      </w:r>
      <w:r>
        <w:t xml:space="preserve"> </w:t>
      </w:r>
      <w:r>
        <w:rPr>
          <w:sz w:val="18"/>
        </w:rPr>
        <w:t xml:space="preserve">За целите на тази препоръка терминът „производителност на ресурсите“ се разбира като съдържащ както </w:t>
      </w:r>
      <w:r>
        <w:rPr>
          <w:i/>
          <w:sz w:val="18"/>
        </w:rPr>
        <w:t>количествено</w:t>
      </w:r>
      <w:r>
        <w:rPr>
          <w:sz w:val="18"/>
        </w:rPr>
        <w:t xml:space="preserve"> измерение (напр. ко</w:t>
      </w:r>
      <w:r>
        <w:rPr>
          <w:sz w:val="18"/>
        </w:rPr>
        <w:t xml:space="preserve">личеството продукция, произведено с дадени вложени природни ресурси), така и </w:t>
      </w:r>
      <w:r>
        <w:rPr>
          <w:i/>
          <w:sz w:val="18"/>
        </w:rPr>
        <w:t>качествено</w:t>
      </w:r>
      <w:r>
        <w:rPr>
          <w:sz w:val="18"/>
        </w:rPr>
        <w:t xml:space="preserve"> измерение (напр. въздействието върху околната среда на единица от продукция, произведена с даден вложен природен ресурс). Енергийната ефективност е изключена, въпреки ч</w:t>
      </w:r>
      <w:r>
        <w:rPr>
          <w:sz w:val="18"/>
        </w:rPr>
        <w:t>е се признава, че енергийната ефективност и производителността на ресурсите са взаимосвързани.</w:t>
      </w:r>
    </w:p>
    <w:p w14:paraId="23929248" w14:textId="77777777" w:rsidR="00A1228C" w:rsidRDefault="00A1228C">
      <w:pPr>
        <w:jc w:val="both"/>
        <w:rPr>
          <w:sz w:val="18"/>
        </w:rPr>
        <w:sectPr w:rsidR="00A1228C">
          <w:pgSz w:w="11910" w:h="16840"/>
          <w:pgMar w:top="1320" w:right="1300" w:bottom="280" w:left="1300" w:header="849" w:footer="0" w:gutter="0"/>
          <w:cols w:space="720"/>
        </w:sectPr>
      </w:pPr>
    </w:p>
    <w:p w14:paraId="23929249" w14:textId="77777777" w:rsidR="00A1228C" w:rsidRDefault="0009354E">
      <w:pPr>
        <w:pStyle w:val="Heading1"/>
      </w:pPr>
      <w:bookmarkStart w:id="0" w:name="About_the_OECD"/>
      <w:bookmarkEnd w:id="0"/>
      <w:r>
        <w:rPr>
          <w:color w:val="1F4679"/>
        </w:rPr>
        <w:lastRenderedPageBreak/>
        <w:t>Относно ОИСР</w:t>
      </w:r>
    </w:p>
    <w:p w14:paraId="2392924A" w14:textId="77777777" w:rsidR="00A1228C" w:rsidRDefault="00A1228C">
      <w:pPr>
        <w:pStyle w:val="BodyText"/>
        <w:spacing w:before="5"/>
        <w:rPr>
          <w:b/>
          <w:sz w:val="21"/>
        </w:rPr>
      </w:pPr>
    </w:p>
    <w:p w14:paraId="2392924B" w14:textId="77777777" w:rsidR="00A1228C" w:rsidRDefault="0009354E">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w:t>
      </w:r>
      <w:r>
        <w:t>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w:t>
      </w:r>
      <w:r>
        <w:t>ми, да идентифицират добри практики и да работят за координиране на вътрешни и международни политики.</w:t>
      </w:r>
    </w:p>
    <w:p w14:paraId="2392924C" w14:textId="77777777" w:rsidR="00A1228C" w:rsidRDefault="00A1228C">
      <w:pPr>
        <w:pStyle w:val="BodyText"/>
        <w:spacing w:before="10"/>
      </w:pPr>
    </w:p>
    <w:p w14:paraId="2392924D" w14:textId="77777777" w:rsidR="00A1228C" w:rsidRDefault="0009354E">
      <w:pPr>
        <w:pStyle w:val="BodyText"/>
        <w:ind w:left="115" w:right="144" w:hanging="3"/>
        <w:jc w:val="both"/>
      </w:pPr>
      <w:r>
        <w:t xml:space="preserve">Страните членки на ОИСР са: Австралия, Австрия, Белгия, Канада, Чили, Колумбия, Коста Рика, Чехия, Дания, Естония, Финландия, Франция, Германия, Гърция, </w:t>
      </w:r>
      <w:r>
        <w:t>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w:t>
      </w:r>
      <w:r>
        <w:t>. Европейският съюз участва в работата на ОИСР.</w:t>
      </w:r>
    </w:p>
    <w:p w14:paraId="2392924E" w14:textId="77777777" w:rsidR="00A1228C" w:rsidRDefault="00A1228C">
      <w:pPr>
        <w:pStyle w:val="BodyText"/>
        <w:rPr>
          <w:sz w:val="22"/>
        </w:rPr>
      </w:pPr>
    </w:p>
    <w:p w14:paraId="2392924F" w14:textId="77777777" w:rsidR="00A1228C" w:rsidRDefault="0009354E">
      <w:pPr>
        <w:pStyle w:val="Heading1"/>
        <w:spacing w:before="141"/>
      </w:pPr>
      <w:bookmarkStart w:id="1" w:name="OECD_Legal_Instruments"/>
      <w:bookmarkEnd w:id="1"/>
      <w:r>
        <w:rPr>
          <w:color w:val="1F4679"/>
        </w:rPr>
        <w:t>Правни инструменти на ОИСР</w:t>
      </w:r>
    </w:p>
    <w:p w14:paraId="23929250" w14:textId="77777777" w:rsidR="00A1228C" w:rsidRDefault="00A1228C">
      <w:pPr>
        <w:pStyle w:val="BodyText"/>
        <w:spacing w:before="7"/>
        <w:rPr>
          <w:b/>
          <w:sz w:val="21"/>
        </w:rPr>
      </w:pPr>
    </w:p>
    <w:p w14:paraId="23929251" w14:textId="77777777" w:rsidR="00A1228C" w:rsidRDefault="0009354E">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w:t>
      </w:r>
      <w:r>
        <w:t xml:space="preserve">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23929252" w14:textId="77777777" w:rsidR="00A1228C" w:rsidRDefault="00A1228C">
      <w:pPr>
        <w:pStyle w:val="BodyText"/>
        <w:spacing w:before="10"/>
      </w:pPr>
    </w:p>
    <w:p w14:paraId="23929253" w14:textId="77777777" w:rsidR="00A1228C" w:rsidRDefault="0009354E">
      <w:pPr>
        <w:pStyle w:val="BodyText"/>
        <w:ind w:left="113" w:right="150"/>
        <w:jc w:val="both"/>
      </w:pPr>
      <w:r>
        <w:t xml:space="preserve">Всички съществени правни инструменти на ОИСР, независимо дали са в сила или са отменени, са изброени в </w:t>
      </w:r>
      <w:r>
        <w:t>онлайн сборника на правните инструменти на ОИСР. Те са представени в пет категории:</w:t>
      </w:r>
    </w:p>
    <w:p w14:paraId="23929254" w14:textId="77777777" w:rsidR="00A1228C" w:rsidRDefault="00A1228C">
      <w:pPr>
        <w:pStyle w:val="BodyText"/>
        <w:spacing w:before="8"/>
        <w:rPr>
          <w:sz w:val="18"/>
        </w:rPr>
      </w:pPr>
    </w:p>
    <w:p w14:paraId="23929255" w14:textId="77777777" w:rsidR="00A1228C" w:rsidRDefault="0009354E">
      <w:pPr>
        <w:pStyle w:val="ListParagraph"/>
        <w:numPr>
          <w:ilvl w:val="0"/>
          <w:numId w:val="1"/>
        </w:numPr>
        <w:tabs>
          <w:tab w:val="left" w:pos="852"/>
          <w:tab w:val="left" w:pos="853"/>
        </w:tabs>
        <w:spacing w:line="242"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w:t>
      </w:r>
      <w:r>
        <w:rPr>
          <w:sz w:val="20"/>
        </w:rPr>
        <w:t>ва и задължения и могат да съдържат механизми за наблюдение.</w:t>
      </w:r>
    </w:p>
    <w:p w14:paraId="23929256" w14:textId="77777777" w:rsidR="00A1228C" w:rsidRDefault="00A1228C">
      <w:pPr>
        <w:pStyle w:val="BodyText"/>
        <w:spacing w:before="7"/>
        <w:rPr>
          <w:sz w:val="17"/>
        </w:rPr>
      </w:pPr>
    </w:p>
    <w:p w14:paraId="23929257" w14:textId="77777777" w:rsidR="00A1228C" w:rsidRDefault="0009354E">
      <w:pPr>
        <w:pStyle w:val="ListParagraph"/>
        <w:numPr>
          <w:ilvl w:val="0"/>
          <w:numId w:val="1"/>
        </w:numPr>
        <w:tabs>
          <w:tab w:val="left" w:pos="852"/>
          <w:tab w:val="left" w:pos="853"/>
        </w:tabs>
        <w:spacing w:line="242"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w:t>
      </w:r>
      <w:r>
        <w:rPr>
          <w:sz w:val="20"/>
        </w:rPr>
        <w:t>сичко възможно, за да ги изпълнят.</w:t>
      </w:r>
    </w:p>
    <w:p w14:paraId="23929258" w14:textId="77777777" w:rsidR="00A1228C" w:rsidRDefault="00A1228C">
      <w:pPr>
        <w:pStyle w:val="BodyText"/>
        <w:spacing w:before="7"/>
        <w:rPr>
          <w:sz w:val="17"/>
        </w:rPr>
      </w:pPr>
    </w:p>
    <w:p w14:paraId="23929259" w14:textId="77777777" w:rsidR="00A1228C" w:rsidRDefault="0009354E">
      <w:pPr>
        <w:pStyle w:val="ListParagraph"/>
        <w:numPr>
          <w:ilvl w:val="0"/>
          <w:numId w:val="1"/>
        </w:numPr>
        <w:tabs>
          <w:tab w:val="left" w:pos="852"/>
          <w:tab w:val="left" w:pos="853"/>
        </w:tabs>
        <w:spacing w:line="242"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2392925A" w14:textId="77777777" w:rsidR="00A1228C" w:rsidRDefault="00A1228C">
      <w:pPr>
        <w:pStyle w:val="BodyText"/>
        <w:spacing w:before="10"/>
        <w:rPr>
          <w:sz w:val="17"/>
        </w:rPr>
      </w:pPr>
    </w:p>
    <w:p w14:paraId="2392925B" w14:textId="77777777" w:rsidR="00A1228C" w:rsidRDefault="0009354E">
      <w:pPr>
        <w:pStyle w:val="ListParagraph"/>
        <w:numPr>
          <w:ilvl w:val="0"/>
          <w:numId w:val="1"/>
        </w:numPr>
        <w:tabs>
          <w:tab w:val="left" w:pos="852"/>
          <w:tab w:val="left" w:pos="853"/>
        </w:tabs>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2392925C" w14:textId="77777777" w:rsidR="00A1228C" w:rsidRDefault="00A1228C">
      <w:pPr>
        <w:pStyle w:val="BodyText"/>
        <w:spacing w:before="7"/>
        <w:rPr>
          <w:sz w:val="19"/>
        </w:rPr>
      </w:pPr>
    </w:p>
    <w:p w14:paraId="2392925D" w14:textId="77777777" w:rsidR="00A1228C" w:rsidRDefault="0009354E">
      <w:pPr>
        <w:pStyle w:val="ListParagraph"/>
        <w:numPr>
          <w:ilvl w:val="0"/>
          <w:numId w:val="1"/>
        </w:numPr>
        <w:tabs>
          <w:tab w:val="left" w:pos="852"/>
          <w:tab w:val="left" w:pos="853"/>
        </w:tabs>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w:t>
      </w:r>
      <w:r>
        <w:rPr>
          <w:sz w:val="20"/>
        </w:rPr>
        <w:t>,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A1228C">
      <w:headerReference w:type="default"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2926D" w14:textId="77777777" w:rsidR="00000000" w:rsidRDefault="0009354E">
      <w:r>
        <w:separator/>
      </w:r>
    </w:p>
  </w:endnote>
  <w:endnote w:type="continuationSeparator" w:id="0">
    <w:p w14:paraId="2392926F" w14:textId="77777777" w:rsidR="00000000" w:rsidRDefault="000935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29269" w14:textId="77777777" w:rsidR="00000000" w:rsidRDefault="0009354E">
      <w:r>
        <w:separator/>
      </w:r>
    </w:p>
  </w:footnote>
  <w:footnote w:type="continuationSeparator" w:id="0">
    <w:p w14:paraId="2392926B" w14:textId="77777777" w:rsidR="00000000" w:rsidRDefault="000935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29266" w14:textId="77777777" w:rsidR="00A1228C" w:rsidRDefault="0009354E">
    <w:pPr>
      <w:pStyle w:val="BodyText"/>
      <w:spacing w:line="14" w:lineRule="auto"/>
    </w:pPr>
    <w:r>
      <w:pict w14:anchorId="23929269">
        <v:line id="_x0000_s2050" style="position:absolute;z-index:-15884800;mso-position-horizontal-relative:page;mso-position-vertical-relative:page" from="158pt,56.05pt" to="554.1pt,56.05pt" strokecolor="#2a2928" strokeweight=".63pt">
          <w10:wrap anchorx="page" anchory="page"/>
        </v:line>
      </w:pict>
    </w:r>
    <w:r>
      <w:pict w14:anchorId="2392926A">
        <v:shapetype id="_x0000_t202" coordsize="21600,21600" o:spt="202" path="m,l,21600r21600,l21600,xe">
          <v:stroke joinstyle="miter"/>
          <v:path gradientshapeok="t" o:connecttype="rect"/>
        </v:shapetype>
        <v:shape id="_x0000_s2049" type="#_x0000_t202" style="position:absolute;margin-left:39.5pt;margin-top:41.45pt;width:124.15pt;height:16.05pt;z-index:-15884288;mso-position-horizontal-relative:page;mso-position-vertical-relative:page" filled="f" stroked="f">
          <v:textbox inset="0,0,0,0">
            <w:txbxContent>
              <w:p w14:paraId="23929270" w14:textId="6BC6BC19" w:rsidR="00A1228C" w:rsidRPr="00216A67" w:rsidRDefault="00216A67">
                <w:pPr>
                  <w:pStyle w:val="BodyText"/>
                  <w:tabs>
                    <w:tab w:val="left" w:pos="626"/>
                  </w:tabs>
                  <w:spacing w:before="18"/>
                  <w:ind w:left="60"/>
                  <w:rPr>
                    <w:lang/>
                  </w:rPr>
                </w:pPr>
                <w:r>
                  <w:rPr>
                    <w:lang/>
                  </w:rPr>
                  <w:t>OECD/LEGAL/</w:t>
                </w:r>
                <w:r w:rsidR="00225E51">
                  <w:rPr>
                    <w:lang/>
                  </w:rPr>
                  <w:t>0358</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29267" w14:textId="5D1395C6" w:rsidR="00A1228C" w:rsidRPr="0015384C" w:rsidRDefault="0015384C" w:rsidP="009D47F4">
    <w:pPr>
      <w:pStyle w:val="Header"/>
      <w:jc w:val="right"/>
      <w:rPr>
        <w:lang/>
      </w:rPr>
    </w:pPr>
    <w:r>
      <w:rPr>
        <w:lang/>
      </w:rPr>
      <w:t>OECD/LEGAL/</w:t>
    </w:r>
    <w:r w:rsidR="009D47F4">
      <w:rPr>
        <w:lang/>
      </w:rPr>
      <w:t>0358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29268" w14:textId="77777777" w:rsidR="00A1228C" w:rsidRDefault="00A1228C">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F7EA4"/>
    <w:multiLevelType w:val="hybridMultilevel"/>
    <w:tmpl w:val="78D26ABC"/>
    <w:lvl w:ilvl="0" w:tplc="29E0BD54">
      <w:start w:val="1"/>
      <w:numFmt w:val="upperRoman"/>
      <w:lvlText w:val="%1."/>
      <w:lvlJc w:val="left"/>
      <w:pPr>
        <w:ind w:left="116" w:hanging="852"/>
        <w:jc w:val="left"/>
      </w:pPr>
      <w:rPr>
        <w:rFonts w:ascii="Arial" w:eastAsia="Arial" w:hAnsi="Arial" w:cs="Arial" w:hint="default"/>
        <w:b/>
        <w:bCs/>
        <w:spacing w:val="-1"/>
        <w:w w:val="99"/>
        <w:sz w:val="20"/>
        <w:szCs w:val="20"/>
        <w:lang w:val="en-US" w:eastAsia="en-US" w:bidi="ar-SA"/>
      </w:rPr>
    </w:lvl>
    <w:lvl w:ilvl="1" w:tplc="C8A60CE4">
      <w:start w:val="1"/>
      <w:numFmt w:val="decimal"/>
      <w:lvlText w:val="%2."/>
      <w:lvlJc w:val="left"/>
      <w:pPr>
        <w:ind w:left="116" w:hanging="852"/>
        <w:jc w:val="left"/>
      </w:pPr>
      <w:rPr>
        <w:rFonts w:ascii="Arial" w:eastAsia="Arial" w:hAnsi="Arial" w:cs="Arial" w:hint="default"/>
        <w:spacing w:val="-1"/>
        <w:w w:val="99"/>
        <w:sz w:val="20"/>
        <w:szCs w:val="20"/>
        <w:lang w:val="en-US" w:eastAsia="en-US" w:bidi="ar-SA"/>
      </w:rPr>
    </w:lvl>
    <w:lvl w:ilvl="2" w:tplc="FDAC703E">
      <w:numFmt w:val="bullet"/>
      <w:lvlText w:val="●"/>
      <w:lvlJc w:val="left"/>
      <w:pPr>
        <w:ind w:left="968" w:hanging="569"/>
      </w:pPr>
      <w:rPr>
        <w:rFonts w:ascii="Calibri" w:eastAsia="Calibri" w:hAnsi="Calibri" w:cs="Calibri" w:hint="default"/>
        <w:w w:val="99"/>
        <w:sz w:val="20"/>
        <w:szCs w:val="20"/>
        <w:lang w:val="en-US" w:eastAsia="en-US" w:bidi="ar-SA"/>
      </w:rPr>
    </w:lvl>
    <w:lvl w:ilvl="3" w:tplc="6DA6FE12">
      <w:numFmt w:val="bullet"/>
      <w:lvlText w:val="•"/>
      <w:lvlJc w:val="left"/>
      <w:pPr>
        <w:ind w:left="2814" w:hanging="569"/>
      </w:pPr>
      <w:rPr>
        <w:rFonts w:hint="default"/>
        <w:lang w:val="en-US" w:eastAsia="en-US" w:bidi="ar-SA"/>
      </w:rPr>
    </w:lvl>
    <w:lvl w:ilvl="4" w:tplc="95BA8CBE">
      <w:numFmt w:val="bullet"/>
      <w:lvlText w:val="•"/>
      <w:lvlJc w:val="left"/>
      <w:pPr>
        <w:ind w:left="3742" w:hanging="569"/>
      </w:pPr>
      <w:rPr>
        <w:rFonts w:hint="default"/>
        <w:lang w:val="en-US" w:eastAsia="en-US" w:bidi="ar-SA"/>
      </w:rPr>
    </w:lvl>
    <w:lvl w:ilvl="5" w:tplc="E4C6408E">
      <w:numFmt w:val="bullet"/>
      <w:lvlText w:val="•"/>
      <w:lvlJc w:val="left"/>
      <w:pPr>
        <w:ind w:left="4669" w:hanging="569"/>
      </w:pPr>
      <w:rPr>
        <w:rFonts w:hint="default"/>
        <w:lang w:val="en-US" w:eastAsia="en-US" w:bidi="ar-SA"/>
      </w:rPr>
    </w:lvl>
    <w:lvl w:ilvl="6" w:tplc="FD00AA68">
      <w:numFmt w:val="bullet"/>
      <w:lvlText w:val="•"/>
      <w:lvlJc w:val="left"/>
      <w:pPr>
        <w:ind w:left="5596" w:hanging="569"/>
      </w:pPr>
      <w:rPr>
        <w:rFonts w:hint="default"/>
        <w:lang w:val="en-US" w:eastAsia="en-US" w:bidi="ar-SA"/>
      </w:rPr>
    </w:lvl>
    <w:lvl w:ilvl="7" w:tplc="C86A2FBE">
      <w:numFmt w:val="bullet"/>
      <w:lvlText w:val="•"/>
      <w:lvlJc w:val="left"/>
      <w:pPr>
        <w:ind w:left="6524" w:hanging="569"/>
      </w:pPr>
      <w:rPr>
        <w:rFonts w:hint="default"/>
        <w:lang w:val="en-US" w:eastAsia="en-US" w:bidi="ar-SA"/>
      </w:rPr>
    </w:lvl>
    <w:lvl w:ilvl="8" w:tplc="E5187FC2">
      <w:numFmt w:val="bullet"/>
      <w:lvlText w:val="•"/>
      <w:lvlJc w:val="left"/>
      <w:pPr>
        <w:ind w:left="7451" w:hanging="569"/>
      </w:pPr>
      <w:rPr>
        <w:rFonts w:hint="default"/>
        <w:lang w:val="en-US" w:eastAsia="en-US" w:bidi="ar-SA"/>
      </w:rPr>
    </w:lvl>
  </w:abstractNum>
  <w:abstractNum w:abstractNumId="1" w15:restartNumberingAfterBreak="0">
    <w:nsid w:val="48E373BF"/>
    <w:multiLevelType w:val="hybridMultilevel"/>
    <w:tmpl w:val="84D2150E"/>
    <w:lvl w:ilvl="0" w:tplc="110C513E">
      <w:numFmt w:val="bullet"/>
      <w:lvlText w:val=""/>
      <w:lvlJc w:val="left"/>
      <w:pPr>
        <w:ind w:left="852" w:hanging="711"/>
      </w:pPr>
      <w:rPr>
        <w:rFonts w:ascii="Symbol" w:eastAsia="Symbol" w:hAnsi="Symbol" w:cs="Symbol" w:hint="default"/>
        <w:w w:val="95"/>
        <w:sz w:val="20"/>
        <w:szCs w:val="20"/>
        <w:lang w:val="en-US" w:eastAsia="en-US" w:bidi="ar-SA"/>
      </w:rPr>
    </w:lvl>
    <w:lvl w:ilvl="1" w:tplc="35DC97FE">
      <w:numFmt w:val="bullet"/>
      <w:lvlText w:val="•"/>
      <w:lvlJc w:val="left"/>
      <w:pPr>
        <w:ind w:left="1712" w:hanging="711"/>
      </w:pPr>
      <w:rPr>
        <w:rFonts w:hint="default"/>
        <w:lang w:val="en-US" w:eastAsia="en-US" w:bidi="ar-SA"/>
      </w:rPr>
    </w:lvl>
    <w:lvl w:ilvl="2" w:tplc="957A096A">
      <w:numFmt w:val="bullet"/>
      <w:lvlText w:val="•"/>
      <w:lvlJc w:val="left"/>
      <w:pPr>
        <w:ind w:left="2564" w:hanging="711"/>
      </w:pPr>
      <w:rPr>
        <w:rFonts w:hint="default"/>
        <w:lang w:val="en-US" w:eastAsia="en-US" w:bidi="ar-SA"/>
      </w:rPr>
    </w:lvl>
    <w:lvl w:ilvl="3" w:tplc="7778A298">
      <w:numFmt w:val="bullet"/>
      <w:lvlText w:val="•"/>
      <w:lvlJc w:val="left"/>
      <w:pPr>
        <w:ind w:left="3416" w:hanging="711"/>
      </w:pPr>
      <w:rPr>
        <w:rFonts w:hint="default"/>
        <w:lang w:val="en-US" w:eastAsia="en-US" w:bidi="ar-SA"/>
      </w:rPr>
    </w:lvl>
    <w:lvl w:ilvl="4" w:tplc="35BE311C">
      <w:numFmt w:val="bullet"/>
      <w:lvlText w:val="•"/>
      <w:lvlJc w:val="left"/>
      <w:pPr>
        <w:ind w:left="4268" w:hanging="711"/>
      </w:pPr>
      <w:rPr>
        <w:rFonts w:hint="default"/>
        <w:lang w:val="en-US" w:eastAsia="en-US" w:bidi="ar-SA"/>
      </w:rPr>
    </w:lvl>
    <w:lvl w:ilvl="5" w:tplc="53B24AEE">
      <w:numFmt w:val="bullet"/>
      <w:lvlText w:val="•"/>
      <w:lvlJc w:val="left"/>
      <w:pPr>
        <w:ind w:left="5120" w:hanging="711"/>
      </w:pPr>
      <w:rPr>
        <w:rFonts w:hint="default"/>
        <w:lang w:val="en-US" w:eastAsia="en-US" w:bidi="ar-SA"/>
      </w:rPr>
    </w:lvl>
    <w:lvl w:ilvl="6" w:tplc="E89EB032">
      <w:numFmt w:val="bullet"/>
      <w:lvlText w:val="•"/>
      <w:lvlJc w:val="left"/>
      <w:pPr>
        <w:ind w:left="5972" w:hanging="711"/>
      </w:pPr>
      <w:rPr>
        <w:rFonts w:hint="default"/>
        <w:lang w:val="en-US" w:eastAsia="en-US" w:bidi="ar-SA"/>
      </w:rPr>
    </w:lvl>
    <w:lvl w:ilvl="7" w:tplc="11F07654">
      <w:numFmt w:val="bullet"/>
      <w:lvlText w:val="•"/>
      <w:lvlJc w:val="left"/>
      <w:pPr>
        <w:ind w:left="6824" w:hanging="711"/>
      </w:pPr>
      <w:rPr>
        <w:rFonts w:hint="default"/>
        <w:lang w:val="en-US" w:eastAsia="en-US" w:bidi="ar-SA"/>
      </w:rPr>
    </w:lvl>
    <w:lvl w:ilvl="8" w:tplc="076E544A">
      <w:numFmt w:val="bullet"/>
      <w:lvlText w:val="•"/>
      <w:lvlJc w:val="left"/>
      <w:pPr>
        <w:ind w:left="7676" w:hanging="711"/>
      </w:pPr>
      <w:rPr>
        <w:rFonts w:hint="default"/>
        <w:lang w:val="en-U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evenAndOddHeaders/>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lTrailSpace/>
    <w:shapeLayoutLikeWW8/>
    <w:useFELayout/>
    <w:compatSetting w:name="compatibilityMode" w:uri="http://schemas.microsoft.com/office/word" w:val="12"/>
    <w:compatSetting w:name="useWord2013TrackBottomHyphenation" w:uri="http://schemas.microsoft.com/office/word" w:val="1"/>
  </w:compat>
  <w:rsids>
    <w:rsidRoot w:val="00A1228C"/>
    <w:rsid w:val="0009354E"/>
    <w:rsid w:val="0015384C"/>
    <w:rsid w:val="00216A67"/>
    <w:rsid w:val="00225E51"/>
    <w:rsid w:val="00772461"/>
    <w:rsid w:val="009D47F4"/>
    <w:rsid w:val="00A1228C"/>
    <w:rsid w:val="00CD18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2392917D"/>
  <w15:docId w15:val="{39201D55-2597-47A1-8FC0-659125614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116"/>
      <w:jc w:val="both"/>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spacing w:before="46"/>
      <w:ind w:left="886" w:right="887"/>
      <w:jc w:val="center"/>
    </w:pPr>
    <w:rPr>
      <w:sz w:val="40"/>
      <w:szCs w:val="40"/>
    </w:rPr>
  </w:style>
  <w:style w:type="paragraph" w:styleId="ListParagraph">
    <w:name w:val="List Paragraph"/>
    <w:basedOn w:val="Normal"/>
    <w:uiPriority w:val="1"/>
    <w:qFormat/>
    <w:pPr>
      <w:ind w:left="116" w:right="114"/>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5384C"/>
    <w:pPr>
      <w:tabs>
        <w:tab w:val="center" w:pos="4513"/>
        <w:tab w:val="right" w:pos="9026"/>
      </w:tabs>
    </w:pPr>
  </w:style>
  <w:style w:type="character" w:customStyle="1" w:styleId="HeaderChar">
    <w:name w:val="Header Char"/>
    <w:basedOn w:val="DefaultParagraphFont"/>
    <w:link w:val="Header"/>
    <w:uiPriority w:val="99"/>
    <w:rsid w:val="0015384C"/>
    <w:rPr>
      <w:rFonts w:ascii="Arial" w:eastAsia="Arial" w:hAnsi="Arial" w:cs="Arial"/>
    </w:rPr>
  </w:style>
  <w:style w:type="paragraph" w:styleId="Footer">
    <w:name w:val="footer"/>
    <w:basedOn w:val="Normal"/>
    <w:link w:val="FooterChar"/>
    <w:uiPriority w:val="99"/>
    <w:unhideWhenUsed/>
    <w:rsid w:val="0015384C"/>
    <w:pPr>
      <w:tabs>
        <w:tab w:val="center" w:pos="4513"/>
        <w:tab w:val="right" w:pos="9026"/>
      </w:tabs>
    </w:pPr>
  </w:style>
  <w:style w:type="character" w:customStyle="1" w:styleId="FooterChar">
    <w:name w:val="Footer Char"/>
    <w:basedOn w:val="DefaultParagraphFont"/>
    <w:link w:val="Footer"/>
    <w:uiPriority w:val="99"/>
    <w:rsid w:val="0015384C"/>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36A6CAF-CB13-426D-A657-2FEF43BEF18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A32CA1-A89F-4BF6-A0E1-913DA874A070}">
  <ds:schemaRefs>
    <ds:schemaRef ds:uri="http://schemas.microsoft.com/sharepoint/v3/contenttype/forms"/>
  </ds:schemaRefs>
</ds:datastoreItem>
</file>

<file path=customXml/itemProps3.xml><?xml version="1.0" encoding="utf-8"?>
<ds:datastoreItem xmlns:ds="http://schemas.openxmlformats.org/officeDocument/2006/customXml" ds:itemID="{667B772D-FC44-47AB-97CD-E101DAEACCD2}"/>
</file>

<file path=docProps/app.xml><?xml version="1.0" encoding="utf-8"?>
<Properties xmlns="http://schemas.openxmlformats.org/officeDocument/2006/extended-properties" xmlns:vt="http://schemas.openxmlformats.org/officeDocument/2006/docPropsVTypes">
  <Template>Normal.dotm</Template>
  <TotalTime>8</TotalTime>
  <Pages>7</Pages>
  <Words>2502</Words>
  <Characters>14262</Characters>
  <Application>Microsoft Office Word</Application>
  <DocSecurity>0</DocSecurity>
  <Lines>118</Lines>
  <Paragraphs>33</Paragraphs>
  <ScaleCrop>false</ScaleCrop>
  <Company/>
  <LinksUpToDate>false</LinksUpToDate>
  <CharactersWithSpaces>16731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8</cp:revision>
  <dcterms:created xsi:type="dcterms:W3CDTF">2022-01-19T10:32:00Z</dcterms:created>
  <dcterms:modified xsi:type="dcterms:W3CDTF">2022-01-31T09:45:00Z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