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5993" w14:textId="77777777" w:rsidR="003025A7" w:rsidRPr="006C3504" w:rsidRDefault="003025A7" w:rsidP="003025A7">
      <w:pPr>
        <w:jc w:val="left"/>
        <w:rPr>
          <w:b/>
          <w:lang w:val="bg-BG"/>
        </w:rPr>
      </w:pPr>
      <w:r w:rsidRPr="006C3504">
        <w:rPr>
          <w:b/>
          <w:lang w:val="bg-BG"/>
        </w:rPr>
        <w:t>Препоръки за политиката от Глава 1</w:t>
      </w:r>
      <w:r w:rsidR="002315DB">
        <w:rPr>
          <w:b/>
          <w:lang w:val="bg-BG"/>
        </w:rPr>
        <w:t xml:space="preserve"> „</w:t>
      </w:r>
      <w:r w:rsidRPr="006C3504">
        <w:rPr>
          <w:b/>
          <w:lang w:val="bg-BG"/>
        </w:rPr>
        <w:t>Постигане на по-силен и устойчив растеж" (ключовите препоръки са с удебелен шрифт)</w:t>
      </w:r>
    </w:p>
    <w:tbl>
      <w:tblPr>
        <w:tblStyle w:val="OECD"/>
        <w:tblpPr w:leftFromText="180" w:rightFromText="180" w:vertAnchor="text" w:horzAnchor="margin" w:tblpY="230"/>
        <w:tblW w:w="5000" w:type="pct"/>
        <w:tblLook w:val="04A0" w:firstRow="1" w:lastRow="0" w:firstColumn="1" w:lastColumn="0" w:noHBand="0" w:noVBand="1"/>
      </w:tblPr>
      <w:tblGrid>
        <w:gridCol w:w="2843"/>
        <w:gridCol w:w="3115"/>
        <w:gridCol w:w="3114"/>
      </w:tblGrid>
      <w:tr w:rsidR="008C2A4A" w:rsidRPr="006C3504" w14:paraId="1FBDCC8C" w14:textId="77777777" w:rsidTr="003025A7">
        <w:trPr>
          <w:cnfStyle w:val="100000000000" w:firstRow="1" w:lastRow="0" w:firstColumn="0" w:lastColumn="0" w:oddVBand="0" w:evenVBand="0" w:oddHBand="0" w:evenHBand="0" w:firstRowFirstColumn="0" w:firstRowLastColumn="0" w:lastRowFirstColumn="0" w:lastRowLastColumn="0"/>
        </w:trPr>
        <w:tc>
          <w:tcPr>
            <w:tcW w:w="1567" w:type="pct"/>
            <w:tcBorders>
              <w:bottom w:val="single" w:sz="4" w:space="0" w:color="5B9BD5" w:themeColor="accent1"/>
            </w:tcBorders>
            <w:hideMark/>
          </w:tcPr>
          <w:p w14:paraId="544501A4" w14:textId="77777777" w:rsidR="008C2A4A" w:rsidRPr="006C3504" w:rsidRDefault="00C47195" w:rsidP="00970270">
            <w:pPr>
              <w:pStyle w:val="TableColumn"/>
              <w:rPr>
                <w:b/>
                <w:bCs/>
                <w:lang w:val="bg-BG"/>
              </w:rPr>
            </w:pPr>
            <w:r w:rsidRPr="006C3504">
              <w:rPr>
                <w:b/>
                <w:bCs/>
                <w:lang w:val="bg-BG"/>
              </w:rPr>
              <w:t>Констатации</w:t>
            </w:r>
          </w:p>
        </w:tc>
        <w:tc>
          <w:tcPr>
            <w:tcW w:w="1717" w:type="pct"/>
            <w:tcBorders>
              <w:bottom w:val="single" w:sz="4" w:space="0" w:color="5B9BD5" w:themeColor="accent1"/>
            </w:tcBorders>
            <w:hideMark/>
          </w:tcPr>
          <w:p w14:paraId="765CD4FB" w14:textId="77777777" w:rsidR="008C2A4A" w:rsidRPr="006C3504" w:rsidRDefault="00CB668B" w:rsidP="008C2A4A">
            <w:pPr>
              <w:pStyle w:val="TableColumn"/>
              <w:rPr>
                <w:b/>
                <w:bCs/>
                <w:lang w:val="bg-BG"/>
              </w:rPr>
            </w:pPr>
            <w:r w:rsidRPr="006C3504">
              <w:rPr>
                <w:b/>
                <w:bCs/>
                <w:lang w:val="bg-BG"/>
              </w:rPr>
              <w:t>Препоръки по отделните точки</w:t>
            </w:r>
          </w:p>
        </w:tc>
        <w:tc>
          <w:tcPr>
            <w:tcW w:w="1716" w:type="pct"/>
            <w:tcBorders>
              <w:bottom w:val="single" w:sz="4" w:space="0" w:color="5B9BD5" w:themeColor="accent1"/>
            </w:tcBorders>
          </w:tcPr>
          <w:p w14:paraId="62638A4E" w14:textId="77777777" w:rsidR="008C2A4A" w:rsidRPr="006C3504" w:rsidRDefault="00CB668B" w:rsidP="00970270">
            <w:pPr>
              <w:pStyle w:val="TableColumn"/>
              <w:rPr>
                <w:b/>
                <w:bCs/>
                <w:lang w:val="bg-BG"/>
              </w:rPr>
            </w:pPr>
            <w:r w:rsidRPr="006C3504">
              <w:rPr>
                <w:b/>
                <w:bCs/>
                <w:lang w:val="bg-BG"/>
              </w:rPr>
              <w:t>Позиция на Република България</w:t>
            </w:r>
          </w:p>
        </w:tc>
      </w:tr>
      <w:tr w:rsidR="008C2A4A" w:rsidRPr="006C3504" w14:paraId="39431813" w14:textId="77777777" w:rsidTr="008C2A4A">
        <w:trPr>
          <w:trHeight w:val="249"/>
        </w:trPr>
        <w:tc>
          <w:tcPr>
            <w:tcW w:w="3284" w:type="pct"/>
            <w:gridSpan w:val="2"/>
            <w:tcBorders>
              <w:top w:val="single" w:sz="4" w:space="0" w:color="5B9BD5" w:themeColor="accent1"/>
              <w:bottom w:val="single" w:sz="4" w:space="0" w:color="5B9BD5" w:themeColor="accent1"/>
            </w:tcBorders>
          </w:tcPr>
          <w:p w14:paraId="4F5CD426" w14:textId="77777777" w:rsidR="008C2A4A" w:rsidRPr="006C3504" w:rsidRDefault="001B1045" w:rsidP="00970270">
            <w:pPr>
              <w:pStyle w:val="TableColumn"/>
              <w:rPr>
                <w:b/>
                <w:bCs/>
                <w:lang w:val="bg-BG"/>
              </w:rPr>
            </w:pPr>
            <w:r w:rsidRPr="006C3504">
              <w:rPr>
                <w:b/>
                <w:bCs/>
                <w:lang w:val="bg-BG"/>
              </w:rPr>
              <w:t>Гарантиране на макроикономическа и финансова стабилност</w:t>
            </w:r>
          </w:p>
        </w:tc>
        <w:tc>
          <w:tcPr>
            <w:tcW w:w="1716" w:type="pct"/>
            <w:tcBorders>
              <w:top w:val="single" w:sz="4" w:space="0" w:color="5B9BD5" w:themeColor="accent1"/>
              <w:bottom w:val="single" w:sz="4" w:space="0" w:color="5B9BD5" w:themeColor="accent1"/>
            </w:tcBorders>
          </w:tcPr>
          <w:p w14:paraId="3743A5F9" w14:textId="77777777" w:rsidR="008C2A4A" w:rsidRPr="006C3504" w:rsidRDefault="008C2A4A" w:rsidP="00970270">
            <w:pPr>
              <w:pStyle w:val="TableColumn"/>
              <w:rPr>
                <w:b/>
                <w:bCs/>
                <w:lang w:val="bg-BG"/>
              </w:rPr>
            </w:pPr>
          </w:p>
        </w:tc>
      </w:tr>
      <w:tr w:rsidR="008C2A4A" w:rsidRPr="00005C86" w14:paraId="783EB2D0" w14:textId="77777777" w:rsidTr="003025A7">
        <w:tc>
          <w:tcPr>
            <w:tcW w:w="1567" w:type="pct"/>
            <w:tcBorders>
              <w:top w:val="single" w:sz="4" w:space="0" w:color="5B9BD5" w:themeColor="accent1"/>
            </w:tcBorders>
          </w:tcPr>
          <w:p w14:paraId="5DFF69D7" w14:textId="77777777" w:rsidR="008C2A4A" w:rsidRPr="006C3504" w:rsidRDefault="00BE7F11" w:rsidP="00BE7F11">
            <w:pPr>
              <w:pStyle w:val="TableRow"/>
              <w:rPr>
                <w:lang w:val="bg-BG"/>
              </w:rPr>
            </w:pPr>
            <w:r>
              <w:rPr>
                <w:lang w:val="bg-BG"/>
              </w:rPr>
              <w:t>Високи нива на и</w:t>
            </w:r>
            <w:r w:rsidR="001B1045" w:rsidRPr="006C3504">
              <w:rPr>
                <w:lang w:val="bg-BG"/>
              </w:rPr>
              <w:t xml:space="preserve">нфлация </w:t>
            </w:r>
            <w:r>
              <w:rPr>
                <w:lang w:val="bg-BG"/>
              </w:rPr>
              <w:t>на фона на нисък</w:t>
            </w:r>
            <w:r w:rsidR="001B1045" w:rsidRPr="006C3504">
              <w:rPr>
                <w:lang w:val="bg-BG"/>
              </w:rPr>
              <w:t xml:space="preserve"> реал</w:t>
            </w:r>
            <w:r>
              <w:rPr>
                <w:lang w:val="bg-BG"/>
              </w:rPr>
              <w:t>е</w:t>
            </w:r>
            <w:r w:rsidR="001B1045" w:rsidRPr="006C3504">
              <w:rPr>
                <w:lang w:val="bg-BG"/>
              </w:rPr>
              <w:t>н лихвен процент и сил</w:t>
            </w:r>
            <w:r>
              <w:rPr>
                <w:lang w:val="bg-BG"/>
              </w:rPr>
              <w:t>е</w:t>
            </w:r>
            <w:r w:rsidR="001B1045" w:rsidRPr="006C3504">
              <w:rPr>
                <w:lang w:val="bg-BG"/>
              </w:rPr>
              <w:t>н</w:t>
            </w:r>
            <w:r>
              <w:rPr>
                <w:lang w:val="bg-BG"/>
              </w:rPr>
              <w:t xml:space="preserve"> ръст на кредитирането, </w:t>
            </w:r>
            <w:r w:rsidR="001B1045" w:rsidRPr="006C3504">
              <w:rPr>
                <w:lang w:val="bg-BG"/>
              </w:rPr>
              <w:t>като се появ</w:t>
            </w:r>
            <w:r>
              <w:rPr>
                <w:lang w:val="bg-BG"/>
              </w:rPr>
              <w:t>ява</w:t>
            </w:r>
            <w:r w:rsidR="001B1045" w:rsidRPr="006C3504">
              <w:rPr>
                <w:lang w:val="bg-BG"/>
              </w:rPr>
              <w:t xml:space="preserve"> и бюджет</w:t>
            </w:r>
            <w:r>
              <w:rPr>
                <w:lang w:val="bg-BG"/>
              </w:rPr>
              <w:t>е</w:t>
            </w:r>
            <w:r w:rsidR="001B1045" w:rsidRPr="006C3504">
              <w:rPr>
                <w:lang w:val="bg-BG"/>
              </w:rPr>
              <w:t>н дефицит.</w:t>
            </w:r>
          </w:p>
        </w:tc>
        <w:tc>
          <w:tcPr>
            <w:tcW w:w="1717" w:type="pct"/>
            <w:tcBorders>
              <w:top w:val="single" w:sz="4" w:space="0" w:color="5B9BD5" w:themeColor="accent1"/>
            </w:tcBorders>
          </w:tcPr>
          <w:p w14:paraId="2A8C4E40" w14:textId="77777777" w:rsidR="008C2A4A" w:rsidRPr="006C3504" w:rsidRDefault="00D44FF9" w:rsidP="003E6575">
            <w:pPr>
              <w:pStyle w:val="TableCell"/>
              <w:jc w:val="both"/>
              <w:rPr>
                <w:lang w:val="bg-BG"/>
              </w:rPr>
            </w:pPr>
            <w:r>
              <w:rPr>
                <w:b/>
                <w:bCs/>
                <w:lang w:val="bg-BG"/>
              </w:rPr>
              <w:t>Да се и</w:t>
            </w:r>
            <w:r w:rsidR="00375031">
              <w:rPr>
                <w:b/>
                <w:bCs/>
                <w:lang w:val="bg-BG"/>
              </w:rPr>
              <w:t xml:space="preserve">зпълнява </w:t>
            </w:r>
            <w:r w:rsidR="001B1045" w:rsidRPr="006C3504">
              <w:rPr>
                <w:b/>
                <w:bCs/>
                <w:lang w:val="bg-BG"/>
              </w:rPr>
              <w:t>средносрочния фискален пла</w:t>
            </w:r>
            <w:r w:rsidR="00BE7F11">
              <w:rPr>
                <w:b/>
                <w:bCs/>
                <w:lang w:val="bg-BG"/>
              </w:rPr>
              <w:t xml:space="preserve">н на правителството и </w:t>
            </w:r>
            <w:r>
              <w:rPr>
                <w:b/>
                <w:bCs/>
                <w:lang w:val="bg-BG"/>
              </w:rPr>
              <w:t xml:space="preserve">да се </w:t>
            </w:r>
            <w:r w:rsidR="00BE7F11">
              <w:rPr>
                <w:b/>
                <w:bCs/>
                <w:lang w:val="bg-BG"/>
              </w:rPr>
              <w:t>предостав</w:t>
            </w:r>
            <w:r>
              <w:rPr>
                <w:b/>
                <w:bCs/>
                <w:lang w:val="bg-BG"/>
              </w:rPr>
              <w:t>и</w:t>
            </w:r>
            <w:r w:rsidR="001B1045" w:rsidRPr="006C3504">
              <w:rPr>
                <w:b/>
                <w:bCs/>
                <w:lang w:val="bg-BG"/>
              </w:rPr>
              <w:t xml:space="preserve"> допълнителна информация, като същевременно </w:t>
            </w:r>
            <w:r w:rsidR="00BE7F11">
              <w:rPr>
                <w:b/>
                <w:bCs/>
                <w:lang w:val="bg-BG"/>
              </w:rPr>
              <w:t xml:space="preserve">продължи да се поддържа </w:t>
            </w:r>
            <w:r w:rsidR="00BE7F11" w:rsidRPr="003E6575">
              <w:rPr>
                <w:b/>
                <w:bCs/>
                <w:lang w:val="bg-BG"/>
              </w:rPr>
              <w:t>готовност</w:t>
            </w:r>
            <w:r w:rsidR="00484997" w:rsidRPr="003E6575">
              <w:rPr>
                <w:b/>
                <w:bCs/>
                <w:lang w:val="bg-BG"/>
              </w:rPr>
              <w:t xml:space="preserve"> за</w:t>
            </w:r>
            <w:r w:rsidR="001B1045" w:rsidRPr="003E6575">
              <w:rPr>
                <w:b/>
                <w:bCs/>
                <w:lang w:val="bg-BG"/>
              </w:rPr>
              <w:t xml:space="preserve"> к</w:t>
            </w:r>
            <w:r w:rsidR="001B1045" w:rsidRPr="00484997">
              <w:rPr>
                <w:b/>
                <w:bCs/>
                <w:lang w:val="bg-BG"/>
              </w:rPr>
              <w:t>онсолидаци</w:t>
            </w:r>
            <w:r w:rsidR="00BE7F11" w:rsidRPr="00484997">
              <w:rPr>
                <w:b/>
                <w:bCs/>
                <w:lang w:val="bg-BG"/>
              </w:rPr>
              <w:t>я</w:t>
            </w:r>
            <w:r w:rsidR="001B1045" w:rsidRPr="00484997">
              <w:rPr>
                <w:b/>
                <w:bCs/>
                <w:lang w:val="bg-BG"/>
              </w:rPr>
              <w:t xml:space="preserve">, </w:t>
            </w:r>
            <w:r w:rsidR="00BE7F11" w:rsidRPr="00484997">
              <w:rPr>
                <w:b/>
                <w:bCs/>
                <w:lang w:val="bg-BG"/>
              </w:rPr>
              <w:t>в случай че</w:t>
            </w:r>
            <w:r w:rsidR="001B1045" w:rsidRPr="00484997">
              <w:rPr>
                <w:b/>
                <w:bCs/>
                <w:lang w:val="bg-BG"/>
              </w:rPr>
              <w:t xml:space="preserve"> прегряването продължи.</w:t>
            </w:r>
          </w:p>
        </w:tc>
        <w:tc>
          <w:tcPr>
            <w:tcW w:w="1716" w:type="pct"/>
            <w:tcBorders>
              <w:top w:val="single" w:sz="4" w:space="0" w:color="5B9BD5" w:themeColor="accent1"/>
            </w:tcBorders>
          </w:tcPr>
          <w:p w14:paraId="63A2AB5D" w14:textId="77777777" w:rsidR="00AF32A9" w:rsidRDefault="003C7AF7" w:rsidP="00AF32A9">
            <w:pPr>
              <w:pStyle w:val="TableCell"/>
              <w:jc w:val="both"/>
              <w:rPr>
                <w:b/>
                <w:bCs/>
                <w:lang w:val="bg-BG"/>
              </w:rPr>
            </w:pPr>
            <w:r w:rsidRPr="00B8298A">
              <w:rPr>
                <w:b/>
                <w:lang w:val="bg-BG"/>
              </w:rPr>
              <w:t>Република България изразява ч</w:t>
            </w:r>
            <w:r w:rsidR="00FC3068">
              <w:rPr>
                <w:b/>
                <w:lang w:val="bg-BG"/>
              </w:rPr>
              <w:t xml:space="preserve">астично съгласие с препоръката </w:t>
            </w:r>
            <w:r w:rsidRPr="00B8298A">
              <w:rPr>
                <w:b/>
                <w:lang w:val="bg-BG"/>
              </w:rPr>
              <w:t>при отразяване на следната промяна</w:t>
            </w:r>
            <w:r w:rsidR="00C41F69" w:rsidRPr="003C7AF7">
              <w:rPr>
                <w:b/>
                <w:bCs/>
                <w:lang w:val="bg-BG"/>
              </w:rPr>
              <w:t>:</w:t>
            </w:r>
          </w:p>
          <w:p w14:paraId="7294FEE0" w14:textId="77777777" w:rsidR="00957785" w:rsidRDefault="003C7AF7" w:rsidP="003C7AF7">
            <w:pPr>
              <w:rPr>
                <w:bCs/>
                <w:lang w:val="bg-BG"/>
              </w:rPr>
            </w:pPr>
            <w:r w:rsidRPr="009E25EC">
              <w:rPr>
                <w:b/>
                <w:bCs/>
                <w:i/>
                <w:u w:val="single"/>
                <w:lang w:val="bg-BG"/>
              </w:rPr>
              <w:t>Предложение за редакция:</w:t>
            </w:r>
            <w:r>
              <w:rPr>
                <w:bCs/>
                <w:lang w:val="bg-BG"/>
              </w:rPr>
              <w:t xml:space="preserve"> </w:t>
            </w:r>
            <w:r w:rsidR="00957785" w:rsidRPr="00635422">
              <w:rPr>
                <w:strike/>
                <w:lang w:val="bg-BG"/>
              </w:rPr>
              <w:t xml:space="preserve"> </w:t>
            </w:r>
            <w:r w:rsidR="00957785" w:rsidRPr="00635422">
              <w:rPr>
                <w:bCs/>
                <w:strike/>
                <w:lang w:val="bg-BG"/>
              </w:rPr>
              <w:t>Да се изпълнява средносрочния фискален план на правителството и да се предостави допълнителна информация, като същевременно продължи да се поддържа готовност за консолидация, в случай че прегряването продължи.</w:t>
            </w:r>
          </w:p>
          <w:p w14:paraId="5902CD63" w14:textId="77777777" w:rsidR="003C7AF7" w:rsidRDefault="00D43B81" w:rsidP="003C7AF7">
            <w:pPr>
              <w:rPr>
                <w:lang w:val="bg-BG"/>
              </w:rPr>
            </w:pPr>
            <w:r w:rsidRPr="00D43B81">
              <w:rPr>
                <w:b/>
                <w:bCs/>
                <w:lang w:val="bg-BG"/>
              </w:rPr>
              <w:t>Да се придържа</w:t>
            </w:r>
            <w:r>
              <w:rPr>
                <w:bCs/>
                <w:lang w:val="bg-BG"/>
              </w:rPr>
              <w:t xml:space="preserve"> </w:t>
            </w:r>
            <w:r w:rsidR="003C7AF7" w:rsidRPr="00D43B81">
              <w:rPr>
                <w:b/>
                <w:lang w:val="bg-BG"/>
              </w:rPr>
              <w:t>към провеждането на фискална политика, при спазване на условията за устойчивост на публичния дълг и бюджетния баланс, като същевременно продължи да се поддържа готовност за адаптиране на фискалните цели спрямо икономическата динамика</w:t>
            </w:r>
            <w:r w:rsidR="003C7AF7" w:rsidRPr="00D43B81">
              <w:rPr>
                <w:lang w:val="bg-BG"/>
              </w:rPr>
              <w:t>.</w:t>
            </w:r>
          </w:p>
          <w:p w14:paraId="5B8E2C19" w14:textId="77777777" w:rsidR="001F7F88" w:rsidRPr="00C41F69" w:rsidRDefault="003C2F10" w:rsidP="0013129A">
            <w:pPr>
              <w:pStyle w:val="TableCell"/>
              <w:jc w:val="both"/>
              <w:rPr>
                <w:bCs/>
                <w:lang w:val="bg-BG"/>
              </w:rPr>
            </w:pPr>
            <w:r>
              <w:rPr>
                <w:b/>
                <w:i/>
                <w:u w:val="single"/>
                <w:lang w:val="bg-BG"/>
              </w:rPr>
              <w:t>Мотиви</w:t>
            </w:r>
            <w:r w:rsidR="00C41F69" w:rsidRPr="0013129A">
              <w:rPr>
                <w:b/>
                <w:bCs/>
                <w:i/>
                <w:u w:val="single"/>
                <w:lang w:val="bg-BG"/>
              </w:rPr>
              <w:t>:</w:t>
            </w:r>
            <w:r w:rsidR="00C41F69" w:rsidRPr="00C41F69">
              <w:rPr>
                <w:bCs/>
                <w:lang w:val="bg-BG"/>
              </w:rPr>
              <w:t xml:space="preserve"> Такива детайли за България се представят в ежегодните бюджети и в националната </w:t>
            </w:r>
            <w:r w:rsidR="0013129A">
              <w:rPr>
                <w:bCs/>
                <w:lang w:val="bg-BG"/>
              </w:rPr>
              <w:t>Средносрочна бюджетна прогноза</w:t>
            </w:r>
            <w:r w:rsidR="00C41F69" w:rsidRPr="00C41F69">
              <w:rPr>
                <w:bCs/>
                <w:lang w:val="bg-BG"/>
              </w:rPr>
              <w:t>. С оглед на това, преформулиране</w:t>
            </w:r>
            <w:r w:rsidR="003C7AF7">
              <w:rPr>
                <w:bCs/>
                <w:lang w:val="bg-BG"/>
              </w:rPr>
              <w:t>то на препоръката</w:t>
            </w:r>
            <w:r w:rsidR="00C41F69" w:rsidRPr="00C41F69">
              <w:rPr>
                <w:bCs/>
                <w:lang w:val="bg-BG"/>
              </w:rPr>
              <w:t xml:space="preserve"> цел</w:t>
            </w:r>
            <w:r w:rsidR="003C7AF7">
              <w:rPr>
                <w:bCs/>
                <w:lang w:val="bg-BG"/>
              </w:rPr>
              <w:t>и</w:t>
            </w:r>
            <w:r w:rsidR="00C41F69" w:rsidRPr="00C41F69">
              <w:rPr>
                <w:bCs/>
                <w:lang w:val="bg-BG"/>
              </w:rPr>
              <w:t xml:space="preserve"> по-коректно отразяване на същността и ролята на </w:t>
            </w:r>
            <w:r w:rsidR="00BD0A28" w:rsidRPr="00BD0A28">
              <w:rPr>
                <w:lang w:val="bg-BG"/>
              </w:rPr>
              <w:t xml:space="preserve"> </w:t>
            </w:r>
            <w:r w:rsidR="00BD0A28" w:rsidRPr="00BD0A28">
              <w:rPr>
                <w:bCs/>
                <w:lang w:val="bg-BG"/>
              </w:rPr>
              <w:t xml:space="preserve">Националния средносрочен фискално-структурен план </w:t>
            </w:r>
            <w:r w:rsidR="00C41F69" w:rsidRPr="00C41F69">
              <w:rPr>
                <w:bCs/>
                <w:lang w:val="bg-BG"/>
              </w:rPr>
              <w:t xml:space="preserve">в бюджетното планиране на страната. Препоръката </w:t>
            </w:r>
            <w:r w:rsidR="003C7AF7">
              <w:rPr>
                <w:bCs/>
                <w:lang w:val="bg-BG"/>
              </w:rPr>
              <w:t xml:space="preserve">следва </w:t>
            </w:r>
            <w:r w:rsidR="00C41F69" w:rsidRPr="00C41F69">
              <w:rPr>
                <w:bCs/>
                <w:lang w:val="bg-BG"/>
              </w:rPr>
              <w:t>да се фокусира върху запазване на фискалната устойчивост (устойчиви нива на дълг и дефицит) и съобразяване на бюджетната политика с икономическата динамика в страната.</w:t>
            </w:r>
          </w:p>
        </w:tc>
      </w:tr>
      <w:tr w:rsidR="008C2A4A" w:rsidRPr="00005C86" w14:paraId="0D83A871" w14:textId="77777777" w:rsidTr="003025A7">
        <w:tc>
          <w:tcPr>
            <w:tcW w:w="1567" w:type="pct"/>
            <w:tcBorders>
              <w:bottom w:val="single" w:sz="4" w:space="0" w:color="5B9BD5" w:themeColor="accent1"/>
            </w:tcBorders>
          </w:tcPr>
          <w:p w14:paraId="185EDFCF" w14:textId="77777777" w:rsidR="008C2A4A" w:rsidRPr="006C3504" w:rsidRDefault="001B1045" w:rsidP="00970270">
            <w:pPr>
              <w:pStyle w:val="TableRow"/>
              <w:rPr>
                <w:lang w:val="bg-BG"/>
              </w:rPr>
            </w:pPr>
            <w:r w:rsidRPr="006C3504">
              <w:rPr>
                <w:lang w:val="bg-BG"/>
              </w:rPr>
              <w:t>България ще се присъедини към еврозоната на 1 януари 2026 г.</w:t>
            </w:r>
          </w:p>
        </w:tc>
        <w:tc>
          <w:tcPr>
            <w:tcW w:w="1717" w:type="pct"/>
            <w:tcBorders>
              <w:bottom w:val="single" w:sz="4" w:space="0" w:color="5B9BD5" w:themeColor="accent1"/>
            </w:tcBorders>
          </w:tcPr>
          <w:p w14:paraId="0ABCC0A0" w14:textId="77777777" w:rsidR="00AC5031" w:rsidRPr="006C3504" w:rsidRDefault="00D44FF9" w:rsidP="00D44FF9">
            <w:pPr>
              <w:pStyle w:val="TableCell"/>
              <w:jc w:val="both"/>
              <w:rPr>
                <w:lang w:val="bg-BG"/>
              </w:rPr>
            </w:pPr>
            <w:r>
              <w:rPr>
                <w:lang w:val="bg-BG"/>
              </w:rPr>
              <w:t>Да се п</w:t>
            </w:r>
            <w:r w:rsidR="005C7822">
              <w:rPr>
                <w:lang w:val="bg-BG"/>
              </w:rPr>
              <w:t>р</w:t>
            </w:r>
            <w:r w:rsidR="001B1045" w:rsidRPr="006C3504">
              <w:rPr>
                <w:lang w:val="bg-BG"/>
              </w:rPr>
              <w:t>оведа</w:t>
            </w:r>
            <w:r>
              <w:rPr>
                <w:lang w:val="bg-BG"/>
              </w:rPr>
              <w:t>т</w:t>
            </w:r>
            <w:r w:rsidR="001B1045" w:rsidRPr="006C3504">
              <w:rPr>
                <w:lang w:val="bg-BG"/>
              </w:rPr>
              <w:t xml:space="preserve"> публични кампании за </w:t>
            </w:r>
            <w:r w:rsidR="00BE7F11">
              <w:rPr>
                <w:lang w:val="bg-BG"/>
              </w:rPr>
              <w:t>стабилизиране</w:t>
            </w:r>
            <w:r w:rsidR="001B1045" w:rsidRPr="006C3504">
              <w:rPr>
                <w:lang w:val="bg-BG"/>
              </w:rPr>
              <w:t xml:space="preserve"> очакванията за </w:t>
            </w:r>
            <w:r w:rsidR="00BE7F11">
              <w:rPr>
                <w:lang w:val="bg-BG"/>
              </w:rPr>
              <w:t xml:space="preserve">нивата на </w:t>
            </w:r>
            <w:r w:rsidR="001B1045" w:rsidRPr="006C3504">
              <w:rPr>
                <w:lang w:val="bg-BG"/>
              </w:rPr>
              <w:t>инфлация</w:t>
            </w:r>
            <w:r w:rsidR="00BE7F11">
              <w:rPr>
                <w:lang w:val="bg-BG"/>
              </w:rPr>
              <w:t>та</w:t>
            </w:r>
            <w:r w:rsidR="001B1045" w:rsidRPr="006C3504">
              <w:rPr>
                <w:lang w:val="bg-BG"/>
              </w:rPr>
              <w:t xml:space="preserve">, </w:t>
            </w:r>
            <w:r>
              <w:rPr>
                <w:lang w:val="bg-BG"/>
              </w:rPr>
              <w:t xml:space="preserve">да се </w:t>
            </w:r>
            <w:r w:rsidR="001B1045" w:rsidRPr="006C3504">
              <w:rPr>
                <w:lang w:val="bg-BG"/>
              </w:rPr>
              <w:t>насърч</w:t>
            </w:r>
            <w:r>
              <w:rPr>
                <w:lang w:val="bg-BG"/>
              </w:rPr>
              <w:t>и</w:t>
            </w:r>
            <w:r w:rsidR="001B1045" w:rsidRPr="006C3504">
              <w:rPr>
                <w:lang w:val="bg-BG"/>
              </w:rPr>
              <w:t xml:space="preserve"> докладване</w:t>
            </w:r>
            <w:r w:rsidR="00414510">
              <w:rPr>
                <w:lang w:val="bg-BG"/>
              </w:rPr>
              <w:t>то</w:t>
            </w:r>
            <w:r w:rsidR="001B1045" w:rsidRPr="006C3504">
              <w:rPr>
                <w:lang w:val="bg-BG"/>
              </w:rPr>
              <w:t xml:space="preserve"> на нелоялни</w:t>
            </w:r>
            <w:r w:rsidR="00414510">
              <w:rPr>
                <w:lang w:val="bg-BG"/>
              </w:rPr>
              <w:t xml:space="preserve"> практики на</w:t>
            </w:r>
            <w:r w:rsidR="001B1045" w:rsidRPr="006C3504">
              <w:rPr>
                <w:lang w:val="bg-BG"/>
              </w:rPr>
              <w:t xml:space="preserve"> цен</w:t>
            </w:r>
            <w:r w:rsidR="00BE7F11">
              <w:rPr>
                <w:lang w:val="bg-BG"/>
              </w:rPr>
              <w:t>ообразуване</w:t>
            </w:r>
            <w:r w:rsidR="001B1045" w:rsidRPr="006C3504">
              <w:rPr>
                <w:lang w:val="bg-BG"/>
              </w:rPr>
              <w:t xml:space="preserve"> и </w:t>
            </w:r>
            <w:r>
              <w:rPr>
                <w:lang w:val="bg-BG"/>
              </w:rPr>
              <w:t xml:space="preserve">да се </w:t>
            </w:r>
            <w:r w:rsidR="001B1045" w:rsidRPr="006C3504">
              <w:rPr>
                <w:lang w:val="bg-BG"/>
              </w:rPr>
              <w:t>избягва</w:t>
            </w:r>
            <w:r>
              <w:rPr>
                <w:lang w:val="bg-BG"/>
              </w:rPr>
              <w:t>т</w:t>
            </w:r>
            <w:r w:rsidR="001B1045" w:rsidRPr="006C3504">
              <w:rPr>
                <w:lang w:val="bg-BG"/>
              </w:rPr>
              <w:t xml:space="preserve"> широки ценови ограничения около приемането на еврото.</w:t>
            </w:r>
          </w:p>
        </w:tc>
        <w:tc>
          <w:tcPr>
            <w:tcW w:w="1716" w:type="pct"/>
            <w:tcBorders>
              <w:bottom w:val="single" w:sz="4" w:space="0" w:color="5B9BD5" w:themeColor="accent1"/>
            </w:tcBorders>
          </w:tcPr>
          <w:p w14:paraId="063664FD" w14:textId="77777777" w:rsidR="00AF32A9" w:rsidRPr="00B8298A" w:rsidRDefault="005F4582" w:rsidP="00970270">
            <w:pPr>
              <w:pStyle w:val="TableCell"/>
              <w:jc w:val="both"/>
              <w:rPr>
                <w:b/>
                <w:lang w:val="bg-BG"/>
              </w:rPr>
            </w:pPr>
            <w:r w:rsidRPr="00B8298A">
              <w:rPr>
                <w:b/>
                <w:lang w:val="bg-BG"/>
              </w:rPr>
              <w:t xml:space="preserve">Република България изразява </w:t>
            </w:r>
            <w:r w:rsidR="00D333DD" w:rsidRPr="00B8298A">
              <w:rPr>
                <w:b/>
                <w:lang w:val="bg-BG"/>
              </w:rPr>
              <w:t xml:space="preserve">частично </w:t>
            </w:r>
            <w:r w:rsidRPr="00B8298A">
              <w:rPr>
                <w:b/>
                <w:lang w:val="bg-BG"/>
              </w:rPr>
              <w:t>съгласие с препоръката</w:t>
            </w:r>
            <w:r w:rsidR="00D333DD" w:rsidRPr="00B8298A">
              <w:rPr>
                <w:b/>
                <w:lang w:val="bg-BG"/>
              </w:rPr>
              <w:t xml:space="preserve">  при отразяване на следната промяна:</w:t>
            </w:r>
          </w:p>
          <w:p w14:paraId="6FCCED7D" w14:textId="77777777" w:rsidR="00D333DD" w:rsidRPr="00B8298A" w:rsidRDefault="00E24E2A" w:rsidP="00970270">
            <w:pPr>
              <w:pStyle w:val="TableCell"/>
              <w:jc w:val="both"/>
              <w:rPr>
                <w:b/>
                <w:lang w:val="bg-BG"/>
              </w:rPr>
            </w:pPr>
            <w:r w:rsidRPr="009E25EC">
              <w:rPr>
                <w:b/>
                <w:i/>
                <w:u w:val="single"/>
                <w:lang w:val="bg-BG"/>
              </w:rPr>
              <w:t xml:space="preserve">Предложение за редакция: </w:t>
            </w:r>
            <w:r w:rsidR="00D333DD" w:rsidRPr="00B8298A">
              <w:rPr>
                <w:lang w:val="bg-BG"/>
              </w:rPr>
              <w:t xml:space="preserve">Да </w:t>
            </w:r>
            <w:r w:rsidR="00D333DD" w:rsidRPr="00B8298A">
              <w:rPr>
                <w:strike/>
                <w:lang w:val="bg-BG"/>
              </w:rPr>
              <w:t>се п</w:t>
            </w:r>
            <w:r w:rsidR="005C7822" w:rsidRPr="00B8298A">
              <w:rPr>
                <w:strike/>
                <w:lang w:val="bg-BG"/>
              </w:rPr>
              <w:t>р</w:t>
            </w:r>
            <w:r w:rsidR="00D333DD" w:rsidRPr="00B8298A">
              <w:rPr>
                <w:strike/>
                <w:lang w:val="bg-BG"/>
              </w:rPr>
              <w:t>оведат</w:t>
            </w:r>
            <w:r w:rsidR="00D333DD" w:rsidRPr="00B8298A">
              <w:rPr>
                <w:lang w:val="bg-BG"/>
              </w:rPr>
              <w:t xml:space="preserve"> </w:t>
            </w:r>
            <w:r w:rsidR="00D333DD" w:rsidRPr="00B8298A">
              <w:rPr>
                <w:b/>
                <w:lang w:val="bg-BG"/>
              </w:rPr>
              <w:t>продължи провеждането</w:t>
            </w:r>
            <w:r w:rsidR="00D333DD" w:rsidRPr="00B8298A">
              <w:rPr>
                <w:lang w:val="bg-BG"/>
              </w:rPr>
              <w:t xml:space="preserve"> на публични кампании за стабилизиране очакванията за нивата на инфлацията, да се насърчи докладването на нелоялни практики на ценообразуване и да се избягват широки ценови ограничения около приемането на еврото.</w:t>
            </w:r>
          </w:p>
          <w:p w14:paraId="23BFBB5D" w14:textId="77777777" w:rsidR="005F4582" w:rsidRPr="00B8298A" w:rsidRDefault="00B97F1F" w:rsidP="00DA3705">
            <w:pPr>
              <w:pStyle w:val="TableCell"/>
              <w:jc w:val="both"/>
              <w:rPr>
                <w:lang w:val="bg-BG"/>
              </w:rPr>
            </w:pPr>
            <w:r>
              <w:rPr>
                <w:b/>
                <w:i/>
                <w:u w:val="single"/>
                <w:lang w:val="bg-BG"/>
              </w:rPr>
              <w:t>Мотиви</w:t>
            </w:r>
            <w:r w:rsidR="005F4582" w:rsidRPr="0013129A">
              <w:rPr>
                <w:b/>
                <w:bCs/>
                <w:i/>
                <w:u w:val="single"/>
                <w:lang w:val="bg-BG"/>
              </w:rPr>
              <w:t>:</w:t>
            </w:r>
            <w:r w:rsidR="005F4582" w:rsidRPr="00B8298A">
              <w:rPr>
                <w:lang w:val="bg-BG"/>
              </w:rPr>
              <w:t xml:space="preserve"> </w:t>
            </w:r>
            <w:r w:rsidR="00B8298A" w:rsidRPr="00B8298A">
              <w:rPr>
                <w:lang w:val="bg-BG"/>
              </w:rPr>
              <w:t xml:space="preserve">В момента се провежда национална информационна кампания от Министерството на финансите и Българската народна банка, която предвижда информационни събития във всичките областни градове на страната. Същевременно Комисията за защита на потребителите (КЗП),  Националната агенция на приходите (НАП) и Националния осигурителен институт (НОИ) също провеждат свои информационни събития във връзка с въвеждането на еврото в по-малките населени места (повече от 110 събития). КЗП и НАП извършват и редовни проверки по отношение ценообразуването с оглед предотвратяване на нелоялни търговски практики. </w:t>
            </w:r>
            <w:r w:rsidR="00DA3705">
              <w:rPr>
                <w:lang w:val="bg-BG"/>
              </w:rPr>
              <w:t xml:space="preserve"> Стартиран е</w:t>
            </w:r>
            <w:r w:rsidR="00DA3705" w:rsidRPr="00B8298A">
              <w:rPr>
                <w:lang w:val="bg-BG"/>
              </w:rPr>
              <w:t xml:space="preserve"> и  специален </w:t>
            </w:r>
            <w:r w:rsidR="00DA3705" w:rsidRPr="00FB44F8">
              <w:rPr>
                <w:lang w:val="bg-BG"/>
              </w:rPr>
              <w:t>интернет портал</w:t>
            </w:r>
            <w:r w:rsidR="00DA3705">
              <w:rPr>
                <w:lang w:val="bg-BG"/>
              </w:rPr>
              <w:t xml:space="preserve"> </w:t>
            </w:r>
            <w:r w:rsidR="00DA3705" w:rsidRPr="00B8298A">
              <w:rPr>
                <w:lang w:val="bg-BG"/>
              </w:rPr>
              <w:t xml:space="preserve">- kolkostruva.bg, </w:t>
            </w:r>
            <w:r w:rsidR="00DA3705" w:rsidRPr="00E07D58">
              <w:rPr>
                <w:lang w:val="bg-BG"/>
              </w:rPr>
              <w:t xml:space="preserve">за мониторинг на индивидуалните продажни цени на предлагани за продажба стоки от </w:t>
            </w:r>
            <w:r w:rsidR="00DA3705" w:rsidRPr="00E07D58">
              <w:rPr>
                <w:lang w:val="bg-BG"/>
              </w:rPr>
              <w:lastRenderedPageBreak/>
              <w:t>състава на голямата потребителска кошница, определени от Комисията за защита на потребителите</w:t>
            </w:r>
            <w:r w:rsidR="00DA3705" w:rsidRPr="00B8298A">
              <w:rPr>
                <w:lang w:val="bg-BG"/>
              </w:rPr>
              <w:t>.</w:t>
            </w:r>
            <w:r w:rsidR="00DA3705">
              <w:rPr>
                <w:lang w:val="bg-BG"/>
              </w:rPr>
              <w:t xml:space="preserve"> </w:t>
            </w:r>
            <w:r w:rsidR="00DA3705" w:rsidRPr="007C0111">
              <w:rPr>
                <w:lang w:val="bg-BG"/>
              </w:rPr>
              <w:t xml:space="preserve">Платформата дава възможност на потребителите да проследяват промяната в цените на отделни продукти и да сравняват стойността на един и същ </w:t>
            </w:r>
            <w:r w:rsidR="00DA3705">
              <w:rPr>
                <w:lang w:val="bg-BG"/>
              </w:rPr>
              <w:t>продукт</w:t>
            </w:r>
            <w:r w:rsidR="00DA3705" w:rsidRPr="007C0111">
              <w:rPr>
                <w:lang w:val="bg-BG"/>
              </w:rPr>
              <w:t>, предлаган от различни търговци</w:t>
            </w:r>
            <w:r w:rsidR="00DA3705">
              <w:rPr>
                <w:lang w:val="bg-BG"/>
              </w:rPr>
              <w:t xml:space="preserve">. Целта на мярката е да предотврати нелоялни практики и да </w:t>
            </w:r>
            <w:r w:rsidR="00DA3705" w:rsidRPr="00E07D58">
              <w:rPr>
                <w:lang w:val="bg-BG"/>
              </w:rPr>
              <w:t>п</w:t>
            </w:r>
            <w:r w:rsidR="00DA3705">
              <w:rPr>
                <w:lang w:val="bg-BG"/>
              </w:rPr>
              <w:t>одобри прозрачността и защитата на потребителите в</w:t>
            </w:r>
            <w:r w:rsidR="00DA3705" w:rsidRPr="00E07D58">
              <w:rPr>
                <w:lang w:val="bg-BG"/>
              </w:rPr>
              <w:t xml:space="preserve"> процеса</w:t>
            </w:r>
            <w:r w:rsidR="00DA3705">
              <w:rPr>
                <w:lang w:val="bg-BG"/>
              </w:rPr>
              <w:t xml:space="preserve"> по преминаване към единната валута</w:t>
            </w:r>
            <w:r w:rsidR="00DA3705" w:rsidRPr="00E07D58">
              <w:rPr>
                <w:lang w:val="bg-BG"/>
              </w:rPr>
              <w:t xml:space="preserve">. </w:t>
            </w:r>
          </w:p>
        </w:tc>
      </w:tr>
      <w:tr w:rsidR="00BA5EEA" w:rsidRPr="00005C86" w14:paraId="7470B19E" w14:textId="77777777" w:rsidTr="003025A7">
        <w:tc>
          <w:tcPr>
            <w:tcW w:w="1567" w:type="pct"/>
            <w:tcBorders>
              <w:bottom w:val="single" w:sz="4" w:space="0" w:color="5B9BD5" w:themeColor="accent1"/>
            </w:tcBorders>
          </w:tcPr>
          <w:p w14:paraId="0EE1BFBC" w14:textId="77777777" w:rsidR="00BA5EEA" w:rsidRPr="006C3504" w:rsidRDefault="00BE7F11" w:rsidP="00D44FF9">
            <w:pPr>
              <w:pStyle w:val="TableRow"/>
              <w:rPr>
                <w:lang w:val="bg-BG"/>
              </w:rPr>
            </w:pPr>
            <w:r>
              <w:rPr>
                <w:lang w:val="bg-BG"/>
              </w:rPr>
              <w:lastRenderedPageBreak/>
              <w:t>Силен ръст на</w:t>
            </w:r>
            <w:r w:rsidR="00BA5EEA" w:rsidRPr="006C3504">
              <w:rPr>
                <w:lang w:val="bg-BG"/>
              </w:rPr>
              <w:t xml:space="preserve"> кредити</w:t>
            </w:r>
            <w:r>
              <w:rPr>
                <w:lang w:val="bg-BG"/>
              </w:rPr>
              <w:t>рането</w:t>
            </w:r>
            <w:r w:rsidR="00BA5EEA" w:rsidRPr="006C3504">
              <w:rPr>
                <w:lang w:val="bg-BG"/>
              </w:rPr>
              <w:t xml:space="preserve"> и </w:t>
            </w:r>
            <w:r w:rsidRPr="006C3504">
              <w:rPr>
                <w:lang w:val="bg-BG"/>
              </w:rPr>
              <w:t>покачва</w:t>
            </w:r>
            <w:r>
              <w:rPr>
                <w:lang w:val="bg-BG"/>
              </w:rPr>
              <w:t>не на</w:t>
            </w:r>
            <w:r w:rsidRPr="006C3504">
              <w:rPr>
                <w:lang w:val="bg-BG"/>
              </w:rPr>
              <w:t xml:space="preserve"> </w:t>
            </w:r>
            <w:r w:rsidR="00BA5EEA" w:rsidRPr="006C3504">
              <w:rPr>
                <w:lang w:val="bg-BG"/>
              </w:rPr>
              <w:t xml:space="preserve">цените на жилищата, </w:t>
            </w:r>
            <w:r>
              <w:rPr>
                <w:lang w:val="bg-BG"/>
              </w:rPr>
              <w:t>водещи до</w:t>
            </w:r>
            <w:r w:rsidR="00BA5EEA" w:rsidRPr="006C3504">
              <w:rPr>
                <w:lang w:val="bg-BG"/>
              </w:rPr>
              <w:t xml:space="preserve"> засил</w:t>
            </w:r>
            <w:r>
              <w:rPr>
                <w:lang w:val="bg-BG"/>
              </w:rPr>
              <w:t>ване на</w:t>
            </w:r>
            <w:r w:rsidR="00BA5EEA" w:rsidRPr="006C3504">
              <w:rPr>
                <w:lang w:val="bg-BG"/>
              </w:rPr>
              <w:t xml:space="preserve"> </w:t>
            </w:r>
            <w:proofErr w:type="spellStart"/>
            <w:r w:rsidR="00BA5EEA" w:rsidRPr="006C3504">
              <w:rPr>
                <w:lang w:val="bg-BG"/>
              </w:rPr>
              <w:t>макропруденциалните</w:t>
            </w:r>
            <w:proofErr w:type="spellEnd"/>
            <w:r w:rsidR="00BA5EEA" w:rsidRPr="006C3504">
              <w:rPr>
                <w:lang w:val="bg-BG"/>
              </w:rPr>
              <w:t xml:space="preserve"> регулации</w:t>
            </w:r>
            <w:r w:rsidRPr="006C3504">
              <w:rPr>
                <w:lang w:val="bg-BG"/>
              </w:rPr>
              <w:t xml:space="preserve"> </w:t>
            </w:r>
            <w:r>
              <w:rPr>
                <w:lang w:val="bg-BG"/>
              </w:rPr>
              <w:t xml:space="preserve">от страна на </w:t>
            </w:r>
            <w:r w:rsidRPr="006C3504">
              <w:rPr>
                <w:lang w:val="bg-BG"/>
              </w:rPr>
              <w:t>централната банка</w:t>
            </w:r>
            <w:r w:rsidR="00BA5EEA" w:rsidRPr="006C3504">
              <w:rPr>
                <w:lang w:val="bg-BG"/>
              </w:rPr>
              <w:t>.</w:t>
            </w:r>
          </w:p>
        </w:tc>
        <w:tc>
          <w:tcPr>
            <w:tcW w:w="1717" w:type="pct"/>
            <w:tcBorders>
              <w:bottom w:val="single" w:sz="4" w:space="0" w:color="5B9BD5" w:themeColor="accent1"/>
            </w:tcBorders>
          </w:tcPr>
          <w:p w14:paraId="05854A1F" w14:textId="77777777" w:rsidR="00BA5EEA" w:rsidRPr="006C3504" w:rsidRDefault="00D44FF9" w:rsidP="00D44FF9">
            <w:pPr>
              <w:pStyle w:val="TableCell"/>
              <w:jc w:val="both"/>
              <w:rPr>
                <w:lang w:val="bg-BG"/>
              </w:rPr>
            </w:pPr>
            <w:r>
              <w:rPr>
                <w:lang w:val="bg-BG"/>
              </w:rPr>
              <w:t>Да се п</w:t>
            </w:r>
            <w:r w:rsidR="00577A1B">
              <w:rPr>
                <w:lang w:val="bg-BG"/>
              </w:rPr>
              <w:t>родълж</w:t>
            </w:r>
            <w:r>
              <w:rPr>
                <w:lang w:val="bg-BG"/>
              </w:rPr>
              <w:t>и</w:t>
            </w:r>
            <w:r w:rsidR="00BA5EEA" w:rsidRPr="006C3504">
              <w:rPr>
                <w:lang w:val="bg-BG"/>
              </w:rPr>
              <w:t xml:space="preserve"> внимателно</w:t>
            </w:r>
            <w:r w:rsidR="00BE7F11">
              <w:rPr>
                <w:lang w:val="bg-BG"/>
              </w:rPr>
              <w:t>то</w:t>
            </w:r>
            <w:r w:rsidR="00BA5EEA" w:rsidRPr="006C3504">
              <w:rPr>
                <w:lang w:val="bg-BG"/>
              </w:rPr>
              <w:t xml:space="preserve"> </w:t>
            </w:r>
            <w:r w:rsidR="00577A1B">
              <w:rPr>
                <w:lang w:val="bg-BG"/>
              </w:rPr>
              <w:t>наблюд</w:t>
            </w:r>
            <w:r>
              <w:rPr>
                <w:lang w:val="bg-BG"/>
              </w:rPr>
              <w:t>ение</w:t>
            </w:r>
            <w:r w:rsidR="00BA5EEA" w:rsidRPr="006C3504">
              <w:rPr>
                <w:lang w:val="bg-BG"/>
              </w:rPr>
              <w:t xml:space="preserve"> </w:t>
            </w:r>
            <w:r w:rsidR="00BE7F11">
              <w:rPr>
                <w:lang w:val="bg-BG"/>
              </w:rPr>
              <w:t xml:space="preserve">на </w:t>
            </w:r>
            <w:r w:rsidR="00BA5EEA" w:rsidRPr="006C3504">
              <w:rPr>
                <w:lang w:val="bg-BG"/>
              </w:rPr>
              <w:t xml:space="preserve">кредитните рискове в сектора на домакинствата и </w:t>
            </w:r>
            <w:r w:rsidR="00BE7F11">
              <w:rPr>
                <w:lang w:val="bg-BG"/>
              </w:rPr>
              <w:t xml:space="preserve">в случай на </w:t>
            </w:r>
            <w:r w:rsidR="00BA5EEA" w:rsidRPr="006C3504">
              <w:rPr>
                <w:lang w:val="bg-BG"/>
              </w:rPr>
              <w:t>необходимо</w:t>
            </w:r>
            <w:r w:rsidR="00BE7F11">
              <w:rPr>
                <w:lang w:val="bg-BG"/>
              </w:rPr>
              <w:t>ст</w:t>
            </w:r>
            <w:r w:rsidR="00BA5EEA" w:rsidRPr="006C3504">
              <w:rPr>
                <w:lang w:val="bg-BG"/>
              </w:rPr>
              <w:t xml:space="preserve"> </w:t>
            </w:r>
            <w:r w:rsidR="00577A1B">
              <w:rPr>
                <w:lang w:val="bg-BG"/>
              </w:rPr>
              <w:t>да се помисли</w:t>
            </w:r>
            <w:r w:rsidR="00BA5EEA" w:rsidRPr="006C3504">
              <w:rPr>
                <w:lang w:val="bg-BG"/>
              </w:rPr>
              <w:t xml:space="preserve"> за затягане на </w:t>
            </w:r>
            <w:proofErr w:type="spellStart"/>
            <w:r w:rsidR="00BA5EEA" w:rsidRPr="006C3504">
              <w:rPr>
                <w:lang w:val="bg-BG"/>
              </w:rPr>
              <w:t>макропруденциалните</w:t>
            </w:r>
            <w:proofErr w:type="spellEnd"/>
            <w:r w:rsidR="00BA5EEA" w:rsidRPr="006C3504">
              <w:rPr>
                <w:lang w:val="bg-BG"/>
              </w:rPr>
              <w:t xml:space="preserve"> правила.</w:t>
            </w:r>
          </w:p>
        </w:tc>
        <w:tc>
          <w:tcPr>
            <w:tcW w:w="1716" w:type="pct"/>
            <w:tcBorders>
              <w:bottom w:val="single" w:sz="4" w:space="0" w:color="5B9BD5" w:themeColor="accent1"/>
            </w:tcBorders>
          </w:tcPr>
          <w:p w14:paraId="65792AED" w14:textId="77777777" w:rsidR="00BA5EEA" w:rsidRPr="00EC31EC" w:rsidRDefault="00EC31EC" w:rsidP="00970270">
            <w:pPr>
              <w:pStyle w:val="TableCell"/>
              <w:jc w:val="both"/>
              <w:rPr>
                <w:b/>
                <w:lang w:val="bg-BG"/>
              </w:rPr>
            </w:pPr>
            <w:r w:rsidRPr="00EC31EC">
              <w:rPr>
                <w:b/>
                <w:lang w:val="bg-BG"/>
              </w:rPr>
              <w:t>Република България изразява съгласие с препоръката.</w:t>
            </w:r>
          </w:p>
        </w:tc>
      </w:tr>
      <w:tr w:rsidR="00BA5EEA" w:rsidRPr="00005C86" w14:paraId="19143C78" w14:textId="77777777" w:rsidTr="003025A7">
        <w:tc>
          <w:tcPr>
            <w:tcW w:w="1567" w:type="pct"/>
            <w:tcBorders>
              <w:bottom w:val="single" w:sz="4" w:space="0" w:color="5B9BD5" w:themeColor="accent1"/>
            </w:tcBorders>
          </w:tcPr>
          <w:p w14:paraId="225AED57" w14:textId="77777777" w:rsidR="00BA5EEA" w:rsidRPr="006C3504" w:rsidRDefault="00BE7F11" w:rsidP="00BE7F11">
            <w:pPr>
              <w:pStyle w:val="TableRow"/>
              <w:rPr>
                <w:lang w:val="bg-BG"/>
              </w:rPr>
            </w:pPr>
            <w:r>
              <w:rPr>
                <w:lang w:val="bg-BG"/>
              </w:rPr>
              <w:t>Небанковите финансови институции</w:t>
            </w:r>
            <w:r w:rsidR="00420AF7" w:rsidRPr="006C3504">
              <w:rPr>
                <w:lang w:val="bg-BG"/>
              </w:rPr>
              <w:t xml:space="preserve"> отпускат заеми на физически лица, които нямат достъп до официални банкови заеми, при прекомерни лихвени </w:t>
            </w:r>
            <w:r>
              <w:rPr>
                <w:lang w:val="bg-BG"/>
              </w:rPr>
              <w:t>нива</w:t>
            </w:r>
            <w:r w:rsidR="00420AF7" w:rsidRPr="006C3504">
              <w:rPr>
                <w:lang w:val="bg-BG"/>
              </w:rPr>
              <w:t xml:space="preserve"> и често налагат скрити такси.</w:t>
            </w:r>
          </w:p>
        </w:tc>
        <w:tc>
          <w:tcPr>
            <w:tcW w:w="1717" w:type="pct"/>
            <w:tcBorders>
              <w:bottom w:val="single" w:sz="4" w:space="0" w:color="5B9BD5" w:themeColor="accent1"/>
            </w:tcBorders>
          </w:tcPr>
          <w:p w14:paraId="154FEEA9" w14:textId="77777777" w:rsidR="00BA5EEA" w:rsidRPr="006C3504" w:rsidRDefault="00D44FF9" w:rsidP="00D44FF9">
            <w:pPr>
              <w:pStyle w:val="TableCell"/>
              <w:jc w:val="both"/>
              <w:rPr>
                <w:lang w:val="bg-BG"/>
              </w:rPr>
            </w:pPr>
            <w:r>
              <w:rPr>
                <w:lang w:val="bg-BG"/>
              </w:rPr>
              <w:t>Да се н</w:t>
            </w:r>
            <w:r w:rsidR="00AC5031">
              <w:rPr>
                <w:lang w:val="bg-BG"/>
              </w:rPr>
              <w:t>амал</w:t>
            </w:r>
            <w:r>
              <w:rPr>
                <w:lang w:val="bg-BG"/>
              </w:rPr>
              <w:t>и</w:t>
            </w:r>
            <w:r w:rsidR="00AC5031">
              <w:rPr>
                <w:lang w:val="bg-BG"/>
              </w:rPr>
              <w:t xml:space="preserve"> </w:t>
            </w:r>
            <w:r w:rsidR="00204E2E" w:rsidRPr="006C3504">
              <w:rPr>
                <w:lang w:val="bg-BG"/>
              </w:rPr>
              <w:t>таван</w:t>
            </w:r>
            <w:r>
              <w:rPr>
                <w:lang w:val="bg-BG"/>
              </w:rPr>
              <w:t>ът</w:t>
            </w:r>
            <w:r w:rsidR="00204E2E" w:rsidRPr="006C3504">
              <w:rPr>
                <w:lang w:val="bg-BG"/>
              </w:rPr>
              <w:t xml:space="preserve"> на лихвените проценти по потребителските кредити отпускани от небанкови финансови институции и </w:t>
            </w:r>
            <w:r w:rsidR="00414510">
              <w:rPr>
                <w:lang w:val="bg-BG"/>
              </w:rPr>
              <w:t>неговото</w:t>
            </w:r>
            <w:r w:rsidR="00BE7F11" w:rsidRPr="00BE7F11">
              <w:rPr>
                <w:lang w:val="bg-BG"/>
              </w:rPr>
              <w:t xml:space="preserve"> израз</w:t>
            </w:r>
            <w:r w:rsidR="00414510">
              <w:rPr>
                <w:lang w:val="bg-BG"/>
              </w:rPr>
              <w:t>яване</w:t>
            </w:r>
            <w:r>
              <w:rPr>
                <w:lang w:val="bg-BG"/>
              </w:rPr>
              <w:t xml:space="preserve"> да бъде</w:t>
            </w:r>
            <w:r w:rsidR="00BE7F11" w:rsidRPr="00BE7F11">
              <w:rPr>
                <w:lang w:val="bg-BG"/>
              </w:rPr>
              <w:t xml:space="preserve"> като кратно на референтните лихвени проценти по кредитите</w:t>
            </w:r>
            <w:r w:rsidR="00204E2E" w:rsidRPr="006C3504">
              <w:rPr>
                <w:lang w:val="bg-BG"/>
              </w:rPr>
              <w:t xml:space="preserve">. </w:t>
            </w:r>
            <w:r>
              <w:rPr>
                <w:lang w:val="bg-BG"/>
              </w:rPr>
              <w:t>Да се з</w:t>
            </w:r>
            <w:r w:rsidR="00204E2E" w:rsidRPr="006C3504">
              <w:rPr>
                <w:lang w:val="bg-BG"/>
              </w:rPr>
              <w:t>а</w:t>
            </w:r>
            <w:r w:rsidR="00577A1B">
              <w:rPr>
                <w:lang w:val="bg-BG"/>
              </w:rPr>
              <w:t>т</w:t>
            </w:r>
            <w:r>
              <w:rPr>
                <w:lang w:val="bg-BG"/>
              </w:rPr>
              <w:t>е</w:t>
            </w:r>
            <w:r w:rsidR="00BE7F11">
              <w:rPr>
                <w:lang w:val="bg-BG"/>
              </w:rPr>
              <w:t>гне</w:t>
            </w:r>
            <w:r>
              <w:rPr>
                <w:lang w:val="bg-BG"/>
              </w:rPr>
              <w:t xml:space="preserve"> надзорът</w:t>
            </w:r>
            <w:r w:rsidR="00577A1B">
              <w:rPr>
                <w:lang w:val="bg-BG"/>
              </w:rPr>
              <w:t xml:space="preserve"> върху небанкови</w:t>
            </w:r>
            <w:r w:rsidR="00BE7F11">
              <w:rPr>
                <w:lang w:val="bg-BG"/>
              </w:rPr>
              <w:t>те</w:t>
            </w:r>
            <w:r w:rsidR="00577A1B">
              <w:rPr>
                <w:lang w:val="bg-BG"/>
              </w:rPr>
              <w:t xml:space="preserve"> финансови институции</w:t>
            </w:r>
            <w:r w:rsidR="00204E2E" w:rsidRPr="006C3504">
              <w:rPr>
                <w:lang w:val="bg-BG"/>
              </w:rPr>
              <w:t xml:space="preserve"> пр</w:t>
            </w:r>
            <w:r w:rsidR="0022006D">
              <w:rPr>
                <w:lang w:val="bg-BG"/>
              </w:rPr>
              <w:t>едоставя</w:t>
            </w:r>
            <w:r w:rsidR="00927183">
              <w:rPr>
                <w:lang w:val="bg-BG"/>
              </w:rPr>
              <w:t>щи</w:t>
            </w:r>
            <w:r w:rsidR="0022006D">
              <w:rPr>
                <w:lang w:val="bg-BG"/>
              </w:rPr>
              <w:t xml:space="preserve"> кредитиране, </w:t>
            </w:r>
            <w:r>
              <w:rPr>
                <w:lang w:val="bg-BG"/>
              </w:rPr>
              <w:t xml:space="preserve">да се </w:t>
            </w:r>
            <w:r w:rsidR="0022006D">
              <w:rPr>
                <w:lang w:val="bg-BG"/>
              </w:rPr>
              <w:t>увелича</w:t>
            </w:r>
            <w:r>
              <w:rPr>
                <w:lang w:val="bg-BG"/>
              </w:rPr>
              <w:t>т</w:t>
            </w:r>
            <w:r w:rsidR="00204E2E" w:rsidRPr="006C3504">
              <w:rPr>
                <w:lang w:val="bg-BG"/>
              </w:rPr>
              <w:t xml:space="preserve"> </w:t>
            </w:r>
            <w:r w:rsidR="00927183">
              <w:rPr>
                <w:lang w:val="bg-BG"/>
              </w:rPr>
              <w:t>изискванията за публичност</w:t>
            </w:r>
            <w:r w:rsidR="00204E2E" w:rsidRPr="006C3504">
              <w:rPr>
                <w:lang w:val="bg-BG"/>
              </w:rPr>
              <w:t xml:space="preserve"> на данни, включително </w:t>
            </w:r>
            <w:r w:rsidR="00927183">
              <w:rPr>
                <w:lang w:val="bg-BG"/>
              </w:rPr>
              <w:t xml:space="preserve">на </w:t>
            </w:r>
            <w:r w:rsidR="00204E2E" w:rsidRPr="006C3504">
              <w:rPr>
                <w:lang w:val="bg-BG"/>
              </w:rPr>
              <w:t>лихвени</w:t>
            </w:r>
            <w:r w:rsidR="00927183">
              <w:rPr>
                <w:lang w:val="bg-BG"/>
              </w:rPr>
              <w:t>те</w:t>
            </w:r>
            <w:r w:rsidR="00204E2E" w:rsidRPr="006C3504">
              <w:rPr>
                <w:lang w:val="bg-BG"/>
              </w:rPr>
              <w:t xml:space="preserve"> проценти и стандарт</w:t>
            </w:r>
            <w:r w:rsidR="00927183">
              <w:rPr>
                <w:lang w:val="bg-BG"/>
              </w:rPr>
              <w:t>изирано</w:t>
            </w:r>
            <w:r w:rsidR="00204E2E" w:rsidRPr="006C3504">
              <w:rPr>
                <w:lang w:val="bg-BG"/>
              </w:rPr>
              <w:t xml:space="preserve"> докладване на падежи.</w:t>
            </w:r>
          </w:p>
        </w:tc>
        <w:tc>
          <w:tcPr>
            <w:tcW w:w="1716" w:type="pct"/>
            <w:tcBorders>
              <w:bottom w:val="single" w:sz="4" w:space="0" w:color="5B9BD5" w:themeColor="accent1"/>
            </w:tcBorders>
          </w:tcPr>
          <w:p w14:paraId="36838AE2" w14:textId="77777777" w:rsidR="0072127F" w:rsidRPr="0072127F" w:rsidRDefault="0072127F" w:rsidP="0072127F">
            <w:pPr>
              <w:spacing w:after="20" w:line="200" w:lineRule="exact"/>
              <w:rPr>
                <w:b/>
                <w:color w:val="000000" w:themeColor="text1"/>
                <w:szCs w:val="22"/>
                <w:lang w:val="bg-BG" w:eastAsia="en-US"/>
              </w:rPr>
            </w:pPr>
            <w:r w:rsidRPr="0072127F">
              <w:rPr>
                <w:b/>
                <w:color w:val="000000" w:themeColor="text1"/>
                <w:szCs w:val="22"/>
                <w:lang w:val="bg-BG" w:eastAsia="en-US"/>
              </w:rPr>
              <w:t>Република България изразява частично съгласие с препоръката само относно възможността за засилване на надзора над небанковите финансови институции, отпускащи кредити на физически лица</w:t>
            </w:r>
            <w:r>
              <w:rPr>
                <w:b/>
                <w:color w:val="000000" w:themeColor="text1"/>
                <w:szCs w:val="22"/>
                <w:lang w:val="bg-BG" w:eastAsia="en-US"/>
              </w:rPr>
              <w:t>, при отразяване на следната промяна.</w:t>
            </w:r>
          </w:p>
          <w:p w14:paraId="6F73D07F" w14:textId="77777777" w:rsidR="0072127F" w:rsidRPr="0072127F" w:rsidRDefault="0072127F" w:rsidP="0072127F">
            <w:pPr>
              <w:spacing w:after="20" w:line="200" w:lineRule="exact"/>
              <w:rPr>
                <w:b/>
                <w:color w:val="000000" w:themeColor="text1"/>
                <w:szCs w:val="22"/>
                <w:lang w:val="bg-BG" w:eastAsia="en-US"/>
              </w:rPr>
            </w:pPr>
            <w:r w:rsidRPr="0072127F">
              <w:rPr>
                <w:b/>
                <w:i/>
                <w:color w:val="000000" w:themeColor="text1"/>
                <w:szCs w:val="22"/>
                <w:u w:val="single"/>
                <w:lang w:val="bg-BG" w:eastAsia="en-US"/>
              </w:rPr>
              <w:t>Предложение за редакция:</w:t>
            </w:r>
            <w:r>
              <w:rPr>
                <w:strike/>
                <w:color w:val="000000" w:themeColor="text1"/>
                <w:szCs w:val="22"/>
                <w:lang w:val="bg-BG" w:eastAsia="en-US"/>
              </w:rPr>
              <w:t xml:space="preserve"> </w:t>
            </w:r>
            <w:r w:rsidRPr="0072127F">
              <w:rPr>
                <w:strike/>
                <w:color w:val="000000" w:themeColor="text1"/>
                <w:szCs w:val="22"/>
                <w:lang w:val="bg-BG" w:eastAsia="en-US"/>
              </w:rPr>
              <w:t>Да се намали таванът на лихвените проценти по потребителските кредити отпускани от небанкови финансови институции и неговото изразяване да бъде като кратно на референтните лихвени проценти по кредитите.</w:t>
            </w:r>
            <w:r w:rsidRPr="0072127F">
              <w:rPr>
                <w:color w:val="000000" w:themeColor="text1"/>
                <w:szCs w:val="22"/>
                <w:lang w:val="bg-BG" w:eastAsia="en-US"/>
              </w:rPr>
              <w:t xml:space="preserve"> Да се </w:t>
            </w:r>
            <w:r w:rsidRPr="0072127F">
              <w:rPr>
                <w:strike/>
                <w:color w:val="000000" w:themeColor="text1"/>
                <w:szCs w:val="22"/>
                <w:lang w:val="bg-BG" w:eastAsia="en-US"/>
              </w:rPr>
              <w:t>затегне</w:t>
            </w:r>
            <w:r w:rsidRPr="0072127F">
              <w:rPr>
                <w:color w:val="000000" w:themeColor="text1"/>
                <w:szCs w:val="22"/>
                <w:lang w:val="bg-BG" w:eastAsia="en-US"/>
              </w:rPr>
              <w:t xml:space="preserve"> </w:t>
            </w:r>
            <w:r w:rsidRPr="0072127F">
              <w:rPr>
                <w:b/>
                <w:color w:val="000000" w:themeColor="text1"/>
                <w:szCs w:val="22"/>
                <w:u w:val="single"/>
                <w:lang w:val="bg-BG" w:eastAsia="en-US"/>
              </w:rPr>
              <w:t>обмисли засилване на надзора</w:t>
            </w:r>
            <w:r w:rsidRPr="0072127F">
              <w:rPr>
                <w:color w:val="000000" w:themeColor="text1"/>
                <w:szCs w:val="22"/>
                <w:lang w:val="bg-BG" w:eastAsia="en-US"/>
              </w:rPr>
              <w:t xml:space="preserve"> върху небанковите финансови институции предоставящи кредитиране, </w:t>
            </w:r>
            <w:r w:rsidRPr="0072127F">
              <w:rPr>
                <w:strike/>
                <w:color w:val="000000" w:themeColor="text1"/>
                <w:szCs w:val="22"/>
                <w:lang w:val="bg-BG" w:eastAsia="en-US"/>
              </w:rPr>
              <w:t>да се увеличат изискванията за публичност на данни, включително на лихвените проценти и стандартизирано докладване на падежи</w:t>
            </w:r>
            <w:r w:rsidRPr="0072127F">
              <w:rPr>
                <w:color w:val="000000" w:themeColor="text1"/>
                <w:szCs w:val="22"/>
                <w:lang w:val="bg-BG" w:eastAsia="en-US"/>
              </w:rPr>
              <w:t>.</w:t>
            </w:r>
          </w:p>
          <w:p w14:paraId="49129484" w14:textId="77777777" w:rsidR="0072127F" w:rsidRPr="0072127F" w:rsidRDefault="0072127F" w:rsidP="0072127F">
            <w:pPr>
              <w:spacing w:after="20" w:line="200" w:lineRule="exact"/>
              <w:rPr>
                <w:color w:val="000000" w:themeColor="text1"/>
                <w:szCs w:val="22"/>
                <w:lang w:val="bg-BG" w:eastAsia="en-US"/>
              </w:rPr>
            </w:pPr>
            <w:r>
              <w:rPr>
                <w:b/>
                <w:bCs/>
                <w:i/>
                <w:color w:val="000000" w:themeColor="text1"/>
                <w:szCs w:val="22"/>
                <w:u w:val="single"/>
                <w:lang w:val="bg-BG" w:eastAsia="en-US"/>
              </w:rPr>
              <w:t xml:space="preserve">Мотиви: </w:t>
            </w:r>
            <w:r w:rsidRPr="0072127F">
              <w:rPr>
                <w:b/>
                <w:color w:val="000000" w:themeColor="text1"/>
                <w:szCs w:val="22"/>
                <w:u w:val="single"/>
                <w:lang w:val="bg-BG" w:eastAsia="en-US"/>
              </w:rPr>
              <w:t>Относно препоръката за ограничаване на лихвените проценти</w:t>
            </w:r>
            <w:r w:rsidRPr="0072127F">
              <w:rPr>
                <w:color w:val="000000" w:themeColor="text1"/>
                <w:szCs w:val="22"/>
                <w:lang w:val="bg-BG" w:eastAsia="en-US"/>
              </w:rPr>
              <w:t xml:space="preserve">: </w:t>
            </w:r>
          </w:p>
          <w:p w14:paraId="68D879DF"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 xml:space="preserve">България вече е въвела ясни правила, в съответствие с европейското законодателство, относно  изискванията към </w:t>
            </w:r>
            <w:proofErr w:type="spellStart"/>
            <w:r w:rsidRPr="0072127F">
              <w:rPr>
                <w:color w:val="000000" w:themeColor="text1"/>
                <w:szCs w:val="22"/>
                <w:lang w:val="bg-BG" w:eastAsia="en-US"/>
              </w:rPr>
              <w:t>преддоговорната</w:t>
            </w:r>
            <w:proofErr w:type="spellEnd"/>
            <w:r w:rsidRPr="0072127F">
              <w:rPr>
                <w:color w:val="000000" w:themeColor="text1"/>
                <w:szCs w:val="22"/>
                <w:lang w:val="bg-BG" w:eastAsia="en-US"/>
              </w:rPr>
              <w:t xml:space="preserve"> информация по договор за кредит и начина на изчисляване на годишния процент на разходите, включително изрично ограничаване на максималния размер на годишния процент на разходите, както и контролните правомощия на Комисията за защита на потребителите - в Закона за потребителския кредит (ЗПК) (Обн. ДВ. бр.18 от 5 Март 2010г., последно  изм. ДВ. бр.70 от 20 Август 2024г., доп. ДВ. бр.50 от 20 Юни 2025г.).</w:t>
            </w:r>
          </w:p>
          <w:p w14:paraId="53C84BC2"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Съгласно чл. 5, ал. 1 и ал. 2 от ЗПК преди потребителят да е обвързан от предложение или от договор за предоставяне на потребителски кредит, кредиторът или кредитният посредник предоставя своевременно на потребителя съобразно изразените от него предпочитания и въз основа на предлаганите от кредитора условия на договора необходимата информация за сравняване на различните предложения и за вземане на информирано решение за сключване на договор за потребителски кредит</w:t>
            </w:r>
            <w:r w:rsidRPr="006F48DB">
              <w:rPr>
                <w:color w:val="000000" w:themeColor="text1"/>
                <w:szCs w:val="22"/>
                <w:lang w:val="bg-BG" w:eastAsia="en-US"/>
              </w:rPr>
              <w:t xml:space="preserve">. </w:t>
            </w:r>
            <w:r w:rsidRPr="0072127F">
              <w:rPr>
                <w:color w:val="000000" w:themeColor="text1"/>
                <w:szCs w:val="22"/>
                <w:lang w:val="bg-BG" w:eastAsia="en-US"/>
              </w:rPr>
              <w:t xml:space="preserve">Тази информация се предоставя във формата на стандартен европейски формуляр за предоставяне на информация </w:t>
            </w:r>
            <w:r w:rsidRPr="0072127F">
              <w:rPr>
                <w:color w:val="000000" w:themeColor="text1"/>
                <w:szCs w:val="22"/>
                <w:lang w:val="bg-BG" w:eastAsia="en-US"/>
              </w:rPr>
              <w:lastRenderedPageBreak/>
              <w:t>за потребителските кредити.</w:t>
            </w:r>
          </w:p>
          <w:p w14:paraId="460F32F5"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 xml:space="preserve">Съгласно чл. 19, ал. 1 от  ЗПК  годишният процент на разходите (ГПР) по кредита изразява общите разходи по кредита за потребителя, настоящи или бъдещи (лихви, други преки или косвени разходи, комисиони, възнаграждения от всякакъв вид, в т.ч. тези, дължими на посредниците за сключване на договора), изразени като годишен процент от общия размер на предоставения кредит. Член 19, ал. 2 и ал.3 от ЗПК изрично указват формулата за изчисляване на ГПР, както и кои разходи не се включват в ГПР. </w:t>
            </w:r>
          </w:p>
          <w:p w14:paraId="5022C6E8"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Съгласно чл. 19, ал. 4  от ЗПК, ГПР не може да бъде по-висок от пет пъти размера на законната лихва по просрочени задължения в евро и във валута, определена с постановление на Министерския съвет на Република България. Съгласно чл. 19, ал. 5 от ЗПК, клаузи в договор, надвишаващи определените по ал. 4, се считат за нищожни.</w:t>
            </w:r>
          </w:p>
          <w:p w14:paraId="61358D51"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 xml:space="preserve">Съгласно чл. 32а от ЗПК са предвидени изисквания за своевременно предоставяне на информация на потребители със затруднения при погасяването на кредита. </w:t>
            </w:r>
          </w:p>
          <w:p w14:paraId="5E7B50DD"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Тези разпоредби се отнася</w:t>
            </w:r>
            <w:r w:rsidR="006F48DB">
              <w:rPr>
                <w:color w:val="000000" w:themeColor="text1"/>
                <w:szCs w:val="22"/>
                <w:lang w:val="bg-BG" w:eastAsia="en-US"/>
              </w:rPr>
              <w:t>т</w:t>
            </w:r>
            <w:r w:rsidRPr="0072127F">
              <w:rPr>
                <w:color w:val="000000" w:themeColor="text1"/>
                <w:szCs w:val="22"/>
                <w:lang w:val="bg-BG" w:eastAsia="en-US"/>
              </w:rPr>
              <w:t xml:space="preserve"> както за кредитните институции, така и за небанковите финансови институции.</w:t>
            </w:r>
          </w:p>
          <w:p w14:paraId="3BDA1277" w14:textId="77777777" w:rsidR="0072127F" w:rsidRPr="0072127F" w:rsidRDefault="0072127F" w:rsidP="0072127F">
            <w:pPr>
              <w:spacing w:after="20" w:line="200" w:lineRule="exact"/>
              <w:rPr>
                <w:color w:val="000000" w:themeColor="text1"/>
                <w:szCs w:val="22"/>
                <w:lang w:val="bg-BG" w:eastAsia="en-US"/>
              </w:rPr>
            </w:pPr>
            <w:r w:rsidRPr="0072127F">
              <w:rPr>
                <w:b/>
                <w:color w:val="000000" w:themeColor="text1"/>
                <w:szCs w:val="22"/>
                <w:u w:val="single"/>
                <w:lang w:val="bg-BG" w:eastAsia="en-US"/>
              </w:rPr>
              <w:t>Препоръката относно публичност на данни не може да се приеме</w:t>
            </w:r>
            <w:r w:rsidRPr="0072127F">
              <w:rPr>
                <w:color w:val="000000" w:themeColor="text1"/>
                <w:szCs w:val="22"/>
                <w:lang w:val="bg-BG" w:eastAsia="en-US"/>
              </w:rPr>
              <w:t>:</w:t>
            </w:r>
          </w:p>
          <w:p w14:paraId="38033373" w14:textId="77777777" w:rsidR="0072127F" w:rsidRPr="0072127F" w:rsidRDefault="0072127F" w:rsidP="0072127F">
            <w:pPr>
              <w:spacing w:after="20" w:line="200" w:lineRule="exact"/>
              <w:rPr>
                <w:color w:val="000000" w:themeColor="text1"/>
                <w:szCs w:val="22"/>
                <w:lang w:val="bg-BG" w:eastAsia="en-US"/>
              </w:rPr>
            </w:pPr>
            <w:r w:rsidRPr="0072127F">
              <w:rPr>
                <w:color w:val="000000" w:themeColor="text1"/>
                <w:szCs w:val="22"/>
                <w:lang w:val="bg-BG" w:eastAsia="en-US"/>
              </w:rPr>
              <w:t xml:space="preserve">Тези данни вече се публикуват на официалната интернет страница на Българската народна банка (БНБ) – на тримесечна, полугодишна и годишна база, както и се публикуват в годишните и полугодишни отчети на БНБ. </w:t>
            </w:r>
          </w:p>
          <w:p w14:paraId="6DD9A2E8" w14:textId="77777777" w:rsidR="0072127F" w:rsidRPr="0072127F" w:rsidRDefault="0072127F" w:rsidP="0072127F">
            <w:pPr>
              <w:spacing w:after="20" w:line="200" w:lineRule="exact"/>
              <w:rPr>
                <w:color w:val="000000" w:themeColor="text1"/>
                <w:szCs w:val="22"/>
                <w:lang w:val="bg-BG" w:eastAsia="en-US"/>
              </w:rPr>
            </w:pPr>
            <w:r w:rsidRPr="0072127F">
              <w:rPr>
                <w:b/>
                <w:color w:val="000000" w:themeColor="text1"/>
                <w:szCs w:val="22"/>
                <w:u w:val="single"/>
                <w:lang w:val="bg-BG" w:eastAsia="en-US"/>
              </w:rPr>
              <w:t>Относно препоръката за засилване на надзора върху небанковите финансови институции</w:t>
            </w:r>
            <w:r w:rsidRPr="0072127F">
              <w:rPr>
                <w:color w:val="000000" w:themeColor="text1"/>
                <w:szCs w:val="22"/>
                <w:lang w:val="bg-BG" w:eastAsia="en-US"/>
              </w:rPr>
              <w:t>:</w:t>
            </w:r>
          </w:p>
          <w:p w14:paraId="514BA035" w14:textId="77777777" w:rsidR="0072127F" w:rsidRPr="0072127F" w:rsidRDefault="0072127F" w:rsidP="0072127F">
            <w:pPr>
              <w:spacing w:after="20" w:line="200" w:lineRule="exact"/>
              <w:rPr>
                <w:color w:val="000000" w:themeColor="text1"/>
                <w:lang w:val="bg-BG"/>
              </w:rPr>
            </w:pPr>
            <w:r w:rsidRPr="0072127F">
              <w:rPr>
                <w:color w:val="000000" w:themeColor="text1"/>
                <w:lang w:val="bg-BG"/>
              </w:rPr>
              <w:t>Съгласно чл. 3а от Закона за кредитните институции</w:t>
            </w:r>
            <w:r w:rsidR="00954EA6">
              <w:rPr>
                <w:color w:val="000000" w:themeColor="text1"/>
                <w:lang w:val="bg-BG"/>
              </w:rPr>
              <w:t xml:space="preserve">, за да може небанкова </w:t>
            </w:r>
            <w:proofErr w:type="spellStart"/>
            <w:r w:rsidR="00954EA6">
              <w:rPr>
                <w:color w:val="000000" w:themeColor="text1"/>
                <w:lang w:val="bg-BG"/>
              </w:rPr>
              <w:t>финансовa</w:t>
            </w:r>
            <w:proofErr w:type="spellEnd"/>
            <w:r w:rsidR="00FC3567">
              <w:rPr>
                <w:color w:val="000000" w:themeColor="text1"/>
                <w:lang w:val="bg-BG"/>
              </w:rPr>
              <w:t xml:space="preserve"> институция</w:t>
            </w:r>
            <w:r w:rsidRPr="0072127F">
              <w:rPr>
                <w:color w:val="000000" w:themeColor="text1"/>
                <w:lang w:val="bg-BG"/>
              </w:rPr>
              <w:t xml:space="preserve"> да отпуска кредити, тя следва да е вписана в публичния регистър на БНБ. В същия член са указани и изискванията, на които трябва да отговарят лицата, за да бъдат вписани в регистъра, както и условията за отказ от вписване или заличаване. Изискванията към дейността на регистрираните лица се определят с наредба на БНБ.</w:t>
            </w:r>
          </w:p>
          <w:p w14:paraId="5D4DE9E5" w14:textId="77777777" w:rsidR="0072127F" w:rsidRPr="0072127F" w:rsidRDefault="0072127F" w:rsidP="0072127F">
            <w:pPr>
              <w:spacing w:after="20" w:line="200" w:lineRule="exact"/>
              <w:rPr>
                <w:color w:val="000000" w:themeColor="text1"/>
                <w:lang w:val="bg-BG"/>
              </w:rPr>
            </w:pPr>
            <w:r w:rsidRPr="0072127F">
              <w:rPr>
                <w:color w:val="000000" w:themeColor="text1"/>
                <w:lang w:val="bg-BG"/>
              </w:rPr>
              <w:t>Контролът по спазването на изискванията на ЗПК е възложен на  Комисията за защита на потребителите (КЗП),</w:t>
            </w:r>
            <w:r w:rsidR="006F48DB">
              <w:rPr>
                <w:color w:val="000000" w:themeColor="text1"/>
                <w:lang w:val="bg-BG"/>
              </w:rPr>
              <w:t xml:space="preserve"> като в нейните правомощия е да</w:t>
            </w:r>
            <w:r w:rsidRPr="0072127F">
              <w:rPr>
                <w:color w:val="000000" w:themeColor="text1"/>
                <w:lang w:val="bg-BG"/>
              </w:rPr>
              <w:t xml:space="preserve"> разпореди на нарушителя да преустанови нарушението, както и да направи разпореждането обществено достояние (чл. 41). Също така, КЗП има право да предяви искове за преустановяване или за забрана на действия или търговски практики, които са в нарушение на колективните интереси на потребителите, и искове за обезщетение (чл. 38).</w:t>
            </w:r>
          </w:p>
          <w:p w14:paraId="1112CB77" w14:textId="77777777" w:rsidR="00A3594A" w:rsidRPr="0072127F" w:rsidRDefault="0072127F" w:rsidP="0072127F">
            <w:pPr>
              <w:pStyle w:val="TableCell"/>
              <w:jc w:val="both"/>
              <w:rPr>
                <w:lang w:val="bg-BG"/>
              </w:rPr>
            </w:pPr>
            <w:r w:rsidRPr="0072127F">
              <w:rPr>
                <w:lang w:val="bg-BG"/>
              </w:rPr>
              <w:t xml:space="preserve">Въпреки изложеното, в хода на транспониране на новото европейско законодателство в областта на </w:t>
            </w:r>
            <w:r w:rsidRPr="0072127F">
              <w:rPr>
                <w:lang w:val="bg-BG"/>
              </w:rPr>
              <w:lastRenderedPageBreak/>
              <w:t>потребителското</w:t>
            </w:r>
            <w:r w:rsidRPr="0072127F">
              <w:rPr>
                <w:rFonts w:asciiTheme="minorHAnsi" w:hAnsiTheme="minorHAnsi"/>
                <w:color w:val="auto"/>
                <w:sz w:val="22"/>
                <w:szCs w:val="22"/>
                <w:lang w:val="bg-BG" w:eastAsia="en-US"/>
              </w:rPr>
              <w:t xml:space="preserve"> </w:t>
            </w:r>
            <w:r w:rsidRPr="0072127F">
              <w:rPr>
                <w:lang w:val="bg-BG"/>
              </w:rPr>
              <w:t>кредитиране,  може да се обсъдят и допълнителни правомощия на компетентните органи в тези насоки.</w:t>
            </w:r>
          </w:p>
        </w:tc>
      </w:tr>
      <w:tr w:rsidR="008C2A4A" w:rsidRPr="00005C86" w14:paraId="53100BB8" w14:textId="77777777" w:rsidTr="008C2A4A">
        <w:tc>
          <w:tcPr>
            <w:tcW w:w="3284" w:type="pct"/>
            <w:gridSpan w:val="2"/>
            <w:tcBorders>
              <w:top w:val="single" w:sz="4" w:space="0" w:color="5B9BD5" w:themeColor="accent1"/>
              <w:bottom w:val="single" w:sz="4" w:space="0" w:color="5B9BD5" w:themeColor="accent1"/>
            </w:tcBorders>
          </w:tcPr>
          <w:p w14:paraId="38608FD3" w14:textId="77777777" w:rsidR="008C2A4A" w:rsidRPr="006C3504" w:rsidRDefault="00001DAB" w:rsidP="00970270">
            <w:pPr>
              <w:pStyle w:val="TableColumn"/>
              <w:rPr>
                <w:b/>
                <w:bCs/>
                <w:lang w:val="bg-BG"/>
              </w:rPr>
            </w:pPr>
            <w:r w:rsidRPr="006C3504">
              <w:rPr>
                <w:b/>
                <w:bCs/>
                <w:lang w:val="bg-BG"/>
              </w:rPr>
              <w:lastRenderedPageBreak/>
              <w:t>Поддържане на устойчиви публични финанси в средносрочен план</w:t>
            </w:r>
          </w:p>
        </w:tc>
        <w:tc>
          <w:tcPr>
            <w:tcW w:w="1716" w:type="pct"/>
            <w:tcBorders>
              <w:top w:val="single" w:sz="4" w:space="0" w:color="5B9BD5" w:themeColor="accent1"/>
              <w:bottom w:val="single" w:sz="4" w:space="0" w:color="5B9BD5" w:themeColor="accent1"/>
            </w:tcBorders>
          </w:tcPr>
          <w:p w14:paraId="6B7A6F63" w14:textId="77777777" w:rsidR="008C2A4A" w:rsidRPr="006C3504" w:rsidRDefault="008C2A4A" w:rsidP="00970270">
            <w:pPr>
              <w:pStyle w:val="TableColumn"/>
              <w:rPr>
                <w:b/>
                <w:bCs/>
                <w:lang w:val="bg-BG"/>
              </w:rPr>
            </w:pPr>
          </w:p>
        </w:tc>
      </w:tr>
      <w:tr w:rsidR="008C2A4A" w:rsidRPr="00005C86" w14:paraId="700C9E51" w14:textId="77777777" w:rsidTr="003025A7">
        <w:tc>
          <w:tcPr>
            <w:tcW w:w="1567" w:type="pct"/>
            <w:tcBorders>
              <w:top w:val="single" w:sz="4" w:space="0" w:color="5B9BD5" w:themeColor="accent1"/>
            </w:tcBorders>
          </w:tcPr>
          <w:p w14:paraId="299E7B45" w14:textId="77777777" w:rsidR="008C2A4A" w:rsidRPr="006C3504" w:rsidRDefault="00E33F7E" w:rsidP="00D44FF9">
            <w:pPr>
              <w:pStyle w:val="TableRow"/>
              <w:rPr>
                <w:lang w:val="bg-BG"/>
              </w:rPr>
            </w:pPr>
            <w:r w:rsidRPr="006C3504">
              <w:rPr>
                <w:lang w:val="bg-BG"/>
              </w:rPr>
              <w:t>България е подложена на гол</w:t>
            </w:r>
            <w:r w:rsidR="00927183">
              <w:rPr>
                <w:lang w:val="bg-BG"/>
              </w:rPr>
              <w:t>ям дългосрочен</w:t>
            </w:r>
            <w:r w:rsidRPr="006C3504">
              <w:rPr>
                <w:lang w:val="bg-BG"/>
              </w:rPr>
              <w:t xml:space="preserve"> натиск от застаряването на населението, необходимостта от подобряване на обществените услуги и инвестиране</w:t>
            </w:r>
            <w:r w:rsidR="00D44FF9">
              <w:rPr>
                <w:lang w:val="bg-BG"/>
              </w:rPr>
              <w:t>то</w:t>
            </w:r>
            <w:r w:rsidRPr="006C3504">
              <w:rPr>
                <w:lang w:val="bg-BG"/>
              </w:rPr>
              <w:t xml:space="preserve">, финансиране на </w:t>
            </w:r>
            <w:r w:rsidR="00927183">
              <w:rPr>
                <w:lang w:val="bg-BG"/>
              </w:rPr>
              <w:t xml:space="preserve">климатичния </w:t>
            </w:r>
            <w:r w:rsidRPr="006C3504">
              <w:rPr>
                <w:lang w:val="bg-BG"/>
              </w:rPr>
              <w:t>преход</w:t>
            </w:r>
            <w:r w:rsidR="00927183">
              <w:rPr>
                <w:lang w:val="bg-BG"/>
              </w:rPr>
              <w:t xml:space="preserve"> и увеличените</w:t>
            </w:r>
            <w:r w:rsidRPr="006C3504">
              <w:rPr>
                <w:lang w:val="bg-BG"/>
              </w:rPr>
              <w:t xml:space="preserve"> разходи за отбрана.</w:t>
            </w:r>
          </w:p>
        </w:tc>
        <w:tc>
          <w:tcPr>
            <w:tcW w:w="1717" w:type="pct"/>
            <w:tcBorders>
              <w:top w:val="single" w:sz="4" w:space="0" w:color="5B9BD5" w:themeColor="accent1"/>
            </w:tcBorders>
          </w:tcPr>
          <w:p w14:paraId="3FEBCF59" w14:textId="77777777" w:rsidR="00E33F7E" w:rsidRPr="006C3504" w:rsidRDefault="00D23814" w:rsidP="00E33F7E">
            <w:pPr>
              <w:pStyle w:val="TableCell"/>
              <w:jc w:val="left"/>
              <w:rPr>
                <w:b/>
                <w:bCs/>
                <w:lang w:val="bg-BG"/>
              </w:rPr>
            </w:pPr>
            <w:r>
              <w:rPr>
                <w:b/>
                <w:bCs/>
                <w:lang w:val="bg-BG"/>
              </w:rPr>
              <w:t>Да се р</w:t>
            </w:r>
            <w:r w:rsidR="0022006D">
              <w:rPr>
                <w:b/>
                <w:bCs/>
                <w:lang w:val="bg-BG"/>
              </w:rPr>
              <w:t>азработ</w:t>
            </w:r>
            <w:r>
              <w:rPr>
                <w:b/>
                <w:bCs/>
                <w:lang w:val="bg-BG"/>
              </w:rPr>
              <w:t>и</w:t>
            </w:r>
            <w:r w:rsidR="00E33F7E" w:rsidRPr="006C3504">
              <w:rPr>
                <w:b/>
                <w:bCs/>
                <w:lang w:val="bg-BG"/>
              </w:rPr>
              <w:t xml:space="preserve"> дългосрочна стратегия</w:t>
            </w:r>
            <w:r w:rsidR="00927183">
              <w:rPr>
                <w:b/>
                <w:bCs/>
                <w:lang w:val="bg-BG"/>
              </w:rPr>
              <w:t xml:space="preserve"> за фискална политика и растеж</w:t>
            </w:r>
            <w:r w:rsidR="00E33F7E" w:rsidRPr="006C3504">
              <w:rPr>
                <w:b/>
                <w:bCs/>
                <w:lang w:val="bg-BG"/>
              </w:rPr>
              <w:t>, която да очертае план за справяне с натиска върху разходите, включително мерки</w:t>
            </w:r>
            <w:r>
              <w:rPr>
                <w:b/>
                <w:bCs/>
                <w:lang w:val="bg-BG"/>
              </w:rPr>
              <w:t xml:space="preserve"> свързани с пенсионната система</w:t>
            </w:r>
            <w:r w:rsidR="00E33F7E" w:rsidRPr="006C3504">
              <w:rPr>
                <w:b/>
                <w:bCs/>
                <w:lang w:val="bg-BG"/>
              </w:rPr>
              <w:t xml:space="preserve"> и </w:t>
            </w:r>
            <w:r w:rsidR="00414510">
              <w:rPr>
                <w:b/>
                <w:bCs/>
                <w:lang w:val="bg-BG"/>
              </w:rPr>
              <w:t>траектория</w:t>
            </w:r>
            <w:r w:rsidR="00E33F7E" w:rsidRPr="006C3504">
              <w:rPr>
                <w:b/>
                <w:bCs/>
                <w:lang w:val="bg-BG"/>
              </w:rPr>
              <w:t xml:space="preserve"> за управлявано увеличение на съотношението на дълга.</w:t>
            </w:r>
          </w:p>
          <w:p w14:paraId="547E5588" w14:textId="77777777" w:rsidR="008C2A4A" w:rsidRPr="006C3504" w:rsidRDefault="00D23814" w:rsidP="00D23814">
            <w:pPr>
              <w:pStyle w:val="TableCell"/>
              <w:jc w:val="left"/>
              <w:rPr>
                <w:bCs/>
                <w:lang w:val="bg-BG"/>
              </w:rPr>
            </w:pPr>
            <w:r>
              <w:rPr>
                <w:bCs/>
                <w:lang w:val="bg-BG"/>
              </w:rPr>
              <w:t>Да се у</w:t>
            </w:r>
            <w:r w:rsidR="00E33F7E" w:rsidRPr="006C3504">
              <w:rPr>
                <w:bCs/>
                <w:lang w:val="bg-BG"/>
              </w:rPr>
              <w:t>станов</w:t>
            </w:r>
            <w:r w:rsidR="00927183">
              <w:rPr>
                <w:bCs/>
                <w:lang w:val="bg-BG"/>
              </w:rPr>
              <w:t>я</w:t>
            </w:r>
            <w:r>
              <w:rPr>
                <w:bCs/>
                <w:lang w:val="bg-BG"/>
              </w:rPr>
              <w:t>т</w:t>
            </w:r>
            <w:r w:rsidR="00927183">
              <w:rPr>
                <w:bCs/>
                <w:lang w:val="bg-BG"/>
              </w:rPr>
              <w:t xml:space="preserve"> </w:t>
            </w:r>
            <w:r w:rsidR="00E33F7E" w:rsidRPr="006C3504">
              <w:rPr>
                <w:bCs/>
                <w:lang w:val="bg-BG"/>
              </w:rPr>
              <w:t xml:space="preserve">постоянни приходи, за да </w:t>
            </w:r>
            <w:r w:rsidR="00927183">
              <w:rPr>
                <w:bCs/>
                <w:lang w:val="bg-BG"/>
              </w:rPr>
              <w:t>бъдат посрещнати</w:t>
            </w:r>
            <w:r w:rsidR="00414510">
              <w:rPr>
                <w:bCs/>
                <w:lang w:val="bg-BG"/>
              </w:rPr>
              <w:t xml:space="preserve"> постоянно увеличаващите се разходи</w:t>
            </w:r>
            <w:r w:rsidR="00E33F7E" w:rsidRPr="006C3504">
              <w:rPr>
                <w:bCs/>
                <w:lang w:val="bg-BG"/>
              </w:rPr>
              <w:t xml:space="preserve"> за отбрана.</w:t>
            </w:r>
          </w:p>
        </w:tc>
        <w:tc>
          <w:tcPr>
            <w:tcW w:w="1716" w:type="pct"/>
            <w:tcBorders>
              <w:top w:val="single" w:sz="4" w:space="0" w:color="5B9BD5" w:themeColor="accent1"/>
            </w:tcBorders>
          </w:tcPr>
          <w:p w14:paraId="0DA43832" w14:textId="77777777" w:rsidR="00081D7A" w:rsidRPr="006C3504" w:rsidRDefault="00DD2E41" w:rsidP="00970270">
            <w:pPr>
              <w:pStyle w:val="TableCell"/>
              <w:jc w:val="both"/>
              <w:rPr>
                <w:b/>
                <w:bCs/>
                <w:lang w:val="bg-BG"/>
              </w:rPr>
            </w:pPr>
            <w:r w:rsidRPr="00DD2E41">
              <w:rPr>
                <w:b/>
                <w:bCs/>
                <w:lang w:val="bg-BG"/>
              </w:rPr>
              <w:t>Република България изразява съгласие с препоръката.</w:t>
            </w:r>
          </w:p>
        </w:tc>
      </w:tr>
      <w:tr w:rsidR="008C2A4A" w:rsidRPr="00005C86" w14:paraId="0E66AF37" w14:textId="77777777" w:rsidTr="003025A7">
        <w:tc>
          <w:tcPr>
            <w:tcW w:w="1567" w:type="pct"/>
          </w:tcPr>
          <w:p w14:paraId="2F22868F" w14:textId="77777777" w:rsidR="008C2A4A" w:rsidRPr="006C3504" w:rsidRDefault="00C759E7" w:rsidP="00927183">
            <w:pPr>
              <w:pStyle w:val="TableRow"/>
              <w:rPr>
                <w:lang w:val="bg-BG"/>
              </w:rPr>
            </w:pPr>
            <w:r w:rsidRPr="006C3504">
              <w:rPr>
                <w:lang w:val="bg-BG"/>
              </w:rPr>
              <w:t>Разходите за образование, здравеопазване, активиране на пазара на труда и инфраструктурни инвестиции са ниски и не отговарят на нуждите.</w:t>
            </w:r>
          </w:p>
        </w:tc>
        <w:tc>
          <w:tcPr>
            <w:tcW w:w="1717" w:type="pct"/>
          </w:tcPr>
          <w:p w14:paraId="5A90DC9C" w14:textId="77777777" w:rsidR="008C2A4A" w:rsidRPr="006C3504" w:rsidRDefault="00D23814" w:rsidP="00D23814">
            <w:pPr>
              <w:pStyle w:val="TableCell"/>
              <w:jc w:val="both"/>
              <w:rPr>
                <w:lang w:val="bg-BG"/>
              </w:rPr>
            </w:pPr>
            <w:r>
              <w:rPr>
                <w:lang w:val="bg-BG"/>
              </w:rPr>
              <w:t>Да се у</w:t>
            </w:r>
            <w:r w:rsidR="0022006D">
              <w:rPr>
                <w:lang w:val="bg-BG"/>
              </w:rPr>
              <w:t>велича</w:t>
            </w:r>
            <w:r>
              <w:rPr>
                <w:lang w:val="bg-BG"/>
              </w:rPr>
              <w:t>т</w:t>
            </w:r>
            <w:r w:rsidR="00C759E7" w:rsidRPr="006C3504">
              <w:rPr>
                <w:lang w:val="bg-BG"/>
              </w:rPr>
              <w:t xml:space="preserve"> </w:t>
            </w:r>
            <w:r w:rsidR="00927183" w:rsidRPr="006C3504">
              <w:rPr>
                <w:lang w:val="bg-BG"/>
              </w:rPr>
              <w:t>стимулира</w:t>
            </w:r>
            <w:r w:rsidR="00927183">
              <w:rPr>
                <w:lang w:val="bg-BG"/>
              </w:rPr>
              <w:t>щите</w:t>
            </w:r>
            <w:r w:rsidR="00927183" w:rsidRPr="006C3504">
              <w:rPr>
                <w:lang w:val="bg-BG"/>
              </w:rPr>
              <w:t xml:space="preserve"> раст</w:t>
            </w:r>
            <w:r w:rsidR="00927183">
              <w:rPr>
                <w:lang w:val="bg-BG"/>
              </w:rPr>
              <w:t>ежа</w:t>
            </w:r>
            <w:r w:rsidR="00927183" w:rsidRPr="006C3504">
              <w:rPr>
                <w:lang w:val="bg-BG"/>
              </w:rPr>
              <w:t xml:space="preserve"> </w:t>
            </w:r>
            <w:r w:rsidR="00414510">
              <w:rPr>
                <w:lang w:val="bg-BG"/>
              </w:rPr>
              <w:t>разходи</w:t>
            </w:r>
            <w:r w:rsidR="00C759E7" w:rsidRPr="006C3504">
              <w:rPr>
                <w:lang w:val="bg-BG"/>
              </w:rPr>
              <w:t xml:space="preserve">, </w:t>
            </w:r>
            <w:r w:rsidR="0022006D">
              <w:rPr>
                <w:lang w:val="bg-BG"/>
              </w:rPr>
              <w:t>като същевременно се подобр</w:t>
            </w:r>
            <w:r>
              <w:rPr>
                <w:lang w:val="bg-BG"/>
              </w:rPr>
              <w:t>ят</w:t>
            </w:r>
            <w:r w:rsidR="00C759E7" w:rsidRPr="006C3504">
              <w:rPr>
                <w:lang w:val="bg-BG"/>
              </w:rPr>
              <w:t xml:space="preserve"> ефективността и резултатите.</w:t>
            </w:r>
          </w:p>
        </w:tc>
        <w:tc>
          <w:tcPr>
            <w:tcW w:w="1716" w:type="pct"/>
          </w:tcPr>
          <w:p w14:paraId="026C4383" w14:textId="77777777" w:rsidR="00B1510E" w:rsidRPr="004C1009" w:rsidRDefault="00BD0A28" w:rsidP="00B1510E">
            <w:pPr>
              <w:pStyle w:val="TableCell"/>
              <w:jc w:val="both"/>
              <w:rPr>
                <w:b/>
                <w:lang w:val="bg-BG"/>
              </w:rPr>
            </w:pPr>
            <w:r w:rsidRPr="00BD0A28">
              <w:rPr>
                <w:b/>
                <w:lang w:val="bg-BG"/>
              </w:rPr>
              <w:t>Република България изразява съгласие с препоръката.</w:t>
            </w:r>
          </w:p>
        </w:tc>
      </w:tr>
      <w:tr w:rsidR="008C2A4A" w:rsidRPr="00005C86" w14:paraId="01C3F7A6" w14:textId="77777777" w:rsidTr="003025A7">
        <w:tc>
          <w:tcPr>
            <w:tcW w:w="1567" w:type="pct"/>
            <w:tcBorders>
              <w:bottom w:val="single" w:sz="4" w:space="0" w:color="5B9BD5" w:themeColor="accent1"/>
            </w:tcBorders>
          </w:tcPr>
          <w:p w14:paraId="145C946C" w14:textId="77777777" w:rsidR="008C2A4A" w:rsidRPr="006C3504" w:rsidRDefault="00C759E7" w:rsidP="00970270">
            <w:pPr>
              <w:pStyle w:val="TableRow"/>
              <w:rPr>
                <w:lang w:val="bg-BG"/>
              </w:rPr>
            </w:pPr>
            <w:r w:rsidRPr="006C3504">
              <w:rPr>
                <w:lang w:val="bg-BG"/>
              </w:rPr>
              <w:t>България има големи инвестиционни нужди, но няма дългосрочна инвестиционна стратегия. Ефективността на инвестициите на местно ниво е по-ниска.</w:t>
            </w:r>
          </w:p>
        </w:tc>
        <w:tc>
          <w:tcPr>
            <w:tcW w:w="1717" w:type="pct"/>
            <w:tcBorders>
              <w:bottom w:val="single" w:sz="4" w:space="0" w:color="5B9BD5" w:themeColor="accent1"/>
            </w:tcBorders>
          </w:tcPr>
          <w:p w14:paraId="3EB6A9A2" w14:textId="77777777" w:rsidR="008C2A4A" w:rsidRPr="006C3504" w:rsidRDefault="00DE2578" w:rsidP="00DE2578">
            <w:pPr>
              <w:pStyle w:val="TableCell"/>
              <w:jc w:val="both"/>
              <w:rPr>
                <w:lang w:val="bg-BG"/>
              </w:rPr>
            </w:pPr>
            <w:r>
              <w:rPr>
                <w:lang w:val="bg-BG"/>
              </w:rPr>
              <w:t>Да се в</w:t>
            </w:r>
            <w:r w:rsidR="0022006D">
              <w:rPr>
                <w:lang w:val="bg-BG"/>
              </w:rPr>
              <w:t>ъвед</w:t>
            </w:r>
            <w:r>
              <w:rPr>
                <w:lang w:val="bg-BG"/>
              </w:rPr>
              <w:t>е</w:t>
            </w:r>
            <w:r w:rsidR="00C759E7" w:rsidRPr="006C3504">
              <w:rPr>
                <w:lang w:val="bg-BG"/>
              </w:rPr>
              <w:t xml:space="preserve"> дългосрочно планиране на капиталовите разходи, което да надхвърля средносрочния план, за да се посрещнат инвестиционните нужди, включително със силен акцент върху анализа разходи</w:t>
            </w:r>
            <w:r w:rsidR="00927183">
              <w:rPr>
                <w:lang w:val="bg-BG"/>
              </w:rPr>
              <w:t>-</w:t>
            </w:r>
            <w:r w:rsidR="00C759E7" w:rsidRPr="006C3504">
              <w:rPr>
                <w:lang w:val="bg-BG"/>
              </w:rPr>
              <w:t>ползи.</w:t>
            </w:r>
          </w:p>
        </w:tc>
        <w:tc>
          <w:tcPr>
            <w:tcW w:w="1716" w:type="pct"/>
            <w:tcBorders>
              <w:bottom w:val="single" w:sz="4" w:space="0" w:color="5B9BD5" w:themeColor="accent1"/>
            </w:tcBorders>
          </w:tcPr>
          <w:p w14:paraId="009680C0" w14:textId="77777777" w:rsidR="00E30D8C" w:rsidRDefault="00E30D8C" w:rsidP="00E30D8C">
            <w:pPr>
              <w:pStyle w:val="TableCell"/>
              <w:jc w:val="both"/>
              <w:rPr>
                <w:b/>
                <w:lang w:val="bg-BG"/>
              </w:rPr>
            </w:pPr>
            <w:r w:rsidRPr="00B8298A">
              <w:rPr>
                <w:b/>
                <w:lang w:val="bg-BG"/>
              </w:rPr>
              <w:t xml:space="preserve">Република България изразява </w:t>
            </w:r>
            <w:r>
              <w:rPr>
                <w:b/>
                <w:lang w:val="bg-BG"/>
              </w:rPr>
              <w:t xml:space="preserve">частично </w:t>
            </w:r>
            <w:r w:rsidRPr="00B8298A">
              <w:rPr>
                <w:b/>
                <w:lang w:val="bg-BG"/>
              </w:rPr>
              <w:t>съгласие с препоръката</w:t>
            </w:r>
            <w:r>
              <w:rPr>
                <w:b/>
                <w:lang w:val="bg-BG"/>
              </w:rPr>
              <w:t>, при отразяване на следната промяна:</w:t>
            </w:r>
          </w:p>
          <w:p w14:paraId="28D5F183" w14:textId="77777777" w:rsidR="00E30D8C" w:rsidRDefault="00E24E2A" w:rsidP="00E30D8C">
            <w:pPr>
              <w:pStyle w:val="TableCell"/>
              <w:jc w:val="both"/>
              <w:rPr>
                <w:lang w:val="bg-BG"/>
              </w:rPr>
            </w:pPr>
            <w:r w:rsidRPr="009E25EC">
              <w:rPr>
                <w:b/>
                <w:i/>
                <w:u w:val="single"/>
                <w:lang w:val="bg-BG"/>
              </w:rPr>
              <w:t>Предложение за редакция:</w:t>
            </w:r>
            <w:r w:rsidRPr="00E24E2A">
              <w:rPr>
                <w:lang w:val="bg-BG"/>
              </w:rPr>
              <w:t xml:space="preserve"> </w:t>
            </w:r>
            <w:r w:rsidR="00E30D8C" w:rsidRPr="009E25EC">
              <w:rPr>
                <w:b/>
                <w:lang w:val="bg-BG"/>
              </w:rPr>
              <w:t>Да продължи развитието на Националната програма за капиталови инвестиции, за да се установят по-стабилни и систематични методи за подбор на проекти, финансирани от национално ниво, които са в съответствие със стратегическите цели на България, както и обща методология за оценка на достъпността и съотношението цена-качество.</w:t>
            </w:r>
            <w:r w:rsidR="00E30D8C">
              <w:rPr>
                <w:lang w:val="bg-BG"/>
              </w:rPr>
              <w:t xml:space="preserve"> </w:t>
            </w:r>
            <w:r w:rsidR="00E30D8C" w:rsidRPr="00E21B97">
              <w:rPr>
                <w:lang w:val="bg-BG"/>
              </w:rPr>
              <w:t xml:space="preserve">Да се </w:t>
            </w:r>
            <w:r w:rsidR="00E30D8C" w:rsidRPr="009E25EC">
              <w:rPr>
                <w:b/>
                <w:lang w:val="bg-BG"/>
              </w:rPr>
              <w:t>обмисли въвеждане</w:t>
            </w:r>
            <w:r w:rsidR="00E30D8C">
              <w:rPr>
                <w:lang w:val="bg-BG"/>
              </w:rPr>
              <w:t xml:space="preserve"> </w:t>
            </w:r>
            <w:r w:rsidR="00753462">
              <w:rPr>
                <w:lang w:val="bg-BG"/>
              </w:rPr>
              <w:t xml:space="preserve"> </w:t>
            </w:r>
            <w:r w:rsidR="00753462" w:rsidRPr="009E25EC">
              <w:rPr>
                <w:strike/>
                <w:lang w:val="bg-BG"/>
              </w:rPr>
              <w:t>въведе</w:t>
            </w:r>
            <w:r w:rsidR="00753462" w:rsidRPr="006C3504">
              <w:rPr>
                <w:lang w:val="bg-BG"/>
              </w:rPr>
              <w:t xml:space="preserve"> </w:t>
            </w:r>
            <w:r w:rsidR="00E30D8C" w:rsidRPr="009E25EC">
              <w:rPr>
                <w:b/>
                <w:lang w:val="bg-BG"/>
              </w:rPr>
              <w:t>на</w:t>
            </w:r>
            <w:r w:rsidR="00E30D8C" w:rsidRPr="00E21B97">
              <w:rPr>
                <w:lang w:val="bg-BG"/>
              </w:rPr>
              <w:t xml:space="preserve"> дългосрочно планиране на капиталовите разходи, което да надхвърля средносрочния план, за да се посрещнат инвестиционните нужди, включително със силен акцент върху анализа разходи-ползи</w:t>
            </w:r>
            <w:r w:rsidR="00E30D8C">
              <w:rPr>
                <w:lang w:val="bg-BG"/>
              </w:rPr>
              <w:t>.</w:t>
            </w:r>
          </w:p>
          <w:p w14:paraId="329EE511" w14:textId="77777777" w:rsidR="00E30D8C" w:rsidRPr="009E25EC" w:rsidRDefault="00B97F1F" w:rsidP="00E30D8C">
            <w:pPr>
              <w:pStyle w:val="TableCell"/>
              <w:jc w:val="both"/>
              <w:rPr>
                <w:b/>
                <w:bCs/>
                <w:i/>
                <w:u w:val="single"/>
                <w:lang w:val="bg-BG"/>
              </w:rPr>
            </w:pPr>
            <w:r>
              <w:rPr>
                <w:b/>
                <w:i/>
                <w:u w:val="single"/>
                <w:lang w:val="bg-BG"/>
              </w:rPr>
              <w:t>Мотиви</w:t>
            </w:r>
            <w:r w:rsidR="00E30D8C" w:rsidRPr="009E25EC">
              <w:rPr>
                <w:b/>
                <w:bCs/>
                <w:i/>
                <w:u w:val="single"/>
                <w:lang w:val="bg-BG"/>
              </w:rPr>
              <w:t>:</w:t>
            </w:r>
          </w:p>
          <w:p w14:paraId="14C67E2E" w14:textId="77777777" w:rsidR="00E30D8C" w:rsidRDefault="00E30D8C" w:rsidP="00E30D8C">
            <w:pPr>
              <w:pStyle w:val="TableCell"/>
              <w:jc w:val="both"/>
              <w:rPr>
                <w:lang w:val="bg-BG"/>
              </w:rPr>
            </w:pPr>
            <w:r>
              <w:rPr>
                <w:lang w:val="bg-BG"/>
              </w:rPr>
              <w:t xml:space="preserve">Предложеното допълнение отразява както дадената приоритетна препоръка от ОИСР в рамките на </w:t>
            </w:r>
            <w:r w:rsidRPr="00E30D8C">
              <w:rPr>
                <w:lang w:val="bg-BG"/>
              </w:rPr>
              <w:t xml:space="preserve"> </w:t>
            </w:r>
            <w:r>
              <w:rPr>
                <w:lang w:val="bg-BG"/>
              </w:rPr>
              <w:t>К</w:t>
            </w:r>
            <w:r w:rsidRPr="00CB5540">
              <w:rPr>
                <w:lang w:val="bg-BG"/>
              </w:rPr>
              <w:t xml:space="preserve">омитета за публично управление на </w:t>
            </w:r>
            <w:r>
              <w:rPr>
                <w:lang w:val="bg-BG"/>
              </w:rPr>
              <w:t xml:space="preserve">ОИСР, така и напредъка на България през последната година по отношение извършването на реформа в областта на управлението на публичните инвестиции, заложена и в </w:t>
            </w:r>
            <w:r w:rsidR="00D02D1F">
              <w:rPr>
                <w:lang w:val="bg-BG"/>
              </w:rPr>
              <w:t>НСФСП</w:t>
            </w:r>
            <w:r w:rsidRPr="000C3A1A">
              <w:rPr>
                <w:lang w:val="bg-BG"/>
              </w:rPr>
              <w:t xml:space="preserve"> на Република България за периода 2025-2028</w:t>
            </w:r>
            <w:r w:rsidR="00D02D1F">
              <w:rPr>
                <w:lang w:val="bg-BG"/>
              </w:rPr>
              <w:t> </w:t>
            </w:r>
            <w:r w:rsidRPr="000C3A1A">
              <w:rPr>
                <w:lang w:val="bg-BG"/>
              </w:rPr>
              <w:t>г.</w:t>
            </w:r>
          </w:p>
          <w:p w14:paraId="1DE36100" w14:textId="77777777" w:rsidR="00E30D8C" w:rsidRPr="00621A24" w:rsidRDefault="00E30D8C" w:rsidP="00E30D8C">
            <w:pPr>
              <w:pStyle w:val="TableCell"/>
              <w:jc w:val="both"/>
              <w:rPr>
                <w:lang w:val="bg-BG"/>
              </w:rPr>
            </w:pPr>
            <w:r>
              <w:rPr>
                <w:lang w:val="bg-BG"/>
              </w:rPr>
              <w:t>По отношение на дългосрочното планиране е в</w:t>
            </w:r>
            <w:r w:rsidRPr="00621A24">
              <w:rPr>
                <w:lang w:val="bg-BG"/>
              </w:rPr>
              <w:t>ажно да се отбележи, че на национално ниво са приети следните документи, които ясно показват ангажимент към реализирането на проекти за публични инвестиции в средносрочен</w:t>
            </w:r>
            <w:r>
              <w:rPr>
                <w:lang w:val="bg-BG"/>
              </w:rPr>
              <w:t xml:space="preserve"> и дългосрочен</w:t>
            </w:r>
            <w:r w:rsidRPr="00621A24">
              <w:rPr>
                <w:lang w:val="bg-BG"/>
              </w:rPr>
              <w:t xml:space="preserve"> план, като тяхната времева съгласуваност е съобразена с разпоредбите на Закона за публичните финанси и Регламент (ЕС) 2024/1263:</w:t>
            </w:r>
          </w:p>
          <w:p w14:paraId="370CF443" w14:textId="77777777" w:rsidR="00E30D8C" w:rsidRPr="00621A24" w:rsidRDefault="00E30D8C" w:rsidP="00E30D8C">
            <w:pPr>
              <w:pStyle w:val="TableCell"/>
              <w:jc w:val="both"/>
              <w:rPr>
                <w:lang w:val="bg-BG"/>
              </w:rPr>
            </w:pPr>
            <w:r w:rsidRPr="00621A24">
              <w:rPr>
                <w:lang w:val="bg-BG"/>
              </w:rPr>
              <w:t>-</w:t>
            </w:r>
            <w:r w:rsidRPr="00621A24">
              <w:rPr>
                <w:lang w:val="bg-BG"/>
              </w:rPr>
              <w:tab/>
              <w:t xml:space="preserve">Многогодишна инвестиционна програма 2025-2028 г. (Програма за приоритетни стратегически инвестиционни проекти с национално финансиране за периода 2025-2028 г. - Приложение № 2, раздел I, към чл. 110, ал. 1 от Закон за държавния бюджет на Република България (ЗДБРБ) за 2025 г.) – програмата съдържа 176 бр. стратегически инвестиционни проекти с предвиден общ размер на </w:t>
            </w:r>
            <w:r w:rsidRPr="00621A24">
              <w:rPr>
                <w:lang w:val="bg-BG"/>
              </w:rPr>
              <w:lastRenderedPageBreak/>
              <w:t>разходите през 2026 г. от 2,9 млрд. лв.  (приблизително 1,5 млрд. евро). Проектите бяха приоритизирани от първостепенните разпоредители с бюджет в рамките на бюджетната процедура за 2025 г. в съответствие с разработените от Министерството на финансите единни критерии за оценка и приоритизация и ще бъдат изпълнявани в периода 2025-2028 г.;</w:t>
            </w:r>
          </w:p>
          <w:p w14:paraId="07037377" w14:textId="77777777" w:rsidR="00E30D8C" w:rsidRPr="00621A24" w:rsidRDefault="00E30D8C" w:rsidP="00E30D8C">
            <w:pPr>
              <w:pStyle w:val="TableCell"/>
              <w:jc w:val="both"/>
              <w:rPr>
                <w:lang w:val="bg-BG"/>
              </w:rPr>
            </w:pPr>
            <w:r w:rsidRPr="00621A24">
              <w:rPr>
                <w:lang w:val="bg-BG"/>
              </w:rPr>
              <w:t>-</w:t>
            </w:r>
            <w:r w:rsidRPr="00621A24">
              <w:rPr>
                <w:lang w:val="bg-BG"/>
              </w:rPr>
              <w:tab/>
              <w:t>Национална програма за развитие БЪЛГАРИЯ 2030, придружена от тригодишни планове за действие - в тригодишните планове за действие към програмата се изброяват мерките и проектите, които имат за цел да реализират приоритетите на Националната програма за развитие БЪЛГАРИЯ 2030 с хоризонт до 2030 г.  Това е всеобхватният стратегически документ в България, който засяга всички области за икономическо и социално развитие в страната, включително чрез инвестиции в публична инфраструктура, за 10-годишен период;</w:t>
            </w:r>
          </w:p>
          <w:p w14:paraId="2A71522E" w14:textId="77777777" w:rsidR="00E30D8C" w:rsidRDefault="00E30D8C" w:rsidP="00E30D8C">
            <w:pPr>
              <w:pStyle w:val="TableCell"/>
              <w:jc w:val="both"/>
              <w:rPr>
                <w:lang w:val="bg-BG"/>
              </w:rPr>
            </w:pPr>
            <w:r w:rsidRPr="00621A24">
              <w:rPr>
                <w:lang w:val="bg-BG"/>
              </w:rPr>
              <w:t>-</w:t>
            </w:r>
            <w:r w:rsidRPr="00621A24">
              <w:rPr>
                <w:lang w:val="bg-BG"/>
              </w:rPr>
              <w:tab/>
              <w:t>Национален средносрочен фискално-структурен план на Република България за периода 2025-2028 г. (одобрен с Решение № 111 на Министерския съвет от 26 февруари 2025 г.) – планът е разработен съгласно изискванията на Регламент (ЕС) 2024/1263 за период от четири години в съответствие с нормалната продължителност на законодателния цикъл на Република България и съдържа ключови за страната публични реформи и инвестиции. Средства по инвестиции от Националния средносрочен фискално-структурен план 2025-2028 са предвидени и в рамките на Многогодишната инвестиционна програма 2025-2028 г.;</w:t>
            </w:r>
          </w:p>
          <w:p w14:paraId="586A8028" w14:textId="77777777" w:rsidR="00E30D8C" w:rsidRDefault="00E30D8C" w:rsidP="00E30D8C">
            <w:pPr>
              <w:pStyle w:val="TableCell"/>
              <w:jc w:val="both"/>
              <w:rPr>
                <w:lang w:val="bg-BG"/>
              </w:rPr>
            </w:pPr>
            <w:r>
              <w:rPr>
                <w:lang w:val="bg-BG"/>
              </w:rPr>
              <w:t xml:space="preserve">- </w:t>
            </w:r>
            <w:r w:rsidRPr="00BA4AE4">
              <w:rPr>
                <w:lang w:val="bg-BG"/>
              </w:rPr>
              <w:t>Националната стратегия за развитие на концесиите за периода 2018 – 2027 г. е дългосрочен стратегически документ на национално ниво с 10-годишен хоризонт, който осигурява дългосрочно планиране и перспектива за концесиите. Стратегията има за цел да утвърди политическата воля за използване на ко</w:t>
            </w:r>
            <w:r>
              <w:rPr>
                <w:lang w:val="bg-BG"/>
              </w:rPr>
              <w:t>нцесиите за публични инвестиции;</w:t>
            </w:r>
          </w:p>
          <w:p w14:paraId="08C36962" w14:textId="77777777" w:rsidR="00E30D8C" w:rsidRPr="00BA4AE4" w:rsidRDefault="00E30D8C" w:rsidP="00E30D8C">
            <w:pPr>
              <w:pStyle w:val="TableCell"/>
              <w:jc w:val="both"/>
              <w:rPr>
                <w:lang w:val="bg-BG"/>
              </w:rPr>
            </w:pPr>
            <w:r>
              <w:rPr>
                <w:lang w:val="bg-BG"/>
              </w:rPr>
              <w:t xml:space="preserve">- </w:t>
            </w:r>
            <w:r w:rsidRPr="00BA4AE4">
              <w:rPr>
                <w:lang w:val="bg-BG"/>
              </w:rPr>
              <w:t>Споразумението за партньорство с Европейската комисия 2021 – 2027 г. обхваща подкрепа от Европейския фонд за регионално развитие, Кохезионния фонд, Европейския социален фонд плюс, Фонда за справедлив преход и Европейския фонд за морско дело, рибарство и аквакултури в България за периода от 1 януари 2021 г. до</w:t>
            </w:r>
            <w:r w:rsidR="003E6575">
              <w:rPr>
                <w:lang w:val="bg-BG"/>
              </w:rPr>
              <w:t xml:space="preserve"> </w:t>
            </w:r>
            <w:r w:rsidRPr="00BA4AE4">
              <w:rPr>
                <w:lang w:val="bg-BG"/>
              </w:rPr>
              <w:t>31 декември 2027 г., вкл</w:t>
            </w:r>
            <w:r>
              <w:rPr>
                <w:lang w:val="bg-BG"/>
              </w:rPr>
              <w:t>.</w:t>
            </w:r>
            <w:r w:rsidRPr="00BA4AE4">
              <w:rPr>
                <w:lang w:val="bg-BG"/>
              </w:rPr>
              <w:t xml:space="preserve"> подкрепа за финансиране на инфраструктурни проекти.</w:t>
            </w:r>
          </w:p>
          <w:p w14:paraId="4BAE88D4" w14:textId="77777777" w:rsidR="00D333DD" w:rsidRPr="00D333DD" w:rsidRDefault="00E30D8C" w:rsidP="00E30D8C">
            <w:pPr>
              <w:pStyle w:val="TableCell"/>
              <w:jc w:val="both"/>
              <w:rPr>
                <w:lang w:val="bg-BG"/>
              </w:rPr>
            </w:pPr>
            <w:r w:rsidRPr="00BA4AE4">
              <w:rPr>
                <w:lang w:val="bg-BG"/>
              </w:rPr>
              <w:t xml:space="preserve">С оглед на гореизложеното и предвид направените констатации </w:t>
            </w:r>
            <w:r w:rsidRPr="00E30D8C">
              <w:rPr>
                <w:lang w:val="bg-BG"/>
              </w:rPr>
              <w:t xml:space="preserve"> </w:t>
            </w:r>
            <w:r>
              <w:rPr>
                <w:lang w:val="bg-BG"/>
              </w:rPr>
              <w:t xml:space="preserve">във </w:t>
            </w:r>
            <w:r w:rsidRPr="00BA4AE4">
              <w:rPr>
                <w:lang w:val="bg-BG"/>
              </w:rPr>
              <w:t>Втори</w:t>
            </w:r>
            <w:r>
              <w:rPr>
                <w:lang w:val="bg-BG"/>
              </w:rPr>
              <w:t>я</w:t>
            </w:r>
            <w:r w:rsidRPr="00BA4AE4">
              <w:rPr>
                <w:lang w:val="bg-BG"/>
              </w:rPr>
              <w:t xml:space="preserve"> вариант на проект на Икономическия преглед за България (ECO/EDR/ACS(2025)5), </w:t>
            </w:r>
            <w:r>
              <w:rPr>
                <w:lang w:val="bg-BG"/>
              </w:rPr>
              <w:t xml:space="preserve">България </w:t>
            </w:r>
            <w:r w:rsidRPr="00BA4AE4">
              <w:rPr>
                <w:lang w:val="bg-BG"/>
              </w:rPr>
              <w:t>счита, че следва да се извърши допълнителна оценка относно необходимостта от изготвянето на още един стратегически документ в областта на публичните инвестиции от гледна точка на неговата добавена стойност в контекста н</w:t>
            </w:r>
            <w:r>
              <w:rPr>
                <w:lang w:val="bg-BG"/>
              </w:rPr>
              <w:t>а</w:t>
            </w:r>
            <w:r w:rsidRPr="00BA4AE4">
              <w:rPr>
                <w:lang w:val="bg-BG"/>
              </w:rPr>
              <w:t xml:space="preserve"> вече приетите стратегически </w:t>
            </w:r>
            <w:r w:rsidRPr="00BA4AE4">
              <w:rPr>
                <w:lang w:val="bg-BG"/>
              </w:rPr>
              <w:lastRenderedPageBreak/>
              <w:t xml:space="preserve">документи на национално ниво, вкл. Многогодишната инвестиционна програма 2025-2028 г. като част от ЗДБРБ за 2025 г. Тази </w:t>
            </w:r>
            <w:r>
              <w:rPr>
                <w:lang w:val="bg-BG"/>
              </w:rPr>
              <w:t xml:space="preserve">допълнителна </w:t>
            </w:r>
            <w:r w:rsidRPr="00BA4AE4">
              <w:rPr>
                <w:lang w:val="bg-BG"/>
              </w:rPr>
              <w:t>оценка ще бъде направена в рамките на текущо изпълнявания проект 25BG11 по Инструмента за техническа подкрепа на Европейската комисия „Подобряване на ефективността и качеството на публичните инвестиции в България“, който стартира официално на 1 септември 2025 г. и ще бъде изпълняван в продължение на 18 месеца в сътрудничество с ОИСР.</w:t>
            </w:r>
          </w:p>
        </w:tc>
      </w:tr>
      <w:tr w:rsidR="00C759E7" w:rsidRPr="00005C86" w14:paraId="0C607288" w14:textId="77777777" w:rsidTr="003025A7">
        <w:tc>
          <w:tcPr>
            <w:tcW w:w="1567" w:type="pct"/>
            <w:tcBorders>
              <w:bottom w:val="single" w:sz="4" w:space="0" w:color="5B9BD5" w:themeColor="accent1"/>
            </w:tcBorders>
          </w:tcPr>
          <w:p w14:paraId="56004B7C" w14:textId="77777777" w:rsidR="00C759E7" w:rsidRPr="006C3504" w:rsidRDefault="00464B84" w:rsidP="00970270">
            <w:pPr>
              <w:pStyle w:val="TableRow"/>
              <w:rPr>
                <w:lang w:val="bg-BG"/>
              </w:rPr>
            </w:pPr>
            <w:r w:rsidRPr="006C3504">
              <w:rPr>
                <w:lang w:val="bg-BG"/>
              </w:rPr>
              <w:lastRenderedPageBreak/>
              <w:t>Фискалният съвет има ограничено въздействие върху фискалната прозрачност.</w:t>
            </w:r>
          </w:p>
        </w:tc>
        <w:tc>
          <w:tcPr>
            <w:tcW w:w="1717" w:type="pct"/>
            <w:tcBorders>
              <w:bottom w:val="single" w:sz="4" w:space="0" w:color="5B9BD5" w:themeColor="accent1"/>
            </w:tcBorders>
          </w:tcPr>
          <w:p w14:paraId="645CA605" w14:textId="77777777" w:rsidR="00C759E7" w:rsidRPr="006C3504" w:rsidRDefault="00DE2578" w:rsidP="00DE2578">
            <w:pPr>
              <w:pStyle w:val="TableCell"/>
              <w:jc w:val="both"/>
              <w:rPr>
                <w:lang w:val="bg-BG"/>
              </w:rPr>
            </w:pPr>
            <w:r>
              <w:rPr>
                <w:lang w:val="bg-BG"/>
              </w:rPr>
              <w:t>Да се о</w:t>
            </w:r>
            <w:r w:rsidR="0022006D">
              <w:rPr>
                <w:lang w:val="bg-BG"/>
              </w:rPr>
              <w:t>сигур</w:t>
            </w:r>
            <w:r>
              <w:rPr>
                <w:lang w:val="bg-BG"/>
              </w:rPr>
              <w:t>и</w:t>
            </w:r>
            <w:r w:rsidR="0022006D">
              <w:rPr>
                <w:lang w:val="bg-BG"/>
              </w:rPr>
              <w:t xml:space="preserve"> ефективното функциониране на Ф</w:t>
            </w:r>
            <w:r w:rsidR="00464B84" w:rsidRPr="006C3504">
              <w:rPr>
                <w:lang w:val="bg-BG"/>
              </w:rPr>
              <w:t>искалния съвет въз основа на най-добрите практики.</w:t>
            </w:r>
          </w:p>
        </w:tc>
        <w:tc>
          <w:tcPr>
            <w:tcW w:w="1716" w:type="pct"/>
            <w:tcBorders>
              <w:bottom w:val="single" w:sz="4" w:space="0" w:color="5B9BD5" w:themeColor="accent1"/>
            </w:tcBorders>
          </w:tcPr>
          <w:p w14:paraId="5159F3B8" w14:textId="77777777" w:rsidR="00A81C03" w:rsidRDefault="00BD0A28" w:rsidP="00D95315">
            <w:pPr>
              <w:pStyle w:val="TableCell"/>
              <w:jc w:val="both"/>
              <w:rPr>
                <w:b/>
                <w:lang w:val="bg-BG"/>
              </w:rPr>
            </w:pPr>
            <w:r w:rsidRPr="00BD0A28">
              <w:rPr>
                <w:b/>
                <w:lang w:val="bg-BG"/>
              </w:rPr>
              <w:t xml:space="preserve">Република България изразява съгласие с препоръката, но само след нейната редакция: </w:t>
            </w:r>
          </w:p>
          <w:p w14:paraId="02E7B4E3" w14:textId="77777777" w:rsidR="001773EA" w:rsidRDefault="00A81C03" w:rsidP="00D95315">
            <w:pPr>
              <w:pStyle w:val="TableCell"/>
              <w:jc w:val="both"/>
              <w:rPr>
                <w:lang w:val="bg-BG"/>
              </w:rPr>
            </w:pPr>
            <w:r w:rsidRPr="00846FCB">
              <w:rPr>
                <w:b/>
                <w:i/>
                <w:u w:val="single"/>
                <w:lang w:val="bg-BG"/>
              </w:rPr>
              <w:t>Предложение за редакция:</w:t>
            </w:r>
            <w:r w:rsidRPr="00E24E2A">
              <w:rPr>
                <w:b/>
                <w:lang w:val="bg-BG"/>
              </w:rPr>
              <w:t xml:space="preserve"> </w:t>
            </w:r>
            <w:r w:rsidR="003323FD" w:rsidRPr="003323FD">
              <w:rPr>
                <w:lang w:val="bg-BG"/>
              </w:rPr>
              <w:t>Да се</w:t>
            </w:r>
            <w:r w:rsidR="003323FD" w:rsidRPr="003323FD">
              <w:rPr>
                <w:strike/>
                <w:lang w:val="bg-BG"/>
              </w:rPr>
              <w:t xml:space="preserve"> осигури </w:t>
            </w:r>
            <w:r w:rsidR="003323FD">
              <w:rPr>
                <w:lang w:val="bg-BG"/>
              </w:rPr>
              <w:t xml:space="preserve"> </w:t>
            </w:r>
            <w:r w:rsidR="003323FD" w:rsidRPr="00D02E38">
              <w:rPr>
                <w:b/>
                <w:lang w:val="bg-BG"/>
              </w:rPr>
              <w:t>подобри</w:t>
            </w:r>
            <w:r w:rsidR="003323FD">
              <w:rPr>
                <w:lang w:val="bg-BG"/>
              </w:rPr>
              <w:t xml:space="preserve"> </w:t>
            </w:r>
            <w:r w:rsidR="003323FD" w:rsidRPr="003323FD">
              <w:rPr>
                <w:lang w:val="bg-BG"/>
              </w:rPr>
              <w:t>ефективното функциониране на Фискалния съвет въз основа на най-добрите практики.</w:t>
            </w:r>
          </w:p>
          <w:p w14:paraId="0E13102E" w14:textId="77777777" w:rsidR="00D333DD" w:rsidRPr="00D95315" w:rsidRDefault="003A5D6E" w:rsidP="00B8298A">
            <w:pPr>
              <w:pStyle w:val="TableCell"/>
              <w:jc w:val="both"/>
              <w:rPr>
                <w:b/>
                <w:lang w:val="bg-BG"/>
              </w:rPr>
            </w:pPr>
            <w:r>
              <w:rPr>
                <w:b/>
                <w:i/>
                <w:u w:val="single"/>
                <w:lang w:val="bg-BG"/>
              </w:rPr>
              <w:t>Мотиви</w:t>
            </w:r>
            <w:r w:rsidR="00D333DD" w:rsidRPr="009E25EC">
              <w:rPr>
                <w:b/>
                <w:i/>
                <w:u w:val="single"/>
                <w:lang w:val="bg-BG"/>
              </w:rPr>
              <w:t>:</w:t>
            </w:r>
            <w:r w:rsidR="00D333DD">
              <w:rPr>
                <w:lang w:val="bg-BG"/>
              </w:rPr>
              <w:t xml:space="preserve"> </w:t>
            </w:r>
            <w:r w:rsidR="00B8298A" w:rsidRPr="00B8298A">
              <w:rPr>
                <w:lang w:val="bg-BG"/>
              </w:rPr>
              <w:t>Съгласно българското законодателството Фискалният съвет има пълна свобода по отношение на комуникацията и възможностите си да осигурява прозрачност по фискалната политика на правителството. Ролята на Съвета в това отношени</w:t>
            </w:r>
            <w:r w:rsidR="00B8298A">
              <w:rPr>
                <w:lang w:val="bg-BG"/>
              </w:rPr>
              <w:t xml:space="preserve">е ще бъде засилена с готвените </w:t>
            </w:r>
            <w:r w:rsidR="00B8298A" w:rsidRPr="00B8298A">
              <w:rPr>
                <w:lang w:val="bg-BG"/>
              </w:rPr>
              <w:t>промени във функциите и отговорностите му във връзка с присъединяването на страната към еврозоната и въвеждането на изискванията на реформираната рамка за икономическо и фискално управление на ЕС</w:t>
            </w:r>
            <w:r w:rsidR="009951A6" w:rsidRPr="00B8298A">
              <w:rPr>
                <w:lang w:val="bg-BG"/>
              </w:rPr>
              <w:t>.</w:t>
            </w:r>
            <w:r w:rsidR="009951A6">
              <w:rPr>
                <w:lang w:val="bg-BG"/>
              </w:rPr>
              <w:t xml:space="preserve"> </w:t>
            </w:r>
          </w:p>
        </w:tc>
      </w:tr>
      <w:tr w:rsidR="00B8298A" w:rsidRPr="00005C86" w14:paraId="472B01F6" w14:textId="77777777" w:rsidTr="003025A7">
        <w:tc>
          <w:tcPr>
            <w:tcW w:w="1567" w:type="pct"/>
            <w:tcBorders>
              <w:bottom w:val="single" w:sz="4" w:space="0" w:color="5B9BD5" w:themeColor="accent1"/>
            </w:tcBorders>
          </w:tcPr>
          <w:p w14:paraId="6B169043" w14:textId="77777777" w:rsidR="00B8298A" w:rsidRPr="006C3504" w:rsidRDefault="00B8298A" w:rsidP="00B8298A">
            <w:pPr>
              <w:pStyle w:val="TableRow"/>
              <w:rPr>
                <w:lang w:val="bg-BG"/>
              </w:rPr>
            </w:pPr>
            <w:r>
              <w:rPr>
                <w:lang w:val="bg-BG"/>
              </w:rPr>
              <w:t>Широко разпространената</w:t>
            </w:r>
            <w:r w:rsidRPr="006C3504">
              <w:rPr>
                <w:lang w:val="bg-BG"/>
              </w:rPr>
              <w:t xml:space="preserve"> неформалност на пазара на труда и пропуските в спазването на данъчн</w:t>
            </w:r>
            <w:r>
              <w:rPr>
                <w:lang w:val="bg-BG"/>
              </w:rPr>
              <w:t>ото законодателство</w:t>
            </w:r>
            <w:r w:rsidRPr="006C3504">
              <w:rPr>
                <w:lang w:val="bg-BG"/>
              </w:rPr>
              <w:t xml:space="preserve"> водят до значителни фискални загуби.</w:t>
            </w:r>
          </w:p>
        </w:tc>
        <w:tc>
          <w:tcPr>
            <w:tcW w:w="1717" w:type="pct"/>
            <w:tcBorders>
              <w:bottom w:val="single" w:sz="4" w:space="0" w:color="5B9BD5" w:themeColor="accent1"/>
            </w:tcBorders>
          </w:tcPr>
          <w:p w14:paraId="5BA957C5" w14:textId="77777777" w:rsidR="00B8298A" w:rsidRPr="006C3504" w:rsidRDefault="00B8298A" w:rsidP="00B8298A">
            <w:pPr>
              <w:pStyle w:val="TableCell"/>
              <w:jc w:val="both"/>
              <w:rPr>
                <w:b/>
                <w:lang w:val="bg-BG"/>
              </w:rPr>
            </w:pPr>
            <w:r>
              <w:rPr>
                <w:b/>
                <w:lang w:val="bg-BG"/>
              </w:rPr>
              <w:t>Да се у</w:t>
            </w:r>
            <w:r w:rsidRPr="006C3504">
              <w:rPr>
                <w:b/>
                <w:lang w:val="bg-BG"/>
              </w:rPr>
              <w:t>креп</w:t>
            </w:r>
            <w:r>
              <w:rPr>
                <w:b/>
                <w:lang w:val="bg-BG"/>
              </w:rPr>
              <w:t>и</w:t>
            </w:r>
            <w:r w:rsidRPr="006C3504">
              <w:rPr>
                <w:b/>
                <w:lang w:val="bg-BG"/>
              </w:rPr>
              <w:t xml:space="preserve"> текущото прилагане на данъчните разпоредби чрез във</w:t>
            </w:r>
            <w:r>
              <w:rPr>
                <w:b/>
                <w:lang w:val="bg-BG"/>
              </w:rPr>
              <w:t>еждане на изплащания на заплати по</w:t>
            </w:r>
            <w:r w:rsidRPr="006C3504">
              <w:rPr>
                <w:b/>
                <w:lang w:val="bg-BG"/>
              </w:rPr>
              <w:t xml:space="preserve"> банкова сметка, </w:t>
            </w:r>
            <w:r w:rsidRPr="00484997">
              <w:rPr>
                <w:b/>
                <w:lang w:val="bg-BG"/>
              </w:rPr>
              <w:t xml:space="preserve">като същевременно се </w:t>
            </w:r>
            <w:r>
              <w:rPr>
                <w:b/>
                <w:lang w:val="bg-BG"/>
              </w:rPr>
              <w:t xml:space="preserve">въведе </w:t>
            </w:r>
            <w:r w:rsidRPr="00484997">
              <w:rPr>
                <w:b/>
                <w:lang w:val="bg-BG"/>
              </w:rPr>
              <w:t>изисква</w:t>
            </w:r>
            <w:r>
              <w:rPr>
                <w:b/>
                <w:lang w:val="bg-BG"/>
              </w:rPr>
              <w:t>не на</w:t>
            </w:r>
            <w:r w:rsidRPr="00484997">
              <w:rPr>
                <w:b/>
                <w:lang w:val="bg-BG"/>
              </w:rPr>
              <w:t xml:space="preserve"> доказателство за законен източник </w:t>
            </w:r>
            <w:r>
              <w:rPr>
                <w:b/>
                <w:lang w:val="bg-BG"/>
              </w:rPr>
              <w:t>при</w:t>
            </w:r>
            <w:r w:rsidRPr="00484997">
              <w:rPr>
                <w:b/>
                <w:lang w:val="bg-BG"/>
              </w:rPr>
              <w:t xml:space="preserve"> депозитите, за да се намали неформалната заетост</w:t>
            </w:r>
            <w:r w:rsidRPr="00D43B81">
              <w:rPr>
                <w:b/>
                <w:lang w:val="bg-BG"/>
              </w:rPr>
              <w:t>.</w:t>
            </w:r>
          </w:p>
        </w:tc>
        <w:tc>
          <w:tcPr>
            <w:tcW w:w="1716" w:type="pct"/>
            <w:tcBorders>
              <w:bottom w:val="single" w:sz="4" w:space="0" w:color="5B9BD5" w:themeColor="accent1"/>
            </w:tcBorders>
          </w:tcPr>
          <w:p w14:paraId="0A98FD1B" w14:textId="77777777" w:rsidR="00B8298A" w:rsidRDefault="00B8298A" w:rsidP="00B8298A">
            <w:pPr>
              <w:pStyle w:val="TableCell"/>
              <w:jc w:val="both"/>
              <w:rPr>
                <w:b/>
                <w:lang w:val="bg-BG"/>
              </w:rPr>
            </w:pPr>
            <w:r w:rsidRPr="00303576">
              <w:rPr>
                <w:b/>
                <w:lang w:val="bg-BG"/>
              </w:rPr>
              <w:t xml:space="preserve">Република България изразява </w:t>
            </w:r>
            <w:r w:rsidR="00645B90">
              <w:rPr>
                <w:b/>
                <w:lang w:val="bg-BG"/>
              </w:rPr>
              <w:t xml:space="preserve">частично </w:t>
            </w:r>
            <w:r w:rsidR="00A55D25">
              <w:rPr>
                <w:b/>
                <w:lang w:val="bg-BG"/>
              </w:rPr>
              <w:t>съгласие с препоръката,</w:t>
            </w:r>
            <w:r w:rsidR="00A55D25" w:rsidRPr="00A55D25">
              <w:rPr>
                <w:lang w:val="bg-BG"/>
              </w:rPr>
              <w:t xml:space="preserve"> </w:t>
            </w:r>
            <w:r w:rsidR="00A55D25" w:rsidRPr="00A55D25">
              <w:rPr>
                <w:b/>
                <w:lang w:val="bg-BG"/>
              </w:rPr>
              <w:t>но само след нейната редакция:</w:t>
            </w:r>
          </w:p>
          <w:p w14:paraId="2A32B4CD" w14:textId="77777777" w:rsidR="00BB5EC2" w:rsidRPr="002801D7" w:rsidRDefault="002801D7" w:rsidP="00B8298A">
            <w:pPr>
              <w:pStyle w:val="TableCell"/>
              <w:jc w:val="both"/>
              <w:rPr>
                <w:bCs/>
                <w:lang w:val="bg-BG"/>
              </w:rPr>
            </w:pPr>
            <w:r w:rsidRPr="002801D7">
              <w:rPr>
                <w:b/>
                <w:i/>
                <w:u w:val="single"/>
                <w:lang w:val="bg-BG"/>
              </w:rPr>
              <w:t>Предложение за редакция</w:t>
            </w:r>
            <w:r w:rsidR="001D478F">
              <w:rPr>
                <w:b/>
                <w:i/>
                <w:u w:val="single"/>
                <w:lang w:val="bg-BG"/>
              </w:rPr>
              <w:t xml:space="preserve"> на препоръката</w:t>
            </w:r>
            <w:r w:rsidRPr="002801D7">
              <w:rPr>
                <w:b/>
                <w:i/>
                <w:u w:val="single"/>
                <w:lang w:val="bg-BG"/>
              </w:rPr>
              <w:t>:</w:t>
            </w:r>
            <w:r>
              <w:rPr>
                <w:bCs/>
                <w:lang w:val="bg-BG"/>
              </w:rPr>
              <w:t xml:space="preserve"> </w:t>
            </w:r>
            <w:r w:rsidR="00BB5EC2" w:rsidRPr="002801D7">
              <w:rPr>
                <w:bCs/>
                <w:lang w:val="bg-BG"/>
              </w:rPr>
              <w:t xml:space="preserve">Да се укрепи текущото прилагане на данъчните разпоредби </w:t>
            </w:r>
            <w:r w:rsidR="00BB5EC2" w:rsidRPr="002801D7">
              <w:rPr>
                <w:bCs/>
                <w:strike/>
                <w:lang w:val="bg-BG"/>
              </w:rPr>
              <w:t>чрез въвеждане на изплащания на заплати по банкова сметка, като същевременно се въведе изискване на доказателство за законен източник при депозитите,</w:t>
            </w:r>
            <w:r w:rsidR="00BB5EC2" w:rsidRPr="002801D7">
              <w:rPr>
                <w:bCs/>
                <w:lang w:val="bg-BG"/>
              </w:rPr>
              <w:t xml:space="preserve"> за да се намали неформалната заетост.</w:t>
            </w:r>
          </w:p>
          <w:p w14:paraId="764ED497" w14:textId="77777777" w:rsidR="002662A6" w:rsidRDefault="00A55D25" w:rsidP="002662A6">
            <w:pPr>
              <w:pStyle w:val="TableCell"/>
              <w:spacing w:line="240" w:lineRule="auto"/>
              <w:jc w:val="both"/>
              <w:rPr>
                <w:lang w:val="bg-BG"/>
              </w:rPr>
            </w:pPr>
            <w:r w:rsidRPr="00A55D25">
              <w:rPr>
                <w:b/>
                <w:bCs/>
                <w:i/>
                <w:u w:val="single"/>
                <w:lang w:val="bg-BG"/>
              </w:rPr>
              <w:t>Мотиви:</w:t>
            </w:r>
            <w:r>
              <w:rPr>
                <w:b/>
                <w:bCs/>
                <w:lang w:val="bg-BG"/>
              </w:rPr>
              <w:t xml:space="preserve"> </w:t>
            </w:r>
            <w:r w:rsidRPr="00FF2DF1">
              <w:rPr>
                <w:lang w:val="bg-BG"/>
              </w:rPr>
              <w:t xml:space="preserve"> </w:t>
            </w:r>
            <w:r w:rsidR="002801D7" w:rsidRPr="002801D7">
              <w:rPr>
                <w:lang w:val="bg-BG"/>
              </w:rPr>
              <w:t>Предлага се изменение</w:t>
            </w:r>
            <w:r w:rsidR="002662A6" w:rsidRPr="002801D7">
              <w:rPr>
                <w:lang w:val="bg-BG"/>
              </w:rPr>
              <w:t xml:space="preserve"> предвид наличието на задължение за изплащане на възнагражденията по банков път</w:t>
            </w:r>
            <w:r w:rsidR="00BB5EC2" w:rsidRPr="002801D7">
              <w:rPr>
                <w:lang w:val="bg-BG"/>
              </w:rPr>
              <w:t>.</w:t>
            </w:r>
            <w:r w:rsidR="00F42A79" w:rsidRPr="002801D7">
              <w:rPr>
                <w:lang w:val="bg-BG"/>
              </w:rPr>
              <w:t xml:space="preserve"> Съгласно Закона за ограничаване на плащанията в брой в сила от  1 септември 2023 г. плащанията на територията на страната се извършват само чрез превод или внасяне по платежна сметка, когато са трудови възнаграждения по смисъла на </w:t>
            </w:r>
            <w:hyperlink r:id="rId10" w:tgtFrame="_blank" w:history="1">
              <w:r w:rsidR="00F42A79" w:rsidRPr="002801D7">
                <w:rPr>
                  <w:lang w:val="bg-BG"/>
                </w:rPr>
                <w:t>Кодекса на труда</w:t>
              </w:r>
            </w:hyperlink>
            <w:r w:rsidR="00F42A79" w:rsidRPr="002801D7">
              <w:rPr>
                <w:lang w:val="bg-BG"/>
              </w:rPr>
              <w:t>, изплащани от работодатели със 100  или повече наети лица.</w:t>
            </w:r>
          </w:p>
          <w:p w14:paraId="493EA6EE" w14:textId="77777777" w:rsidR="002801D7" w:rsidRDefault="002801D7" w:rsidP="002662A6">
            <w:pPr>
              <w:pStyle w:val="TableCell"/>
              <w:spacing w:line="240" w:lineRule="auto"/>
              <w:jc w:val="both"/>
              <w:rPr>
                <w:b/>
                <w:lang w:val="bg-BG"/>
              </w:rPr>
            </w:pPr>
            <w:r w:rsidRPr="002801D7">
              <w:rPr>
                <w:b/>
                <w:lang w:val="bg-BG"/>
              </w:rPr>
              <w:t xml:space="preserve">Република България изразява </w:t>
            </w:r>
            <w:r>
              <w:rPr>
                <w:b/>
                <w:lang w:val="bg-BG"/>
              </w:rPr>
              <w:t>не</w:t>
            </w:r>
            <w:r w:rsidRPr="002801D7">
              <w:rPr>
                <w:b/>
                <w:lang w:val="bg-BG"/>
              </w:rPr>
              <w:t>съгласие</w:t>
            </w:r>
            <w:r>
              <w:rPr>
                <w:b/>
                <w:lang w:val="bg-BG"/>
              </w:rPr>
              <w:t xml:space="preserve"> с констатацията и предлага нейната редакция:</w:t>
            </w:r>
          </w:p>
          <w:p w14:paraId="0396DEE4" w14:textId="77777777" w:rsidR="002801D7" w:rsidRPr="00FF2DF1" w:rsidRDefault="002801D7" w:rsidP="002662A6">
            <w:pPr>
              <w:pStyle w:val="TableCell"/>
              <w:spacing w:line="240" w:lineRule="auto"/>
              <w:jc w:val="both"/>
              <w:rPr>
                <w:b/>
                <w:i/>
                <w:u w:val="single"/>
                <w:lang w:val="bg-BG"/>
              </w:rPr>
            </w:pPr>
            <w:r w:rsidRPr="002801D7">
              <w:rPr>
                <w:b/>
                <w:i/>
                <w:u w:val="single"/>
                <w:lang w:val="bg-BG"/>
              </w:rPr>
              <w:t>Предложение за редакция</w:t>
            </w:r>
            <w:r w:rsidR="001D478F">
              <w:rPr>
                <w:b/>
                <w:i/>
                <w:u w:val="single"/>
                <w:lang w:val="bg-BG"/>
              </w:rPr>
              <w:t xml:space="preserve"> на констатацията</w:t>
            </w:r>
            <w:r w:rsidRPr="002801D7">
              <w:rPr>
                <w:b/>
                <w:i/>
                <w:u w:val="single"/>
                <w:lang w:val="bg-BG"/>
              </w:rPr>
              <w:t>:</w:t>
            </w:r>
            <w:r w:rsidR="00F42A79" w:rsidRPr="00F42A79">
              <w:rPr>
                <w:lang w:val="bg-BG"/>
              </w:rPr>
              <w:t xml:space="preserve"> Широко разпространената неформалност на пазара на труда и пропуските в спазването на данъчното законодателство водят до </w:t>
            </w:r>
            <w:r w:rsidR="00F42A79" w:rsidRPr="00092D2E">
              <w:rPr>
                <w:strike/>
                <w:lang w:val="bg-BG"/>
              </w:rPr>
              <w:t>значителни</w:t>
            </w:r>
            <w:r w:rsidR="00F42A79" w:rsidRPr="00F42A79">
              <w:rPr>
                <w:lang w:val="bg-BG"/>
              </w:rPr>
              <w:t xml:space="preserve"> фискални загуби.</w:t>
            </w:r>
          </w:p>
          <w:p w14:paraId="4DF18FEB" w14:textId="77777777" w:rsidR="00A55D25" w:rsidRPr="00C63453" w:rsidRDefault="00F42A79" w:rsidP="002662A6">
            <w:pPr>
              <w:pStyle w:val="TableCell"/>
              <w:spacing w:line="240" w:lineRule="auto"/>
              <w:jc w:val="both"/>
              <w:rPr>
                <w:b/>
                <w:i/>
                <w:u w:val="single"/>
                <w:lang w:val="bg-BG"/>
              </w:rPr>
            </w:pPr>
            <w:r w:rsidRPr="00C63453">
              <w:rPr>
                <w:b/>
                <w:i/>
                <w:u w:val="single"/>
                <w:lang w:val="bg-BG"/>
              </w:rPr>
              <w:t>Мотиви:</w:t>
            </w:r>
            <w:r w:rsidRPr="00C63453">
              <w:rPr>
                <w:lang w:val="bg-BG"/>
              </w:rPr>
              <w:t xml:space="preserve"> </w:t>
            </w:r>
            <w:r w:rsidR="00C63453">
              <w:rPr>
                <w:lang w:val="bg-BG"/>
              </w:rPr>
              <w:t xml:space="preserve">Предлага се думата </w:t>
            </w:r>
            <w:r w:rsidR="00092D2E">
              <w:rPr>
                <w:lang w:val="bg-BG"/>
              </w:rPr>
              <w:t>„</w:t>
            </w:r>
            <w:r w:rsidR="00C63453">
              <w:rPr>
                <w:lang w:val="bg-BG"/>
              </w:rPr>
              <w:t>значително</w:t>
            </w:r>
            <w:r w:rsidR="00092D2E">
              <w:rPr>
                <w:lang w:val="bg-BG"/>
              </w:rPr>
              <w:t>“</w:t>
            </w:r>
            <w:r w:rsidRPr="00C63453">
              <w:rPr>
                <w:lang w:val="bg-BG"/>
              </w:rPr>
              <w:t xml:space="preserve"> </w:t>
            </w:r>
            <w:r w:rsidR="00092D2E">
              <w:rPr>
                <w:lang w:val="bg-BG"/>
              </w:rPr>
              <w:t xml:space="preserve">да отпадне </w:t>
            </w:r>
            <w:r w:rsidR="00C63453">
              <w:rPr>
                <w:lang w:val="bg-BG"/>
              </w:rPr>
              <w:t>п</w:t>
            </w:r>
            <w:r w:rsidR="00C63453" w:rsidRPr="00C63453">
              <w:rPr>
                <w:lang w:val="bg-BG"/>
              </w:rPr>
              <w:t>редвид отсъствието на задълбочен анализ относно размера на загубата и спрямо какво тя се явява значителна</w:t>
            </w:r>
            <w:r w:rsidR="00C63453">
              <w:rPr>
                <w:lang w:val="bg-BG"/>
              </w:rPr>
              <w:t>.</w:t>
            </w:r>
          </w:p>
        </w:tc>
      </w:tr>
      <w:tr w:rsidR="00B8298A" w:rsidRPr="00005C86" w14:paraId="168D41E3" w14:textId="77777777" w:rsidTr="003025A7">
        <w:tc>
          <w:tcPr>
            <w:tcW w:w="1567" w:type="pct"/>
            <w:tcBorders>
              <w:bottom w:val="single" w:sz="4" w:space="0" w:color="5B9BD5" w:themeColor="accent1"/>
            </w:tcBorders>
          </w:tcPr>
          <w:p w14:paraId="57F7212B" w14:textId="77777777" w:rsidR="00B8298A" w:rsidRPr="006C3504" w:rsidRDefault="00B8298A" w:rsidP="00B8298A">
            <w:pPr>
              <w:pStyle w:val="TableRow"/>
              <w:rPr>
                <w:lang w:val="bg-BG"/>
              </w:rPr>
            </w:pPr>
            <w:r w:rsidRPr="006C3504">
              <w:rPr>
                <w:lang w:val="bg-BG"/>
              </w:rPr>
              <w:lastRenderedPageBreak/>
              <w:t>Приходите от периодичните данъци върху недвижимите имоти са ниски.</w:t>
            </w:r>
          </w:p>
        </w:tc>
        <w:tc>
          <w:tcPr>
            <w:tcW w:w="1717" w:type="pct"/>
            <w:tcBorders>
              <w:bottom w:val="single" w:sz="4" w:space="0" w:color="5B9BD5" w:themeColor="accent1"/>
            </w:tcBorders>
          </w:tcPr>
          <w:p w14:paraId="3EC0508E" w14:textId="77777777" w:rsidR="00B8298A" w:rsidRPr="006C3504" w:rsidRDefault="00B8298A" w:rsidP="00B8298A">
            <w:pPr>
              <w:pStyle w:val="TableCell"/>
              <w:jc w:val="both"/>
              <w:rPr>
                <w:lang w:val="bg-BG"/>
              </w:rPr>
            </w:pPr>
            <w:r>
              <w:rPr>
                <w:lang w:val="bg-BG"/>
              </w:rPr>
              <w:t>Да се актуализират</w:t>
            </w:r>
            <w:r w:rsidRPr="006C3504">
              <w:rPr>
                <w:lang w:val="bg-BG"/>
              </w:rPr>
              <w:t xml:space="preserve"> основните коефициен</w:t>
            </w:r>
            <w:r>
              <w:rPr>
                <w:lang w:val="bg-BG"/>
              </w:rPr>
              <w:t>ти за местоположение и да се премине</w:t>
            </w:r>
            <w:r w:rsidRPr="006C3504">
              <w:rPr>
                <w:lang w:val="bg-BG"/>
              </w:rPr>
              <w:t xml:space="preserve"> към данъчно облагане на </w:t>
            </w:r>
            <w:r>
              <w:rPr>
                <w:lang w:val="bg-BG"/>
              </w:rPr>
              <w:t>недвижимата собственост</w:t>
            </w:r>
            <w:r w:rsidRPr="006C3504">
              <w:rPr>
                <w:lang w:val="bg-BG"/>
              </w:rPr>
              <w:t xml:space="preserve"> въз основа на стойността.</w:t>
            </w:r>
          </w:p>
        </w:tc>
        <w:tc>
          <w:tcPr>
            <w:tcW w:w="1716" w:type="pct"/>
            <w:tcBorders>
              <w:bottom w:val="single" w:sz="4" w:space="0" w:color="5B9BD5" w:themeColor="accent1"/>
            </w:tcBorders>
          </w:tcPr>
          <w:p w14:paraId="72DF1A92" w14:textId="77777777" w:rsidR="00863A91" w:rsidRPr="00863A91" w:rsidRDefault="00863A91" w:rsidP="00863A91">
            <w:pPr>
              <w:pStyle w:val="TableCell"/>
              <w:jc w:val="both"/>
              <w:rPr>
                <w:b/>
                <w:lang w:val="bg-BG"/>
              </w:rPr>
            </w:pPr>
            <w:r w:rsidRPr="00863A91">
              <w:rPr>
                <w:b/>
                <w:lang w:val="bg-BG"/>
              </w:rPr>
              <w:t xml:space="preserve">Република България изразява съгласие с препоръката, </w:t>
            </w:r>
            <w:r w:rsidR="007F53DE">
              <w:rPr>
                <w:b/>
                <w:lang w:val="bg-BG"/>
              </w:rPr>
              <w:t>като предлага редакция:</w:t>
            </w:r>
          </w:p>
          <w:p w14:paraId="740B3BB6" w14:textId="77777777" w:rsidR="00863A91" w:rsidRDefault="00E24E2A" w:rsidP="00863A91">
            <w:pPr>
              <w:pStyle w:val="TableCell"/>
              <w:jc w:val="both"/>
              <w:rPr>
                <w:b/>
                <w:lang w:val="bg-BG"/>
              </w:rPr>
            </w:pPr>
            <w:r w:rsidRPr="009E25EC">
              <w:rPr>
                <w:b/>
                <w:i/>
                <w:u w:val="single"/>
                <w:lang w:val="bg-BG"/>
              </w:rPr>
              <w:t>Предложение за редакция:</w:t>
            </w:r>
            <w:r w:rsidR="00A80318">
              <w:rPr>
                <w:b/>
                <w:lang w:val="bg-BG"/>
              </w:rPr>
              <w:t xml:space="preserve"> </w:t>
            </w:r>
            <w:r w:rsidR="006C3989" w:rsidRPr="009E25EC">
              <w:rPr>
                <w:strike/>
                <w:lang w:val="bg-BG"/>
              </w:rPr>
              <w:t>Да се актуализират основните коефициенти за местоположение и да се премине към данъчно облагане на недвижимата собственост въз основа на стойността.</w:t>
            </w:r>
          </w:p>
          <w:p w14:paraId="6DFEABE0" w14:textId="77777777" w:rsidR="006C3989" w:rsidRPr="00863A91" w:rsidRDefault="00A80318" w:rsidP="00863A91">
            <w:pPr>
              <w:pStyle w:val="TableCell"/>
              <w:jc w:val="both"/>
              <w:rPr>
                <w:b/>
                <w:lang w:val="bg-BG"/>
              </w:rPr>
            </w:pPr>
            <w:r>
              <w:rPr>
                <w:b/>
                <w:lang w:val="bg-BG"/>
              </w:rPr>
              <w:t>Да се о</w:t>
            </w:r>
            <w:r w:rsidRPr="00863A91">
              <w:rPr>
                <w:b/>
                <w:lang w:val="bg-BG"/>
              </w:rPr>
              <w:t>бмисл</w:t>
            </w:r>
            <w:r>
              <w:rPr>
                <w:b/>
                <w:lang w:val="bg-BG"/>
              </w:rPr>
              <w:t>и</w:t>
            </w:r>
            <w:r w:rsidRPr="00863A91">
              <w:rPr>
                <w:b/>
                <w:lang w:val="bg-BG"/>
              </w:rPr>
              <w:t xml:space="preserve"> възможността за актуализиране на данъка върху недвижимите имоти</w:t>
            </w:r>
          </w:p>
          <w:p w14:paraId="5E14ACD4" w14:textId="77777777" w:rsidR="00863A91" w:rsidRDefault="003A5D6E" w:rsidP="00863A91">
            <w:pPr>
              <w:rPr>
                <w:color w:val="000000"/>
                <w:lang w:val="bg-BG" w:eastAsia="en-US"/>
              </w:rPr>
            </w:pPr>
            <w:r>
              <w:rPr>
                <w:b/>
                <w:i/>
                <w:u w:val="single"/>
                <w:lang w:val="bg-BG"/>
              </w:rPr>
              <w:t>Мотиви</w:t>
            </w:r>
            <w:r w:rsidR="00863A91" w:rsidRPr="009E25EC">
              <w:rPr>
                <w:b/>
                <w:i/>
                <w:color w:val="000000" w:themeColor="text1"/>
                <w:u w:val="single"/>
                <w:lang w:val="bg-BG"/>
              </w:rPr>
              <w:t>:</w:t>
            </w:r>
            <w:r w:rsidR="00863A91" w:rsidRPr="00235293">
              <w:rPr>
                <w:lang w:val="bg-BG"/>
              </w:rPr>
              <w:t xml:space="preserve"> </w:t>
            </w:r>
            <w:r w:rsidR="00863A91" w:rsidRPr="00D668F4">
              <w:rPr>
                <w:color w:val="000000"/>
                <w:lang w:val="bg-BG"/>
              </w:rPr>
              <w:t xml:space="preserve"> </w:t>
            </w:r>
            <w:r w:rsidR="00863A91">
              <w:rPr>
                <w:color w:val="000000"/>
                <w:lang w:val="bg-BG"/>
              </w:rPr>
              <w:t>България принципно обмисля възможността за актуализиране на данъка върху недвижимите</w:t>
            </w:r>
            <w:r w:rsidR="003E6575">
              <w:rPr>
                <w:color w:val="000000"/>
                <w:lang w:val="bg-BG"/>
              </w:rPr>
              <w:t xml:space="preserve"> имоти, като обаче считаме, че </w:t>
            </w:r>
            <w:r w:rsidR="00863A91">
              <w:rPr>
                <w:color w:val="000000"/>
                <w:lang w:val="bg-BG"/>
              </w:rPr>
              <w:t>актуализирането на коефициента на местоположение няма да е достатъчно ефективен подход, тъй като к</w:t>
            </w:r>
            <w:r w:rsidR="00863A91" w:rsidRPr="00235293">
              <w:rPr>
                <w:color w:val="000000"/>
                <w:lang w:val="bg-BG" w:eastAsia="en-US"/>
              </w:rPr>
              <w:t xml:space="preserve">оефициентът участва като множител във формулата за определяне на данъчните оценки на недвижимите имоти, които са основа за изчисляване на данъка върху недвижимите имоти. Ако коефициентът за местоположение </w:t>
            </w:r>
            <w:r w:rsidR="00863A91">
              <w:rPr>
                <w:color w:val="000000"/>
                <w:lang w:val="bg-BG" w:eastAsia="en-US"/>
              </w:rPr>
              <w:t>бъде</w:t>
            </w:r>
            <w:r w:rsidR="00863A91" w:rsidRPr="00235293">
              <w:rPr>
                <w:color w:val="000000"/>
                <w:lang w:val="bg-BG" w:eastAsia="en-US"/>
              </w:rPr>
              <w:t xml:space="preserve"> актуализиран</w:t>
            </w:r>
            <w:r w:rsidR="00863A91">
              <w:rPr>
                <w:color w:val="000000"/>
                <w:lang w:val="bg-BG" w:eastAsia="en-US"/>
              </w:rPr>
              <w:t>,</w:t>
            </w:r>
            <w:r w:rsidR="00863A91" w:rsidRPr="00235293">
              <w:rPr>
                <w:color w:val="000000"/>
                <w:lang w:val="bg-BG" w:eastAsia="en-US"/>
              </w:rPr>
              <w:t xml:space="preserve"> </w:t>
            </w:r>
            <w:r w:rsidR="00863A91">
              <w:rPr>
                <w:color w:val="000000"/>
                <w:lang w:val="bg-BG" w:eastAsia="en-US"/>
              </w:rPr>
              <w:t>няма достатъчна сигурност, че данъкът ще бъде повишен</w:t>
            </w:r>
            <w:r w:rsidR="00863A91" w:rsidRPr="00235293">
              <w:rPr>
                <w:color w:val="000000"/>
                <w:lang w:val="bg-BG" w:eastAsia="en-US"/>
              </w:rPr>
              <w:t>, тъй като:</w:t>
            </w:r>
          </w:p>
          <w:p w14:paraId="5A3735FA" w14:textId="77777777" w:rsidR="00863A91" w:rsidRPr="00235293" w:rsidRDefault="00863A91" w:rsidP="00863A91">
            <w:pPr>
              <w:ind w:firstLine="309"/>
              <w:rPr>
                <w:color w:val="000000"/>
                <w:lang w:val="bg-BG" w:eastAsia="en-US"/>
              </w:rPr>
            </w:pPr>
            <w:r w:rsidRPr="00235293">
              <w:rPr>
                <w:color w:val="000000"/>
                <w:lang w:val="bg-BG" w:eastAsia="en-US"/>
              </w:rPr>
              <w:t>∙</w:t>
            </w:r>
            <w:r>
              <w:rPr>
                <w:color w:val="000000"/>
                <w:lang w:eastAsia="en-US"/>
              </w:rPr>
              <w:t>  </w:t>
            </w:r>
            <w:r w:rsidRPr="00235293">
              <w:rPr>
                <w:color w:val="000000"/>
                <w:lang w:val="bg-BG" w:eastAsia="en-US"/>
              </w:rPr>
              <w:t xml:space="preserve"> въпреки че</w:t>
            </w:r>
            <w:r>
              <w:rPr>
                <w:color w:val="000000"/>
                <w:lang w:val="bg-BG" w:eastAsia="en-US"/>
              </w:rPr>
              <w:t xml:space="preserve"> коефициентът</w:t>
            </w:r>
            <w:r w:rsidRPr="00235293">
              <w:rPr>
                <w:color w:val="000000"/>
                <w:lang w:val="bg-BG" w:eastAsia="en-US"/>
              </w:rPr>
              <w:t xml:space="preserve"> е множител във формулата, то</w:t>
            </w:r>
            <w:r>
              <w:rPr>
                <w:color w:val="000000"/>
                <w:lang w:val="bg-BG" w:eastAsia="en-US"/>
              </w:rPr>
              <w:t xml:space="preserve"> размерът на</w:t>
            </w:r>
            <w:r w:rsidRPr="00235293">
              <w:rPr>
                <w:color w:val="000000"/>
                <w:lang w:val="bg-BG" w:eastAsia="en-US"/>
              </w:rPr>
              <w:t xml:space="preserve"> данък</w:t>
            </w:r>
            <w:r>
              <w:rPr>
                <w:color w:val="000000"/>
                <w:lang w:val="bg-BG" w:eastAsia="en-US"/>
              </w:rPr>
              <w:t>а</w:t>
            </w:r>
            <w:r w:rsidRPr="00235293">
              <w:rPr>
                <w:color w:val="000000"/>
                <w:lang w:val="bg-BG" w:eastAsia="en-US"/>
              </w:rPr>
              <w:t xml:space="preserve"> върху недвижимите имоти се определя от общинските съвети. Не всички общини са на горната граница на размера на ставката, от което следва, че дори и при актуализиран размер на коефициента на местоположение, общините могат да влияят на раз</w:t>
            </w:r>
            <w:r>
              <w:rPr>
                <w:color w:val="000000"/>
                <w:lang w:val="bg-BG" w:eastAsia="en-US"/>
              </w:rPr>
              <w:t>мера на данъка и в двете посоки;</w:t>
            </w:r>
            <w:r w:rsidRPr="00235293">
              <w:rPr>
                <w:color w:val="000000"/>
                <w:lang w:val="bg-BG" w:eastAsia="en-US"/>
              </w:rPr>
              <w:t xml:space="preserve"> </w:t>
            </w:r>
          </w:p>
          <w:p w14:paraId="131EA66B" w14:textId="77777777" w:rsidR="00863A91" w:rsidRPr="00235293" w:rsidRDefault="00863A91" w:rsidP="00863A91">
            <w:pPr>
              <w:ind w:firstLine="309"/>
              <w:rPr>
                <w:color w:val="000000"/>
                <w:lang w:val="bg-BG" w:eastAsia="en-US"/>
              </w:rPr>
            </w:pPr>
            <w:r w:rsidRPr="00235293">
              <w:rPr>
                <w:color w:val="000000"/>
                <w:lang w:val="bg-BG" w:eastAsia="en-US"/>
              </w:rPr>
              <w:t>∙</w:t>
            </w:r>
            <w:r>
              <w:rPr>
                <w:color w:val="000000"/>
                <w:lang w:eastAsia="en-US"/>
              </w:rPr>
              <w:t>  </w:t>
            </w:r>
            <w:r w:rsidRPr="00235293">
              <w:rPr>
                <w:color w:val="000000"/>
                <w:lang w:val="bg-BG" w:eastAsia="en-US"/>
              </w:rPr>
              <w:t xml:space="preserve"> </w:t>
            </w:r>
            <w:r>
              <w:rPr>
                <w:color w:val="000000"/>
                <w:lang w:val="bg-BG" w:eastAsia="en-US"/>
              </w:rPr>
              <w:t>с</w:t>
            </w:r>
            <w:r w:rsidRPr="00235293">
              <w:rPr>
                <w:color w:val="000000"/>
                <w:lang w:val="bg-BG" w:eastAsia="en-US"/>
              </w:rPr>
              <w:t xml:space="preserve">ъгласно ал. 7 от Приложение № 2 към ЗМДТ „Границите на зоните в населените места и категориите на вилните зони се определят с решение на общинския съвет. До приемане на решението се прилагат зоните и категориите, определени със заповед на кмета на общината.“ Последното означава, че при евентуална актуализация на коефициента за местоположение в закона, компетентността за промяна в данъчните оценки на недвижимите имоти би останала в общините. </w:t>
            </w:r>
          </w:p>
          <w:p w14:paraId="19E30E3F" w14:textId="77777777" w:rsidR="00863A91" w:rsidRDefault="00863A91" w:rsidP="00863A91">
            <w:pPr>
              <w:rPr>
                <w:color w:val="000000"/>
                <w:lang w:val="bg-BG" w:eastAsia="en-US"/>
              </w:rPr>
            </w:pPr>
            <w:r w:rsidRPr="00235293">
              <w:rPr>
                <w:color w:val="000000"/>
                <w:lang w:val="bg-BG" w:eastAsia="en-US"/>
              </w:rPr>
              <w:t>Предвид посоченото</w:t>
            </w:r>
            <w:r>
              <w:rPr>
                <w:color w:val="000000"/>
                <w:lang w:val="bg-BG" w:eastAsia="en-US"/>
              </w:rPr>
              <w:t xml:space="preserve"> считаме</w:t>
            </w:r>
            <w:r w:rsidRPr="00235293">
              <w:rPr>
                <w:color w:val="000000"/>
                <w:lang w:val="bg-BG" w:eastAsia="en-US"/>
              </w:rPr>
              <w:t>,</w:t>
            </w:r>
            <w:r>
              <w:rPr>
                <w:color w:val="000000"/>
                <w:lang w:val="bg-BG" w:eastAsia="en-US"/>
              </w:rPr>
              <w:t xml:space="preserve"> че промяната на коефициента за местоположение не е достатъчно ефективен подход, тъй като</w:t>
            </w:r>
            <w:r w:rsidRPr="00235293">
              <w:rPr>
                <w:color w:val="000000"/>
                <w:lang w:val="bg-BG" w:eastAsia="en-US"/>
              </w:rPr>
              <w:t xml:space="preserve"> не може да бъде определено как ще повлияе актуализацията </w:t>
            </w:r>
            <w:r>
              <w:rPr>
                <w:color w:val="000000"/>
                <w:lang w:val="bg-BG" w:eastAsia="en-US"/>
              </w:rPr>
              <w:t>му</w:t>
            </w:r>
            <w:r w:rsidRPr="00235293">
              <w:rPr>
                <w:color w:val="000000"/>
                <w:lang w:val="bg-BG" w:eastAsia="en-US"/>
              </w:rPr>
              <w:t xml:space="preserve">, </w:t>
            </w:r>
            <w:r>
              <w:rPr>
                <w:color w:val="000000"/>
                <w:lang w:val="bg-BG" w:eastAsia="en-US"/>
              </w:rPr>
              <w:t>доколкото</w:t>
            </w:r>
            <w:r w:rsidRPr="00235293">
              <w:rPr>
                <w:color w:val="000000"/>
                <w:lang w:val="bg-BG" w:eastAsia="en-US"/>
              </w:rPr>
              <w:t xml:space="preserve"> редица от елементите за определяне на данъка са в компетентността на общините, които определят своята данъчна политика в рамките на закона. </w:t>
            </w:r>
          </w:p>
          <w:p w14:paraId="36A64348" w14:textId="77777777" w:rsidR="00863A91" w:rsidRPr="00235293" w:rsidRDefault="00863A91" w:rsidP="00863A91">
            <w:pPr>
              <w:rPr>
                <w:lang w:val="bg-BG"/>
              </w:rPr>
            </w:pPr>
            <w:r w:rsidRPr="00235293">
              <w:rPr>
                <w:lang w:val="bg-BG"/>
              </w:rPr>
              <w:t>По отношение на предложението за преминаване към облагане на недвижимите имоти по тяхната стойност следва да се има предвид, че</w:t>
            </w:r>
            <w:r>
              <w:rPr>
                <w:lang w:val="bg-BG"/>
              </w:rPr>
              <w:t xml:space="preserve"> и към настоящия момент данъкът върху недвижимите имоти се определя върху стойност, а именно данъчната оценка, </w:t>
            </w:r>
            <w:r w:rsidRPr="00F6545D">
              <w:rPr>
                <w:lang w:val="bg-BG"/>
              </w:rPr>
              <w:t>която се определя по специфични критерии и стойности, посочени в закона</w:t>
            </w:r>
            <w:r>
              <w:rPr>
                <w:lang w:val="bg-BG"/>
              </w:rPr>
              <w:t xml:space="preserve">. Обмисляната принципна възможност за актуализиране на данъка върху недвижимите имоти ще доведе </w:t>
            </w:r>
            <w:r w:rsidRPr="00DD6810">
              <w:rPr>
                <w:lang w:val="bg-BG"/>
              </w:rPr>
              <w:t>до повишаване на стойността на имотите</w:t>
            </w:r>
            <w:r>
              <w:rPr>
                <w:lang w:val="bg-BG"/>
              </w:rPr>
              <w:t xml:space="preserve"> за данъчни цели</w:t>
            </w:r>
            <w:r w:rsidRPr="00DD6810">
              <w:rPr>
                <w:lang w:val="bg-BG"/>
              </w:rPr>
              <w:t>. Това е още една причина да се настоява за преформулиране на препоръката.</w:t>
            </w:r>
          </w:p>
          <w:p w14:paraId="236FE412" w14:textId="77777777" w:rsidR="00B8298A" w:rsidRPr="00B377E7" w:rsidRDefault="00863A91" w:rsidP="00863A91">
            <w:pPr>
              <w:pStyle w:val="TableCell"/>
              <w:jc w:val="both"/>
              <w:rPr>
                <w:highlight w:val="yellow"/>
                <w:lang w:val="bg-BG"/>
              </w:rPr>
            </w:pPr>
            <w:r>
              <w:rPr>
                <w:color w:val="000000"/>
                <w:lang w:val="bg-BG" w:eastAsia="en-US"/>
              </w:rPr>
              <w:lastRenderedPageBreak/>
              <w:t>Предвид посочените аргументи, настояваме за преформулиране на препоръката, като следва да се отчита и факта, че п</w:t>
            </w:r>
            <w:r w:rsidRPr="00F239B3">
              <w:rPr>
                <w:color w:val="000000"/>
                <w:lang w:val="bg-BG" w:eastAsia="en-US"/>
              </w:rPr>
              <w:t>ромяната в данъчната политика по отношение на местните данъци ще е труден и дълъг процес, тъй</w:t>
            </w:r>
            <w:r>
              <w:rPr>
                <w:color w:val="000000"/>
                <w:lang w:val="bg-BG" w:eastAsia="en-US"/>
              </w:rPr>
              <w:t xml:space="preserve"> като следва да се вземат предвид</w:t>
            </w:r>
            <w:r w:rsidRPr="00F239B3">
              <w:rPr>
                <w:color w:val="000000"/>
                <w:lang w:val="bg-BG" w:eastAsia="en-US"/>
              </w:rPr>
              <w:t xml:space="preserve"> както интересите на мес</w:t>
            </w:r>
            <w:r>
              <w:rPr>
                <w:color w:val="000000"/>
                <w:lang w:val="bg-BG" w:eastAsia="en-US"/>
              </w:rPr>
              <w:t>т</w:t>
            </w:r>
            <w:r w:rsidRPr="00F239B3">
              <w:rPr>
                <w:color w:val="000000"/>
                <w:lang w:val="bg-BG" w:eastAsia="en-US"/>
              </w:rPr>
              <w:t>ните органи, които са автономни при определяне на политиките си, така и на всички граждани.</w:t>
            </w:r>
          </w:p>
        </w:tc>
      </w:tr>
      <w:tr w:rsidR="00B8298A" w:rsidRPr="00005C86" w14:paraId="77DB62F7" w14:textId="77777777" w:rsidTr="008C2A4A">
        <w:tc>
          <w:tcPr>
            <w:tcW w:w="3284" w:type="pct"/>
            <w:gridSpan w:val="2"/>
            <w:tcBorders>
              <w:top w:val="single" w:sz="4" w:space="0" w:color="5B9BD5" w:themeColor="accent1"/>
              <w:bottom w:val="single" w:sz="4" w:space="0" w:color="5B9BD5" w:themeColor="accent1"/>
            </w:tcBorders>
          </w:tcPr>
          <w:p w14:paraId="44254F8C" w14:textId="77777777" w:rsidR="00B8298A" w:rsidRPr="006C3504" w:rsidRDefault="00B8298A" w:rsidP="00B8298A">
            <w:pPr>
              <w:pStyle w:val="TableColumn"/>
              <w:rPr>
                <w:b/>
                <w:bCs/>
                <w:lang w:val="bg-BG"/>
              </w:rPr>
            </w:pPr>
            <w:r w:rsidRPr="00B278FD">
              <w:rPr>
                <w:b/>
                <w:bCs/>
                <w:lang w:val="bg-BG"/>
              </w:rPr>
              <w:lastRenderedPageBreak/>
              <w:t>Подобряване на финансовата устойчивост на пенсионната система и адекватността на пенсиите</w:t>
            </w:r>
          </w:p>
        </w:tc>
        <w:tc>
          <w:tcPr>
            <w:tcW w:w="1716" w:type="pct"/>
            <w:tcBorders>
              <w:top w:val="single" w:sz="4" w:space="0" w:color="5B9BD5" w:themeColor="accent1"/>
              <w:bottom w:val="single" w:sz="4" w:space="0" w:color="5B9BD5" w:themeColor="accent1"/>
            </w:tcBorders>
          </w:tcPr>
          <w:p w14:paraId="66697C88" w14:textId="77777777" w:rsidR="00B8298A" w:rsidRPr="006C3504" w:rsidRDefault="00B8298A" w:rsidP="00B8298A">
            <w:pPr>
              <w:pStyle w:val="TableColumn"/>
              <w:rPr>
                <w:b/>
                <w:bCs/>
                <w:lang w:val="bg-BG"/>
              </w:rPr>
            </w:pPr>
          </w:p>
        </w:tc>
      </w:tr>
      <w:tr w:rsidR="00B8298A" w:rsidRPr="00005C86" w14:paraId="25DBC66B" w14:textId="77777777" w:rsidTr="003025A7">
        <w:tc>
          <w:tcPr>
            <w:tcW w:w="1567" w:type="pct"/>
            <w:tcBorders>
              <w:top w:val="single" w:sz="4" w:space="0" w:color="5B9BD5" w:themeColor="accent1"/>
            </w:tcBorders>
          </w:tcPr>
          <w:p w14:paraId="36709DB5" w14:textId="77777777" w:rsidR="00B8298A" w:rsidRPr="000A3C95" w:rsidRDefault="00B8298A" w:rsidP="00B8298A">
            <w:pPr>
              <w:pStyle w:val="TableRow"/>
              <w:rPr>
                <w:b/>
                <w:lang w:val="bg-BG"/>
              </w:rPr>
            </w:pPr>
            <w:r w:rsidRPr="000A3C95">
              <w:rPr>
                <w:b/>
                <w:lang w:val="bg-BG"/>
              </w:rPr>
              <w:t>България е изправена пред силен натиск върху пенсионната система от застаряването на населението, като настоящите планове са насочени към намаляване на коефициента на заместване в контекста на съществуващите проблеми с бедността сред пенсионерите.</w:t>
            </w:r>
          </w:p>
        </w:tc>
        <w:tc>
          <w:tcPr>
            <w:tcW w:w="1717" w:type="pct"/>
            <w:tcBorders>
              <w:top w:val="single" w:sz="4" w:space="0" w:color="5B9BD5" w:themeColor="accent1"/>
            </w:tcBorders>
          </w:tcPr>
          <w:p w14:paraId="195F0BE3" w14:textId="77777777" w:rsidR="00B8298A" w:rsidRPr="006C3504" w:rsidRDefault="00B8298A" w:rsidP="00B8298A">
            <w:pPr>
              <w:pStyle w:val="TableCell"/>
              <w:jc w:val="both"/>
              <w:rPr>
                <w:b/>
                <w:bCs/>
                <w:lang w:val="bg-BG"/>
              </w:rPr>
            </w:pPr>
            <w:r>
              <w:rPr>
                <w:b/>
                <w:bCs/>
                <w:lang w:val="bg-BG"/>
              </w:rPr>
              <w:t>Да се разработи</w:t>
            </w:r>
            <w:r w:rsidRPr="006C3504">
              <w:rPr>
                <w:b/>
                <w:bCs/>
                <w:lang w:val="bg-BG"/>
              </w:rPr>
              <w:t xml:space="preserve"> дългосрочен план с мерки за удължаване на трудовия живот, активира</w:t>
            </w:r>
            <w:r>
              <w:rPr>
                <w:b/>
                <w:bCs/>
                <w:lang w:val="bg-BG"/>
              </w:rPr>
              <w:t>не</w:t>
            </w:r>
            <w:r w:rsidRPr="006C3504">
              <w:rPr>
                <w:b/>
                <w:bCs/>
                <w:lang w:val="bg-BG"/>
              </w:rPr>
              <w:t xml:space="preserve"> на получа</w:t>
            </w:r>
            <w:r>
              <w:rPr>
                <w:b/>
                <w:bCs/>
                <w:lang w:val="bg-BG"/>
              </w:rPr>
              <w:t>ващите</w:t>
            </w:r>
            <w:r w:rsidRPr="006C3504">
              <w:rPr>
                <w:b/>
                <w:bCs/>
                <w:lang w:val="bg-BG"/>
              </w:rPr>
              <w:t xml:space="preserve"> пенсии за инвалидност с трудови възможности, като същевременно се гарантира адекватността на пенсиите за нископлатените работници.</w:t>
            </w:r>
          </w:p>
          <w:p w14:paraId="6E57C2DA" w14:textId="77777777" w:rsidR="00B8298A" w:rsidRPr="006C3504" w:rsidRDefault="00B8298A" w:rsidP="00B8298A">
            <w:pPr>
              <w:pStyle w:val="TableCell"/>
              <w:jc w:val="both"/>
              <w:rPr>
                <w:bCs/>
                <w:lang w:val="bg-BG"/>
              </w:rPr>
            </w:pPr>
            <w:r>
              <w:rPr>
                <w:bCs/>
                <w:lang w:val="bg-BG"/>
              </w:rPr>
              <w:t>Да се продължи</w:t>
            </w:r>
            <w:r w:rsidRPr="006C3504">
              <w:rPr>
                <w:bCs/>
                <w:lang w:val="bg-BG"/>
              </w:rPr>
              <w:t xml:space="preserve"> развитието на частните пенсии, включително </w:t>
            </w:r>
            <w:r>
              <w:rPr>
                <w:bCs/>
                <w:lang w:val="bg-BG"/>
              </w:rPr>
              <w:t>схемите</w:t>
            </w:r>
            <w:r w:rsidRPr="006C3504">
              <w:rPr>
                <w:bCs/>
                <w:lang w:val="bg-BG"/>
              </w:rPr>
              <w:t xml:space="preserve"> за дефинирани вноски.</w:t>
            </w:r>
          </w:p>
        </w:tc>
        <w:tc>
          <w:tcPr>
            <w:tcW w:w="1716" w:type="pct"/>
            <w:tcBorders>
              <w:top w:val="single" w:sz="4" w:space="0" w:color="5B9BD5" w:themeColor="accent1"/>
            </w:tcBorders>
          </w:tcPr>
          <w:p w14:paraId="37DB18A9" w14:textId="77777777" w:rsidR="00B8298A" w:rsidRPr="00303576" w:rsidRDefault="00B8298A" w:rsidP="00B8298A">
            <w:pPr>
              <w:pStyle w:val="TableCell"/>
              <w:jc w:val="left"/>
              <w:rPr>
                <w:b/>
                <w:bCs/>
                <w:lang w:val="bg-BG"/>
              </w:rPr>
            </w:pPr>
            <w:r w:rsidRPr="00303576">
              <w:rPr>
                <w:b/>
                <w:lang w:val="bg-BG"/>
              </w:rPr>
              <w:t>Република България изразява съгласие с препоръката.</w:t>
            </w:r>
          </w:p>
          <w:p w14:paraId="6B4DE1C9" w14:textId="77777777" w:rsidR="00B8298A" w:rsidRPr="006C3504" w:rsidRDefault="00B8298A" w:rsidP="00B8298A">
            <w:pPr>
              <w:pStyle w:val="TableCell"/>
              <w:jc w:val="left"/>
              <w:rPr>
                <w:b/>
                <w:bCs/>
                <w:lang w:val="bg-BG"/>
              </w:rPr>
            </w:pPr>
          </w:p>
        </w:tc>
      </w:tr>
      <w:tr w:rsidR="00B8298A" w:rsidRPr="00005C86" w14:paraId="713EF7AB" w14:textId="77777777" w:rsidTr="003025A7">
        <w:tc>
          <w:tcPr>
            <w:tcW w:w="1567" w:type="pct"/>
          </w:tcPr>
          <w:p w14:paraId="7B57CE02" w14:textId="77777777" w:rsidR="00B8298A" w:rsidRPr="006C3504" w:rsidRDefault="00B8298A" w:rsidP="00B8298A">
            <w:pPr>
              <w:pStyle w:val="TableRow"/>
              <w:rPr>
                <w:lang w:val="bg-BG"/>
              </w:rPr>
            </w:pPr>
            <w:r w:rsidRPr="006C3504">
              <w:rPr>
                <w:lang w:val="bg-BG"/>
              </w:rPr>
              <w:t>Минималните и максималните осигури</w:t>
            </w:r>
            <w:r>
              <w:rPr>
                <w:lang w:val="bg-BG"/>
              </w:rPr>
              <w:t>телни</w:t>
            </w:r>
            <w:r w:rsidRPr="006C3504">
              <w:rPr>
                <w:lang w:val="bg-BG"/>
              </w:rPr>
              <w:t xml:space="preserve"> доходи не са следвали скорошните увеличения на заплатите</w:t>
            </w:r>
            <w:r>
              <w:rPr>
                <w:lang w:val="bg-BG"/>
              </w:rPr>
              <w:t>, което е</w:t>
            </w:r>
            <w:r w:rsidRPr="006C3504">
              <w:rPr>
                <w:lang w:val="bg-BG"/>
              </w:rPr>
              <w:t xml:space="preserve"> довел</w:t>
            </w:r>
            <w:r>
              <w:rPr>
                <w:lang w:val="bg-BG"/>
              </w:rPr>
              <w:t>о</w:t>
            </w:r>
            <w:r w:rsidRPr="006C3504">
              <w:rPr>
                <w:lang w:val="bg-BG"/>
              </w:rPr>
              <w:t xml:space="preserve"> до по-ниски вноски от лицата с високи доходи</w:t>
            </w:r>
            <w:r>
              <w:rPr>
                <w:lang w:val="bg-BG"/>
              </w:rPr>
              <w:t>.</w:t>
            </w:r>
          </w:p>
        </w:tc>
        <w:tc>
          <w:tcPr>
            <w:tcW w:w="1717" w:type="pct"/>
          </w:tcPr>
          <w:p w14:paraId="72872C71" w14:textId="77777777" w:rsidR="00B8298A" w:rsidRPr="006C3504" w:rsidRDefault="00B8298A" w:rsidP="003E6575">
            <w:pPr>
              <w:pStyle w:val="TableCell"/>
              <w:jc w:val="both"/>
              <w:rPr>
                <w:lang w:val="bg-BG"/>
              </w:rPr>
            </w:pPr>
            <w:r>
              <w:rPr>
                <w:lang w:val="bg-BG"/>
              </w:rPr>
              <w:t xml:space="preserve">Да се актуализират редовно </w:t>
            </w:r>
            <w:r w:rsidRPr="006C3504">
              <w:rPr>
                <w:lang w:val="bg-BG"/>
              </w:rPr>
              <w:t xml:space="preserve"> прагове</w:t>
            </w:r>
            <w:r>
              <w:rPr>
                <w:lang w:val="bg-BG"/>
              </w:rPr>
              <w:t>те на</w:t>
            </w:r>
            <w:r w:rsidRPr="006C3504">
              <w:rPr>
                <w:lang w:val="bg-BG"/>
              </w:rPr>
              <w:t xml:space="preserve"> максимални</w:t>
            </w:r>
            <w:r>
              <w:rPr>
                <w:lang w:val="bg-BG"/>
              </w:rPr>
              <w:t>я</w:t>
            </w:r>
            <w:r w:rsidRPr="006C3504">
              <w:rPr>
                <w:lang w:val="bg-BG"/>
              </w:rPr>
              <w:t xml:space="preserve"> и минимални</w:t>
            </w:r>
            <w:r>
              <w:rPr>
                <w:lang w:val="bg-BG"/>
              </w:rPr>
              <w:t>я</w:t>
            </w:r>
            <w:r w:rsidRPr="006C3504">
              <w:rPr>
                <w:lang w:val="bg-BG"/>
              </w:rPr>
              <w:t xml:space="preserve"> </w:t>
            </w:r>
            <w:r>
              <w:rPr>
                <w:lang w:val="bg-BG"/>
              </w:rPr>
              <w:t>осигурител</w:t>
            </w:r>
            <w:r w:rsidR="003E6575">
              <w:rPr>
                <w:lang w:val="bg-BG"/>
              </w:rPr>
              <w:t>е</w:t>
            </w:r>
            <w:r>
              <w:rPr>
                <w:lang w:val="bg-BG"/>
              </w:rPr>
              <w:t>н</w:t>
            </w:r>
            <w:r w:rsidRPr="006C3504">
              <w:rPr>
                <w:lang w:val="bg-BG"/>
              </w:rPr>
              <w:t xml:space="preserve"> доход.</w:t>
            </w:r>
          </w:p>
        </w:tc>
        <w:tc>
          <w:tcPr>
            <w:tcW w:w="1716" w:type="pct"/>
          </w:tcPr>
          <w:p w14:paraId="46C0E5DC" w14:textId="77777777" w:rsidR="00B8298A" w:rsidRPr="006C3504" w:rsidRDefault="00B8298A" w:rsidP="00B8298A">
            <w:pPr>
              <w:pStyle w:val="TableCell"/>
              <w:jc w:val="both"/>
              <w:rPr>
                <w:lang w:val="bg-BG"/>
              </w:rPr>
            </w:pPr>
            <w:r w:rsidRPr="00303576">
              <w:rPr>
                <w:b/>
                <w:lang w:val="bg-BG"/>
              </w:rPr>
              <w:t>Република България изразява съгласие с препоръката.</w:t>
            </w:r>
          </w:p>
        </w:tc>
      </w:tr>
      <w:tr w:rsidR="00B8298A" w:rsidRPr="00005C86" w14:paraId="09BCA9CA" w14:textId="77777777" w:rsidTr="003025A7">
        <w:tc>
          <w:tcPr>
            <w:tcW w:w="1567" w:type="pct"/>
          </w:tcPr>
          <w:p w14:paraId="17B057A8" w14:textId="77777777" w:rsidR="00B8298A" w:rsidRPr="006C3504" w:rsidRDefault="00B8298A" w:rsidP="00B8298A">
            <w:pPr>
              <w:pStyle w:val="TableRow"/>
              <w:rPr>
                <w:lang w:val="bg-BG"/>
              </w:rPr>
            </w:pPr>
            <w:r>
              <w:rPr>
                <w:lang w:val="bg-BG"/>
              </w:rPr>
              <w:t>Д</w:t>
            </w:r>
            <w:r w:rsidRPr="006C3504">
              <w:rPr>
                <w:lang w:val="bg-BG"/>
              </w:rPr>
              <w:t>ефицит</w:t>
            </w:r>
            <w:r>
              <w:rPr>
                <w:lang w:val="bg-BG"/>
              </w:rPr>
              <w:t>ът на пенсионната система</w:t>
            </w:r>
            <w:r w:rsidRPr="006C3504">
              <w:rPr>
                <w:lang w:val="bg-BG"/>
              </w:rPr>
              <w:t xml:space="preserve"> се финансира от държавата, както се изисква от закона.</w:t>
            </w:r>
          </w:p>
        </w:tc>
        <w:tc>
          <w:tcPr>
            <w:tcW w:w="1717" w:type="pct"/>
          </w:tcPr>
          <w:p w14:paraId="631F774F" w14:textId="77777777" w:rsidR="00B8298A" w:rsidRPr="006C3504" w:rsidRDefault="00B8298A" w:rsidP="00B8298A">
            <w:pPr>
              <w:pStyle w:val="TableCell"/>
              <w:jc w:val="both"/>
              <w:rPr>
                <w:lang w:val="bg-BG"/>
              </w:rPr>
            </w:pPr>
            <w:r>
              <w:rPr>
                <w:lang w:val="bg-BG"/>
              </w:rPr>
              <w:t>Да се замени</w:t>
            </w:r>
            <w:r w:rsidRPr="006C3504">
              <w:rPr>
                <w:lang w:val="bg-BG"/>
              </w:rPr>
              <w:t xml:space="preserve"> изискването за държавно финансиране с </w:t>
            </w:r>
            <w:r>
              <w:rPr>
                <w:lang w:val="bg-BG"/>
              </w:rPr>
              <w:t xml:space="preserve">въвеждането на разходно </w:t>
            </w:r>
            <w:r w:rsidRPr="006C3504">
              <w:rPr>
                <w:lang w:val="bg-BG"/>
              </w:rPr>
              <w:t xml:space="preserve">правило за това колко финансиране </w:t>
            </w:r>
            <w:r>
              <w:rPr>
                <w:lang w:val="bg-BG"/>
              </w:rPr>
              <w:t xml:space="preserve">да </w:t>
            </w:r>
            <w:r w:rsidRPr="006C3504">
              <w:rPr>
                <w:lang w:val="bg-BG"/>
              </w:rPr>
              <w:t xml:space="preserve">идва от </w:t>
            </w:r>
            <w:r>
              <w:rPr>
                <w:lang w:val="bg-BG"/>
              </w:rPr>
              <w:t>централния</w:t>
            </w:r>
            <w:r w:rsidRPr="006C3504">
              <w:rPr>
                <w:lang w:val="bg-BG"/>
              </w:rPr>
              <w:t xml:space="preserve"> бюджет.</w:t>
            </w:r>
          </w:p>
        </w:tc>
        <w:tc>
          <w:tcPr>
            <w:tcW w:w="1716" w:type="pct"/>
          </w:tcPr>
          <w:p w14:paraId="49310324" w14:textId="77777777" w:rsidR="00B8298A" w:rsidRPr="00ED04CA" w:rsidRDefault="00B8298A" w:rsidP="00B8298A">
            <w:pPr>
              <w:pStyle w:val="TableCell"/>
              <w:jc w:val="left"/>
              <w:rPr>
                <w:b/>
                <w:lang w:val="bg-BG"/>
              </w:rPr>
            </w:pPr>
            <w:r w:rsidRPr="00ED04CA">
              <w:rPr>
                <w:b/>
                <w:lang w:val="bg-BG"/>
              </w:rPr>
              <w:t>Република България изразява несъгласие с препоръката и предлага да отпадне:</w:t>
            </w:r>
          </w:p>
          <w:p w14:paraId="78525610" w14:textId="77777777" w:rsidR="00B8298A" w:rsidRPr="006C3504" w:rsidRDefault="003A5D6E" w:rsidP="00D4440E">
            <w:pPr>
              <w:pStyle w:val="TableCell"/>
              <w:jc w:val="both"/>
              <w:rPr>
                <w:lang w:val="bg-BG"/>
              </w:rPr>
            </w:pPr>
            <w:r>
              <w:rPr>
                <w:b/>
                <w:i/>
                <w:u w:val="single"/>
                <w:lang w:val="bg-BG"/>
              </w:rPr>
              <w:t>Мотиви</w:t>
            </w:r>
            <w:r w:rsidR="00B8298A" w:rsidRPr="009E25EC">
              <w:rPr>
                <w:b/>
                <w:i/>
                <w:u w:val="single"/>
                <w:lang w:val="bg-BG"/>
              </w:rPr>
              <w:t>:</w:t>
            </w:r>
            <w:r w:rsidR="00B8298A">
              <w:rPr>
                <w:lang w:val="bg-BG"/>
              </w:rPr>
              <w:t xml:space="preserve"> </w:t>
            </w:r>
            <w:r w:rsidR="00B8298A" w:rsidRPr="00531B50">
              <w:rPr>
                <w:lang w:val="bg-BG"/>
              </w:rPr>
              <w:t xml:space="preserve">Тази препоръка не може да бъде приета. Въвеждането на специфично правило за това колко финансиране идва от сектор „Държавно управление“ лишава системата за социално осигуряване от необходимата </w:t>
            </w:r>
            <w:r w:rsidR="00B8298A" w:rsidRPr="00531B50">
              <w:rPr>
                <w:rFonts w:ascii="Calibri" w:hAnsi="Calibri" w:cs="Calibri"/>
                <w:lang w:val="bg-BG"/>
              </w:rPr>
              <w:t>ѝ</w:t>
            </w:r>
            <w:r w:rsidR="00B8298A" w:rsidRPr="00531B50">
              <w:rPr>
                <w:lang w:val="bg-BG"/>
              </w:rPr>
              <w:t xml:space="preserve"> </w:t>
            </w:r>
            <w:r w:rsidR="00B8298A" w:rsidRPr="00531B50">
              <w:rPr>
                <w:rFonts w:cs="Arial Narrow"/>
                <w:lang w:val="bg-BG"/>
              </w:rPr>
              <w:t>гъвкавост</w:t>
            </w:r>
            <w:r w:rsidR="00B8298A" w:rsidRPr="00531B50">
              <w:rPr>
                <w:lang w:val="bg-BG"/>
              </w:rPr>
              <w:t xml:space="preserve">. </w:t>
            </w:r>
            <w:r w:rsidR="00B8298A" w:rsidRPr="00531B50">
              <w:rPr>
                <w:rFonts w:cs="Arial Narrow"/>
                <w:lang w:val="bg-BG"/>
              </w:rPr>
              <w:t>Това</w:t>
            </w:r>
            <w:r w:rsidR="00B8298A" w:rsidRPr="00531B50">
              <w:rPr>
                <w:lang w:val="bg-BG"/>
              </w:rPr>
              <w:t xml:space="preserve"> </w:t>
            </w:r>
            <w:r w:rsidR="00B8298A" w:rsidRPr="00531B50">
              <w:rPr>
                <w:rFonts w:cs="Arial Narrow"/>
                <w:lang w:val="bg-BG"/>
              </w:rPr>
              <w:t>се</w:t>
            </w:r>
            <w:r w:rsidR="00B8298A" w:rsidRPr="00531B50">
              <w:rPr>
                <w:lang w:val="bg-BG"/>
              </w:rPr>
              <w:t xml:space="preserve"> </w:t>
            </w:r>
            <w:r w:rsidR="00B8298A" w:rsidRPr="00531B50">
              <w:rPr>
                <w:rFonts w:cs="Arial Narrow"/>
                <w:lang w:val="bg-BG"/>
              </w:rPr>
              <w:t>дължи</w:t>
            </w:r>
            <w:r w:rsidR="00B8298A" w:rsidRPr="00531B50">
              <w:rPr>
                <w:lang w:val="bg-BG"/>
              </w:rPr>
              <w:t xml:space="preserve"> </w:t>
            </w:r>
            <w:r w:rsidR="00B8298A" w:rsidRPr="00531B50">
              <w:rPr>
                <w:rFonts w:cs="Arial Narrow"/>
                <w:lang w:val="bg-BG"/>
              </w:rPr>
              <w:t>на</w:t>
            </w:r>
            <w:r w:rsidR="00B8298A" w:rsidRPr="00531B50">
              <w:rPr>
                <w:lang w:val="bg-BG"/>
              </w:rPr>
              <w:t xml:space="preserve"> </w:t>
            </w:r>
            <w:r w:rsidR="00B8298A" w:rsidRPr="00531B50">
              <w:rPr>
                <w:rFonts w:cs="Arial Narrow"/>
                <w:lang w:val="bg-BG"/>
              </w:rPr>
              <w:t>факта</w:t>
            </w:r>
            <w:r w:rsidR="00B8298A" w:rsidRPr="00531B50">
              <w:rPr>
                <w:lang w:val="bg-BG"/>
              </w:rPr>
              <w:t xml:space="preserve">, </w:t>
            </w:r>
            <w:r w:rsidR="00B8298A" w:rsidRPr="00531B50">
              <w:rPr>
                <w:rFonts w:cs="Arial Narrow"/>
                <w:lang w:val="bg-BG"/>
              </w:rPr>
              <w:t>че</w:t>
            </w:r>
            <w:r w:rsidR="00B8298A" w:rsidRPr="00531B50">
              <w:rPr>
                <w:lang w:val="bg-BG"/>
              </w:rPr>
              <w:t xml:space="preserve"> </w:t>
            </w:r>
            <w:r w:rsidR="00B8298A" w:rsidRPr="00531B50">
              <w:rPr>
                <w:rFonts w:cs="Arial Narrow"/>
                <w:lang w:val="bg-BG"/>
              </w:rPr>
              <w:t>както</w:t>
            </w:r>
            <w:r w:rsidR="00B8298A" w:rsidRPr="00531B50">
              <w:rPr>
                <w:lang w:val="bg-BG"/>
              </w:rPr>
              <w:t xml:space="preserve"> </w:t>
            </w:r>
            <w:r w:rsidR="00B8298A" w:rsidRPr="00531B50">
              <w:rPr>
                <w:rFonts w:cs="Arial Narrow"/>
                <w:lang w:val="bg-BG"/>
              </w:rPr>
              <w:t>броят</w:t>
            </w:r>
            <w:r w:rsidR="00B8298A" w:rsidRPr="00531B50">
              <w:rPr>
                <w:lang w:val="bg-BG"/>
              </w:rPr>
              <w:t xml:space="preserve"> </w:t>
            </w:r>
            <w:r w:rsidR="00B8298A" w:rsidRPr="00531B50">
              <w:rPr>
                <w:rFonts w:cs="Arial Narrow"/>
                <w:lang w:val="bg-BG"/>
              </w:rPr>
              <w:t>на</w:t>
            </w:r>
            <w:r w:rsidR="00B8298A" w:rsidRPr="00531B50">
              <w:rPr>
                <w:lang w:val="bg-BG"/>
              </w:rPr>
              <w:t xml:space="preserve"> </w:t>
            </w:r>
            <w:r w:rsidR="00B8298A" w:rsidRPr="00531B50">
              <w:rPr>
                <w:rFonts w:cs="Arial Narrow"/>
                <w:lang w:val="bg-BG"/>
              </w:rPr>
              <w:t>осигурените</w:t>
            </w:r>
            <w:r w:rsidR="00B8298A" w:rsidRPr="00531B50">
              <w:rPr>
                <w:lang w:val="bg-BG"/>
              </w:rPr>
              <w:t xml:space="preserve"> </w:t>
            </w:r>
            <w:r w:rsidR="00B8298A" w:rsidRPr="00531B50">
              <w:rPr>
                <w:rFonts w:cs="Arial Narrow"/>
                <w:lang w:val="bg-BG"/>
              </w:rPr>
              <w:t>лица</w:t>
            </w:r>
            <w:r w:rsidR="00B8298A" w:rsidRPr="00531B50">
              <w:rPr>
                <w:lang w:val="bg-BG"/>
              </w:rPr>
              <w:t xml:space="preserve">, </w:t>
            </w:r>
            <w:r w:rsidR="00B8298A" w:rsidRPr="00531B50">
              <w:rPr>
                <w:rFonts w:cs="Arial Narrow"/>
                <w:lang w:val="bg-BG"/>
              </w:rPr>
              <w:t>така</w:t>
            </w:r>
            <w:r w:rsidR="00B8298A" w:rsidRPr="00531B50">
              <w:rPr>
                <w:lang w:val="bg-BG"/>
              </w:rPr>
              <w:t xml:space="preserve"> </w:t>
            </w:r>
            <w:r w:rsidR="00B8298A" w:rsidRPr="00531B50">
              <w:rPr>
                <w:rFonts w:cs="Arial Narrow"/>
                <w:lang w:val="bg-BG"/>
              </w:rPr>
              <w:t>и</w:t>
            </w:r>
            <w:r w:rsidR="00B8298A" w:rsidRPr="00531B50">
              <w:rPr>
                <w:lang w:val="bg-BG"/>
              </w:rPr>
              <w:t xml:space="preserve"> </w:t>
            </w:r>
            <w:r w:rsidR="00B8298A" w:rsidRPr="00531B50">
              <w:rPr>
                <w:rFonts w:cs="Arial Narrow"/>
                <w:lang w:val="bg-BG"/>
              </w:rPr>
              <w:t>на</w:t>
            </w:r>
            <w:r w:rsidR="00B8298A" w:rsidRPr="00531B50">
              <w:rPr>
                <w:lang w:val="bg-BG"/>
              </w:rPr>
              <w:t xml:space="preserve"> </w:t>
            </w:r>
            <w:r w:rsidR="00B8298A" w:rsidRPr="00531B50">
              <w:rPr>
                <w:rFonts w:cs="Arial Narrow"/>
                <w:lang w:val="bg-BG"/>
              </w:rPr>
              <w:t>п</w:t>
            </w:r>
            <w:r w:rsidR="00B8298A" w:rsidRPr="00531B50">
              <w:rPr>
                <w:lang w:val="bg-BG"/>
              </w:rPr>
              <w:t>олучаващите парични обезщетения и пенсии</w:t>
            </w:r>
            <w:r w:rsidR="00B8298A">
              <w:rPr>
                <w:lang w:val="bg-BG"/>
              </w:rPr>
              <w:t>,</w:t>
            </w:r>
            <w:r w:rsidR="00B8298A" w:rsidRPr="00531B50">
              <w:rPr>
                <w:lang w:val="bg-BG"/>
              </w:rPr>
              <w:t xml:space="preserve"> се променя ежегодно. Въпреки това</w:t>
            </w:r>
            <w:r w:rsidR="00B8298A">
              <w:rPr>
                <w:lang w:val="bg-BG"/>
              </w:rPr>
              <w:t>,</w:t>
            </w:r>
            <w:r w:rsidR="00B8298A" w:rsidRPr="00531B50">
              <w:rPr>
                <w:lang w:val="bg-BG"/>
              </w:rPr>
              <w:t xml:space="preserve"> държавата е задължена да осигури редовното изплащане на</w:t>
            </w:r>
            <w:r w:rsidR="00B8298A">
              <w:rPr>
                <w:lang w:val="bg-BG"/>
              </w:rPr>
              <w:t xml:space="preserve"> паричните обезщетения и пенсии</w:t>
            </w:r>
            <w:r w:rsidR="00B8298A" w:rsidRPr="00531B50">
              <w:rPr>
                <w:lang w:val="bg-BG"/>
              </w:rPr>
              <w:t xml:space="preserve"> без да намалява техния размер. В момента </w:t>
            </w:r>
            <w:r w:rsidR="00B8298A">
              <w:rPr>
                <w:lang w:val="bg-BG"/>
              </w:rPr>
              <w:t>се обсъждат</w:t>
            </w:r>
            <w:r w:rsidR="00B8298A" w:rsidRPr="00531B50">
              <w:rPr>
                <w:lang w:val="bg-BG"/>
              </w:rPr>
              <w:t xml:space="preserve"> мерки, които ще доведат до увеличаване на приходите и намаляване на разходите в системата за социално осигуряване, </w:t>
            </w:r>
            <w:r w:rsidR="00B8298A">
              <w:rPr>
                <w:lang w:val="bg-BG"/>
              </w:rPr>
              <w:t>с което се очаква</w:t>
            </w:r>
            <w:r w:rsidR="00B8298A" w:rsidRPr="00531B50">
              <w:rPr>
                <w:lang w:val="bg-BG"/>
              </w:rPr>
              <w:t>, че финансовото състояние на системата за социално осигуряване ще се подобри.</w:t>
            </w:r>
          </w:p>
        </w:tc>
      </w:tr>
      <w:tr w:rsidR="00B8298A" w:rsidRPr="006C3504" w14:paraId="443FAF4B" w14:textId="77777777" w:rsidTr="008C2A4A">
        <w:tc>
          <w:tcPr>
            <w:tcW w:w="3284" w:type="pct"/>
            <w:gridSpan w:val="2"/>
            <w:tcBorders>
              <w:top w:val="single" w:sz="4" w:space="0" w:color="5B9BD5" w:themeColor="accent1"/>
              <w:bottom w:val="single" w:sz="4" w:space="0" w:color="5B9BD5" w:themeColor="accent1"/>
            </w:tcBorders>
          </w:tcPr>
          <w:p w14:paraId="25CA552B" w14:textId="77777777" w:rsidR="00B8298A" w:rsidRPr="006C3504" w:rsidRDefault="00B8298A" w:rsidP="00B8298A">
            <w:pPr>
              <w:pStyle w:val="TableColumn"/>
              <w:rPr>
                <w:b/>
                <w:bCs/>
                <w:lang w:val="bg-BG"/>
              </w:rPr>
            </w:pPr>
            <w:r w:rsidRPr="006C3504">
              <w:rPr>
                <w:b/>
                <w:bCs/>
                <w:lang w:val="bg-BG"/>
              </w:rPr>
              <w:t>Осигуряване на дългосрочен растеж</w:t>
            </w:r>
          </w:p>
        </w:tc>
        <w:tc>
          <w:tcPr>
            <w:tcW w:w="1716" w:type="pct"/>
            <w:tcBorders>
              <w:top w:val="single" w:sz="4" w:space="0" w:color="5B9BD5" w:themeColor="accent1"/>
              <w:bottom w:val="single" w:sz="4" w:space="0" w:color="5B9BD5" w:themeColor="accent1"/>
            </w:tcBorders>
          </w:tcPr>
          <w:p w14:paraId="5E322198" w14:textId="77777777" w:rsidR="00B8298A" w:rsidRPr="006C3504" w:rsidRDefault="00B8298A" w:rsidP="00B8298A">
            <w:pPr>
              <w:pStyle w:val="TableColumn"/>
              <w:rPr>
                <w:b/>
                <w:bCs/>
                <w:lang w:val="bg-BG"/>
              </w:rPr>
            </w:pPr>
          </w:p>
        </w:tc>
      </w:tr>
      <w:tr w:rsidR="00B8298A" w:rsidRPr="00005C86" w14:paraId="738421F2" w14:textId="77777777" w:rsidTr="003025A7">
        <w:tc>
          <w:tcPr>
            <w:tcW w:w="1567" w:type="pct"/>
            <w:tcBorders>
              <w:top w:val="single" w:sz="4" w:space="0" w:color="5B9BD5" w:themeColor="accent1"/>
            </w:tcBorders>
          </w:tcPr>
          <w:p w14:paraId="5A349960" w14:textId="77777777" w:rsidR="00B8298A" w:rsidRPr="00FA3605" w:rsidRDefault="00B8298A" w:rsidP="00B8298A">
            <w:pPr>
              <w:pStyle w:val="TableRow"/>
              <w:rPr>
                <w:b/>
                <w:lang w:val="bg-BG"/>
              </w:rPr>
            </w:pPr>
            <w:r w:rsidRPr="00B8298A">
              <w:rPr>
                <w:b/>
                <w:lang w:val="bg-BG"/>
              </w:rPr>
              <w:t>Нетните миграционни потоци бяха отрицателни дълго време, като станаха положителни едва през последните години, а много имигранти остават само временно.</w:t>
            </w:r>
          </w:p>
        </w:tc>
        <w:tc>
          <w:tcPr>
            <w:tcW w:w="1717" w:type="pct"/>
            <w:tcBorders>
              <w:top w:val="single" w:sz="4" w:space="0" w:color="5B9BD5" w:themeColor="accent1"/>
            </w:tcBorders>
          </w:tcPr>
          <w:p w14:paraId="2EECDC81" w14:textId="77777777" w:rsidR="00B8298A" w:rsidRPr="006C3504" w:rsidRDefault="00B8298A" w:rsidP="00B8298A">
            <w:pPr>
              <w:pStyle w:val="TableCell"/>
              <w:jc w:val="both"/>
              <w:rPr>
                <w:b/>
                <w:bCs/>
                <w:lang w:val="bg-BG"/>
              </w:rPr>
            </w:pPr>
            <w:r w:rsidRPr="006C3504">
              <w:rPr>
                <w:b/>
                <w:bCs/>
                <w:lang w:val="bg-BG"/>
              </w:rPr>
              <w:t>Да се създаде цялостна стратегия с мерки за интеграция, за да се привлекат необходимите имигранти и да се улесни завръщането на българите.</w:t>
            </w:r>
          </w:p>
        </w:tc>
        <w:tc>
          <w:tcPr>
            <w:tcW w:w="1716" w:type="pct"/>
            <w:tcBorders>
              <w:top w:val="single" w:sz="4" w:space="0" w:color="5B9BD5" w:themeColor="accent1"/>
            </w:tcBorders>
          </w:tcPr>
          <w:p w14:paraId="4FD41887" w14:textId="77777777" w:rsidR="0009465C" w:rsidRDefault="0009465C" w:rsidP="0009465C">
            <w:pPr>
              <w:spacing w:before="4" w:after="6"/>
              <w:rPr>
                <w:b/>
                <w:bCs/>
                <w:lang w:val="bg-BG"/>
              </w:rPr>
            </w:pPr>
            <w:r w:rsidRPr="00531B50">
              <w:rPr>
                <w:b/>
                <w:color w:val="000000" w:themeColor="text1"/>
                <w:lang w:val="bg-BG"/>
              </w:rPr>
              <w:t>Република България изразява частично съгласие с</w:t>
            </w:r>
            <w:r>
              <w:rPr>
                <w:b/>
                <w:color w:val="000000" w:themeColor="text1"/>
                <w:lang w:val="bg-BG"/>
              </w:rPr>
              <w:t>ъс заключението и с препоръката, като предлага следната редакция:</w:t>
            </w:r>
          </w:p>
          <w:p w14:paraId="16BDE0D1" w14:textId="77777777" w:rsidR="0009465C" w:rsidRPr="00FF2DF1" w:rsidRDefault="00E24E2A" w:rsidP="0009465C">
            <w:pPr>
              <w:spacing w:before="4" w:after="6"/>
              <w:rPr>
                <w:bCs/>
                <w:lang w:val="bg-BG"/>
              </w:rPr>
            </w:pPr>
            <w:r w:rsidRPr="009E25EC">
              <w:rPr>
                <w:b/>
                <w:bCs/>
                <w:i/>
                <w:u w:val="single"/>
                <w:lang w:val="bg-BG"/>
              </w:rPr>
              <w:t>Предложение за редакция:</w:t>
            </w:r>
            <w:r>
              <w:rPr>
                <w:b/>
                <w:bCs/>
                <w:lang w:val="bg-BG"/>
              </w:rPr>
              <w:t xml:space="preserve"> </w:t>
            </w:r>
            <w:r w:rsidR="0009465C" w:rsidRPr="00FF2DF1">
              <w:rPr>
                <w:bCs/>
                <w:lang w:val="bg-BG"/>
              </w:rPr>
              <w:t xml:space="preserve">Да </w:t>
            </w:r>
            <w:r w:rsidR="001C0FC3" w:rsidRPr="006C3504">
              <w:rPr>
                <w:b/>
                <w:bCs/>
                <w:lang w:val="bg-BG"/>
              </w:rPr>
              <w:t xml:space="preserve"> </w:t>
            </w:r>
            <w:r w:rsidR="001C0FC3" w:rsidRPr="009E25EC">
              <w:rPr>
                <w:bCs/>
                <w:strike/>
                <w:lang w:val="bg-BG"/>
              </w:rPr>
              <w:t>се създаде</w:t>
            </w:r>
            <w:r w:rsidR="001C0FC3" w:rsidRPr="006C3504">
              <w:rPr>
                <w:b/>
                <w:bCs/>
                <w:lang w:val="bg-BG"/>
              </w:rPr>
              <w:t xml:space="preserve"> </w:t>
            </w:r>
            <w:r w:rsidR="0009465C" w:rsidRPr="00E147CC">
              <w:rPr>
                <w:b/>
                <w:bCs/>
                <w:lang w:val="bg-BG"/>
              </w:rPr>
              <w:t>продължат усилия за създаван</w:t>
            </w:r>
            <w:r w:rsidR="0009465C">
              <w:rPr>
                <w:b/>
                <w:bCs/>
                <w:lang w:val="bg-BG"/>
              </w:rPr>
              <w:t>е</w:t>
            </w:r>
            <w:r w:rsidR="0009465C" w:rsidRPr="00E147CC">
              <w:rPr>
                <w:b/>
                <w:bCs/>
                <w:lang w:val="bg-BG"/>
              </w:rPr>
              <w:t xml:space="preserve"> и реализиране на </w:t>
            </w:r>
            <w:r w:rsidR="0009465C" w:rsidRPr="00FF2DF1">
              <w:rPr>
                <w:bCs/>
                <w:lang w:val="bg-BG"/>
              </w:rPr>
              <w:t>цялостна стратегия с мерки за интеграция, за да се привлекат необходимите имигранти и да се улесни завръщането на българите.</w:t>
            </w:r>
          </w:p>
          <w:p w14:paraId="0D666960" w14:textId="77777777" w:rsidR="00B8298A" w:rsidRPr="00531B50" w:rsidRDefault="003A5D6E" w:rsidP="00B8298A">
            <w:pPr>
              <w:spacing w:before="4" w:after="6"/>
              <w:rPr>
                <w:lang w:val="bg-BG"/>
              </w:rPr>
            </w:pPr>
            <w:r>
              <w:rPr>
                <w:b/>
                <w:i/>
                <w:u w:val="single"/>
                <w:lang w:val="bg-BG"/>
              </w:rPr>
              <w:t>Мотиви</w:t>
            </w:r>
            <w:r w:rsidR="00B8298A" w:rsidRPr="009E25EC">
              <w:rPr>
                <w:b/>
                <w:bCs/>
                <w:i/>
                <w:u w:val="single"/>
                <w:lang w:val="bg-BG"/>
              </w:rPr>
              <w:t>:</w:t>
            </w:r>
            <w:r w:rsidR="00B8298A" w:rsidRPr="00D95315">
              <w:rPr>
                <w:color w:val="000000" w:themeColor="text1"/>
                <w:lang w:val="bg-BG"/>
              </w:rPr>
              <w:t xml:space="preserve"> </w:t>
            </w:r>
            <w:r w:rsidR="00B8298A" w:rsidRPr="00531B50">
              <w:rPr>
                <w:lang w:val="bg-BG"/>
              </w:rPr>
              <w:t xml:space="preserve">Националната стратегия за управление на миграцията и убежището (2025-2030 г.) беше приета от Министерския съвет през септември 2025 г. Този стратегически документ е насочен към управление на границите и най-вече към изграждане на засилен национален капацитет за управление на миграционните потоци и подобрена гранична сигурност, </w:t>
            </w:r>
            <w:r w:rsidR="00B8298A" w:rsidRPr="00531B50">
              <w:rPr>
                <w:lang w:val="bg-BG"/>
              </w:rPr>
              <w:lastRenderedPageBreak/>
              <w:t>както и към мерки за интеграция на м</w:t>
            </w:r>
            <w:r w:rsidR="00B8298A">
              <w:rPr>
                <w:lang w:val="bg-BG"/>
              </w:rPr>
              <w:t>игранти с международна закрила.</w:t>
            </w:r>
          </w:p>
          <w:p w14:paraId="2CE54B3D" w14:textId="77777777" w:rsidR="00B8298A" w:rsidRPr="006C3504" w:rsidRDefault="00B8298A" w:rsidP="00B8298A">
            <w:pPr>
              <w:spacing w:before="4" w:after="6"/>
              <w:rPr>
                <w:lang w:val="bg-BG"/>
              </w:rPr>
            </w:pPr>
            <w:r w:rsidRPr="00531B50">
              <w:rPr>
                <w:lang w:val="bg-BG"/>
              </w:rPr>
              <w:t>Вече започна прилагането на интегрирани мерки за привличане на българи от чужбина. България има Междуинституционален механизъм в подкрепа на привличането на работна сила в страната, който беше одобрен на правителствено ниво и може да се счита за инструмент на национално ниво по темата. Той предвижда сътрудничество между всички компетентни институции. Основната цел на правителството е да създаде благоприятна среда за реинтеграция чрез улеснен достъп до информация, административни услуги и социални механизми.</w:t>
            </w:r>
          </w:p>
        </w:tc>
      </w:tr>
      <w:tr w:rsidR="00B8298A" w:rsidRPr="00005C86" w14:paraId="57BE4508" w14:textId="77777777" w:rsidTr="003025A7">
        <w:trPr>
          <w:trHeight w:val="309"/>
        </w:trPr>
        <w:tc>
          <w:tcPr>
            <w:tcW w:w="1567" w:type="pct"/>
          </w:tcPr>
          <w:p w14:paraId="2F17495C" w14:textId="77777777" w:rsidR="00B8298A" w:rsidRPr="006C3504" w:rsidRDefault="00B8298A" w:rsidP="00B8298A">
            <w:pPr>
              <w:pStyle w:val="TableRow"/>
              <w:rPr>
                <w:lang w:val="bg-BG"/>
              </w:rPr>
            </w:pPr>
            <w:r>
              <w:rPr>
                <w:lang w:val="bg-BG"/>
              </w:rPr>
              <w:lastRenderedPageBreak/>
              <w:t>Има значителен н</w:t>
            </w:r>
            <w:r w:rsidRPr="006C3504">
              <w:rPr>
                <w:lang w:val="bg-BG"/>
              </w:rPr>
              <w:t>едостиг на работна ръка, докато голяма част от хората в трудоспособна възраст не са част от работната сила.</w:t>
            </w:r>
          </w:p>
        </w:tc>
        <w:tc>
          <w:tcPr>
            <w:tcW w:w="1717" w:type="pct"/>
          </w:tcPr>
          <w:p w14:paraId="2B661F6C" w14:textId="77777777" w:rsidR="00B8298A" w:rsidRPr="006C3504" w:rsidRDefault="00B8298A" w:rsidP="00B8298A">
            <w:pPr>
              <w:pStyle w:val="TableCell"/>
              <w:jc w:val="both"/>
              <w:rPr>
                <w:lang w:val="bg-BG"/>
              </w:rPr>
            </w:pPr>
            <w:r>
              <w:rPr>
                <w:lang w:val="bg-BG"/>
              </w:rPr>
              <w:t>Да се вземат предвид</w:t>
            </w:r>
            <w:r w:rsidRPr="006C3504">
              <w:rPr>
                <w:lang w:val="bg-BG"/>
              </w:rPr>
              <w:t xml:space="preserve"> специфичните нужди на ромите при проектирането </w:t>
            </w:r>
            <w:r>
              <w:rPr>
                <w:lang w:val="bg-BG"/>
              </w:rPr>
              <w:t>на</w:t>
            </w:r>
            <w:r w:rsidRPr="006C3504">
              <w:rPr>
                <w:lang w:val="bg-BG"/>
              </w:rPr>
              <w:t xml:space="preserve"> програми на пазара на труда</w:t>
            </w:r>
            <w:r>
              <w:rPr>
                <w:lang w:val="bg-BG"/>
              </w:rPr>
              <w:t xml:space="preserve"> </w:t>
            </w:r>
            <w:r w:rsidRPr="006C3504">
              <w:rPr>
                <w:lang w:val="bg-BG"/>
              </w:rPr>
              <w:t xml:space="preserve">и да се увеличи обхватът на </w:t>
            </w:r>
            <w:r>
              <w:rPr>
                <w:lang w:val="bg-BG"/>
              </w:rPr>
              <w:t>дейността на програмите</w:t>
            </w:r>
            <w:r w:rsidRPr="006C3504">
              <w:rPr>
                <w:lang w:val="bg-BG"/>
              </w:rPr>
              <w:t xml:space="preserve"> </w:t>
            </w:r>
            <w:r>
              <w:rPr>
                <w:lang w:val="bg-BG"/>
              </w:rPr>
              <w:t>в</w:t>
            </w:r>
            <w:r w:rsidRPr="006C3504">
              <w:rPr>
                <w:lang w:val="bg-BG"/>
              </w:rPr>
              <w:t xml:space="preserve"> техните общности, за да се повиши осведомеността за услугите и ползите от Агенцията по заетостта.</w:t>
            </w:r>
          </w:p>
        </w:tc>
        <w:tc>
          <w:tcPr>
            <w:tcW w:w="1716" w:type="pct"/>
          </w:tcPr>
          <w:p w14:paraId="07D03347" w14:textId="77777777" w:rsidR="000852FC" w:rsidRPr="002316A5" w:rsidRDefault="000852FC" w:rsidP="000852FC">
            <w:pPr>
              <w:spacing w:before="4" w:after="6"/>
              <w:rPr>
                <w:b/>
                <w:lang w:val="bg-BG"/>
              </w:rPr>
            </w:pPr>
            <w:r w:rsidRPr="00531B50">
              <w:rPr>
                <w:b/>
                <w:lang w:val="bg-BG"/>
              </w:rPr>
              <w:t>Република България изразява частично съгласие с</w:t>
            </w:r>
            <w:r>
              <w:rPr>
                <w:b/>
                <w:lang w:val="bg-BG"/>
              </w:rPr>
              <w:t>ъс заключението и с препоръката</w:t>
            </w:r>
            <w:r>
              <w:rPr>
                <w:b/>
                <w:color w:val="000000" w:themeColor="text1"/>
                <w:lang w:val="bg-BG"/>
              </w:rPr>
              <w:t>, като предлага следната редакция:</w:t>
            </w:r>
          </w:p>
          <w:p w14:paraId="594BD161" w14:textId="77777777" w:rsidR="000852FC" w:rsidRPr="00940BF6" w:rsidRDefault="00940BF6" w:rsidP="00B8298A">
            <w:pPr>
              <w:pStyle w:val="TableCell"/>
              <w:jc w:val="both"/>
              <w:rPr>
                <w:lang w:val="bg-BG"/>
              </w:rPr>
            </w:pPr>
            <w:r w:rsidRPr="009E25EC">
              <w:rPr>
                <w:b/>
                <w:bCs/>
                <w:i/>
                <w:color w:val="auto"/>
                <w:u w:val="single"/>
                <w:lang w:val="bg-BG"/>
              </w:rPr>
              <w:t>Предложение за редакция:</w:t>
            </w:r>
            <w:r>
              <w:rPr>
                <w:b/>
                <w:lang w:val="bg-BG"/>
              </w:rPr>
              <w:t xml:space="preserve"> </w:t>
            </w:r>
            <w:r w:rsidR="000852FC" w:rsidRPr="000852FC">
              <w:rPr>
                <w:b/>
                <w:lang w:val="bg-BG"/>
              </w:rPr>
              <w:t xml:space="preserve">Да продължат </w:t>
            </w:r>
            <w:r w:rsidR="000852FC" w:rsidRPr="000852FC">
              <w:rPr>
                <w:lang w:val="bg-BG"/>
              </w:rPr>
              <w:t>да се вземат</w:t>
            </w:r>
            <w:r w:rsidR="000852FC">
              <w:rPr>
                <w:lang w:val="bg-BG"/>
              </w:rPr>
              <w:t xml:space="preserve"> предвид</w:t>
            </w:r>
            <w:r w:rsidR="000852FC" w:rsidRPr="006C3504">
              <w:rPr>
                <w:lang w:val="bg-BG"/>
              </w:rPr>
              <w:t xml:space="preserve"> специфичните нужди на ромите при проектирането </w:t>
            </w:r>
            <w:r w:rsidR="000852FC">
              <w:rPr>
                <w:lang w:val="bg-BG"/>
              </w:rPr>
              <w:t>на</w:t>
            </w:r>
            <w:r w:rsidR="000852FC" w:rsidRPr="006C3504">
              <w:rPr>
                <w:lang w:val="bg-BG"/>
              </w:rPr>
              <w:t xml:space="preserve"> програми на пазара на труда</w:t>
            </w:r>
            <w:r w:rsidR="000852FC">
              <w:rPr>
                <w:lang w:val="bg-BG"/>
              </w:rPr>
              <w:t xml:space="preserve"> </w:t>
            </w:r>
            <w:r w:rsidR="000852FC" w:rsidRPr="006C3504">
              <w:rPr>
                <w:lang w:val="bg-BG"/>
              </w:rPr>
              <w:t xml:space="preserve">и да се увеличи обхватът на </w:t>
            </w:r>
            <w:r w:rsidR="000852FC">
              <w:rPr>
                <w:lang w:val="bg-BG"/>
              </w:rPr>
              <w:t>дейността на програмите</w:t>
            </w:r>
            <w:r w:rsidR="000852FC" w:rsidRPr="006C3504">
              <w:rPr>
                <w:lang w:val="bg-BG"/>
              </w:rPr>
              <w:t xml:space="preserve"> </w:t>
            </w:r>
            <w:r w:rsidR="000852FC">
              <w:rPr>
                <w:lang w:val="bg-BG"/>
              </w:rPr>
              <w:t>в</w:t>
            </w:r>
            <w:r w:rsidR="000852FC" w:rsidRPr="006C3504">
              <w:rPr>
                <w:lang w:val="bg-BG"/>
              </w:rPr>
              <w:t xml:space="preserve"> техните общности, за да се повиши осведомеността за услугите и ползите от Агенцията по заетостта.</w:t>
            </w:r>
          </w:p>
          <w:p w14:paraId="4CAC64FB" w14:textId="77777777" w:rsidR="00B8298A" w:rsidRPr="00531B50" w:rsidRDefault="003A5D6E" w:rsidP="00B8298A">
            <w:pPr>
              <w:pStyle w:val="TableCell"/>
              <w:jc w:val="both"/>
              <w:rPr>
                <w:lang w:val="bg-BG"/>
              </w:rPr>
            </w:pPr>
            <w:r>
              <w:rPr>
                <w:b/>
                <w:i/>
                <w:u w:val="single"/>
                <w:lang w:val="bg-BG"/>
              </w:rPr>
              <w:t>Мотиви</w:t>
            </w:r>
            <w:r w:rsidR="00B8298A" w:rsidRPr="009E25EC">
              <w:rPr>
                <w:b/>
                <w:bCs/>
                <w:i/>
                <w:color w:val="auto"/>
                <w:u w:val="single"/>
                <w:lang w:val="bg-BG"/>
              </w:rPr>
              <w:t>:</w:t>
            </w:r>
            <w:r w:rsidR="00B8298A">
              <w:rPr>
                <w:lang w:val="bg-BG"/>
              </w:rPr>
              <w:t xml:space="preserve"> </w:t>
            </w:r>
            <w:r w:rsidR="00B8298A" w:rsidRPr="00531B50">
              <w:rPr>
                <w:lang w:val="bg-BG"/>
              </w:rPr>
              <w:t>Следва да се отбележи, че за изпълнението му са предприети следните действия:</w:t>
            </w:r>
          </w:p>
          <w:p w14:paraId="0CAADCDC" w14:textId="77777777" w:rsidR="00B8298A" w:rsidRPr="00531B50" w:rsidRDefault="00B8298A" w:rsidP="00B8298A">
            <w:pPr>
              <w:pStyle w:val="TableCell"/>
              <w:jc w:val="both"/>
              <w:rPr>
                <w:lang w:val="bg-BG"/>
              </w:rPr>
            </w:pPr>
            <w:r w:rsidRPr="00531B50">
              <w:rPr>
                <w:lang w:val="bg-BG"/>
              </w:rPr>
              <w:t>- Създадени са 14 клуба за активиране извън бюрата за работа, където неактивните лица могат да получат информация за услугите, предлагани от бюрата за работа.</w:t>
            </w:r>
          </w:p>
          <w:p w14:paraId="11E79813" w14:textId="77777777" w:rsidR="00B8298A" w:rsidRPr="00531B50" w:rsidRDefault="00B8298A" w:rsidP="00B8298A">
            <w:pPr>
              <w:pStyle w:val="TableCell"/>
              <w:jc w:val="both"/>
              <w:rPr>
                <w:lang w:val="bg-BG"/>
              </w:rPr>
            </w:pPr>
            <w:r w:rsidRPr="00531B50">
              <w:rPr>
                <w:lang w:val="bg-BG"/>
              </w:rPr>
              <w:t>- За да се подобри обхватът и насочването на мерките за активиране, в края на май 2025 г. Министерският съвет прие Механизъм за обмен на данни между институциите относно икономически неактивните лица.</w:t>
            </w:r>
          </w:p>
          <w:p w14:paraId="7CC1D48F" w14:textId="77777777" w:rsidR="00B8298A" w:rsidRPr="00531B50" w:rsidRDefault="00B8298A" w:rsidP="00B8298A">
            <w:pPr>
              <w:pStyle w:val="TableCell"/>
              <w:jc w:val="both"/>
              <w:rPr>
                <w:lang w:val="bg-BG"/>
              </w:rPr>
            </w:pPr>
            <w:r w:rsidRPr="00531B50">
              <w:rPr>
                <w:lang w:val="bg-BG"/>
              </w:rPr>
              <w:t>- За да се подобри достъпът до обучение и заетост на нискообразовани и неграмотни безработни, включително роми, до края на 2025 г. ще бъде стартирано пилотно обучение (финансирано от държавния бюджет).</w:t>
            </w:r>
          </w:p>
          <w:p w14:paraId="330472FA" w14:textId="77777777" w:rsidR="00B8298A" w:rsidRPr="00531B50" w:rsidRDefault="00B8298A" w:rsidP="00B8298A">
            <w:pPr>
              <w:pStyle w:val="TableCell"/>
              <w:jc w:val="both"/>
              <w:rPr>
                <w:lang w:val="bg-BG"/>
              </w:rPr>
            </w:pPr>
            <w:r w:rsidRPr="00531B50">
              <w:rPr>
                <w:lang w:val="bg-BG"/>
              </w:rPr>
              <w:t>- Ромските медиатори, работещи в бюрата за работа, продължават да провеждат групови и индивидуални срещи с неактивни лица от ромски произход. През 2024 г. те са мотивирали над 8 900 лица, самоопределили се като роми, да се регистрират като безработни в бюрата за работа.</w:t>
            </w:r>
          </w:p>
          <w:p w14:paraId="4CBBB291" w14:textId="77777777" w:rsidR="00B8298A" w:rsidRPr="00531B50" w:rsidRDefault="00B8298A" w:rsidP="003E6575">
            <w:pPr>
              <w:pStyle w:val="TableCell"/>
              <w:jc w:val="both"/>
              <w:rPr>
                <w:lang w:val="bg-BG"/>
              </w:rPr>
            </w:pPr>
            <w:r w:rsidRPr="00531B50">
              <w:rPr>
                <w:lang w:val="bg-BG"/>
              </w:rPr>
              <w:t>- Финансиране от ЕСФ+ вече е предоставено за подкрепа на маргинализирани групи, като например ромското население.</w:t>
            </w:r>
          </w:p>
        </w:tc>
      </w:tr>
      <w:tr w:rsidR="00B8298A" w:rsidRPr="00005C86" w14:paraId="00F5A592" w14:textId="77777777" w:rsidTr="003025A7">
        <w:trPr>
          <w:trHeight w:val="275"/>
        </w:trPr>
        <w:tc>
          <w:tcPr>
            <w:tcW w:w="1567" w:type="pct"/>
            <w:tcBorders>
              <w:bottom w:val="single" w:sz="4" w:space="0" w:color="5B9BD5" w:themeColor="accent1"/>
            </w:tcBorders>
          </w:tcPr>
          <w:p w14:paraId="396B3460" w14:textId="77777777" w:rsidR="00B8298A" w:rsidRPr="006C3504" w:rsidRDefault="00B8298A" w:rsidP="00B8298A">
            <w:pPr>
              <w:pStyle w:val="TableRow"/>
              <w:rPr>
                <w:lang w:val="bg-BG"/>
              </w:rPr>
            </w:pPr>
            <w:r w:rsidRPr="006C3504">
              <w:rPr>
                <w:lang w:val="bg-BG"/>
              </w:rPr>
              <w:t>Много неактивни хора не се свързват с Агенцията по заетостта, като същевременно има сериозни пропуски в здравното осигуряване.</w:t>
            </w:r>
          </w:p>
        </w:tc>
        <w:tc>
          <w:tcPr>
            <w:tcW w:w="1717" w:type="pct"/>
            <w:tcBorders>
              <w:bottom w:val="single" w:sz="4" w:space="0" w:color="5B9BD5" w:themeColor="accent1"/>
            </w:tcBorders>
          </w:tcPr>
          <w:p w14:paraId="60C51300" w14:textId="77777777" w:rsidR="00B8298A" w:rsidRPr="006C3504" w:rsidRDefault="00B8298A" w:rsidP="00B8298A">
            <w:pPr>
              <w:pStyle w:val="TableCell"/>
              <w:jc w:val="both"/>
              <w:rPr>
                <w:lang w:val="bg-BG"/>
              </w:rPr>
            </w:pPr>
            <w:r>
              <w:rPr>
                <w:lang w:val="bg-BG"/>
              </w:rPr>
              <w:t xml:space="preserve">Да се повиши </w:t>
            </w:r>
            <w:r w:rsidRPr="006C3504">
              <w:rPr>
                <w:lang w:val="bg-BG"/>
              </w:rPr>
              <w:t>стимулирането за регистриране в Агенцията по заетостта, включително като се обмисли предоставяне на минимално (социално) здравно покритие с шестмесечен срок за регистрираните лица.</w:t>
            </w:r>
          </w:p>
        </w:tc>
        <w:tc>
          <w:tcPr>
            <w:tcW w:w="1716" w:type="pct"/>
            <w:tcBorders>
              <w:bottom w:val="single" w:sz="4" w:space="0" w:color="5B9BD5" w:themeColor="accent1"/>
            </w:tcBorders>
          </w:tcPr>
          <w:p w14:paraId="0376D5D3" w14:textId="77777777" w:rsidR="00B8298A" w:rsidRPr="00171C72" w:rsidRDefault="00B8298A" w:rsidP="00B8298A">
            <w:pPr>
              <w:pStyle w:val="TableCell"/>
              <w:jc w:val="both"/>
              <w:rPr>
                <w:b/>
                <w:lang w:val="bg-BG"/>
              </w:rPr>
            </w:pPr>
            <w:r w:rsidRPr="00303576">
              <w:rPr>
                <w:b/>
                <w:lang w:val="bg-BG"/>
              </w:rPr>
              <w:t>Република България изразява съгласие с препоръката.</w:t>
            </w:r>
          </w:p>
        </w:tc>
      </w:tr>
      <w:tr w:rsidR="00B8298A" w:rsidRPr="00005C86" w14:paraId="22A039F0" w14:textId="77777777" w:rsidTr="003025A7">
        <w:trPr>
          <w:trHeight w:val="275"/>
        </w:trPr>
        <w:tc>
          <w:tcPr>
            <w:tcW w:w="1567" w:type="pct"/>
            <w:tcBorders>
              <w:bottom w:val="single" w:sz="4" w:space="0" w:color="5B9BD5" w:themeColor="accent1"/>
            </w:tcBorders>
          </w:tcPr>
          <w:p w14:paraId="6ADD8211" w14:textId="77777777" w:rsidR="00B8298A" w:rsidRPr="006C3504" w:rsidRDefault="00B8298A" w:rsidP="00B8298A">
            <w:pPr>
              <w:pStyle w:val="TableRow"/>
              <w:rPr>
                <w:lang w:val="bg-BG"/>
              </w:rPr>
            </w:pPr>
            <w:r w:rsidRPr="006C3504">
              <w:rPr>
                <w:lang w:val="bg-BG"/>
              </w:rPr>
              <w:t>Малко се харчи за активиране и това, което се харчи, не е добре насочено, често предлагайки почти пълна или пълна субсиди</w:t>
            </w:r>
            <w:r>
              <w:rPr>
                <w:lang w:val="bg-BG"/>
              </w:rPr>
              <w:t>я за</w:t>
            </w:r>
            <w:r w:rsidRPr="006C3504">
              <w:rPr>
                <w:lang w:val="bg-BG"/>
              </w:rPr>
              <w:t xml:space="preserve"> заетост.</w:t>
            </w:r>
          </w:p>
        </w:tc>
        <w:tc>
          <w:tcPr>
            <w:tcW w:w="1717" w:type="pct"/>
            <w:tcBorders>
              <w:bottom w:val="single" w:sz="4" w:space="0" w:color="5B9BD5" w:themeColor="accent1"/>
            </w:tcBorders>
          </w:tcPr>
          <w:p w14:paraId="4ED3B093" w14:textId="77777777" w:rsidR="00B8298A" w:rsidRPr="006C3504" w:rsidRDefault="00B8298A" w:rsidP="00B8298A">
            <w:pPr>
              <w:pStyle w:val="TableCell"/>
              <w:jc w:val="both"/>
              <w:rPr>
                <w:lang w:val="bg-BG"/>
              </w:rPr>
            </w:pPr>
            <w:r>
              <w:rPr>
                <w:lang w:val="bg-BG"/>
              </w:rPr>
              <w:t>Да се намали дела на субсидиите за заплати</w:t>
            </w:r>
            <w:r w:rsidRPr="006C3504">
              <w:rPr>
                <w:lang w:val="bg-BG"/>
              </w:rPr>
              <w:t xml:space="preserve"> в субсидираните работни места, особено когато те са изцяло или почти изцяло субсидирани, за да се избегнат неблагоприятни стимули и да се създаде </w:t>
            </w:r>
            <w:r w:rsidRPr="006C3504">
              <w:rPr>
                <w:lang w:val="bg-BG"/>
              </w:rPr>
              <w:lastRenderedPageBreak/>
              <w:t>устойчива заетост.</w:t>
            </w:r>
          </w:p>
        </w:tc>
        <w:tc>
          <w:tcPr>
            <w:tcW w:w="1716" w:type="pct"/>
            <w:tcBorders>
              <w:bottom w:val="single" w:sz="4" w:space="0" w:color="5B9BD5" w:themeColor="accent1"/>
            </w:tcBorders>
          </w:tcPr>
          <w:p w14:paraId="2A29DA16" w14:textId="77777777" w:rsidR="00B8298A" w:rsidRPr="00171C72" w:rsidRDefault="00B8298A" w:rsidP="00B8298A">
            <w:pPr>
              <w:pStyle w:val="TableCell"/>
              <w:jc w:val="both"/>
              <w:rPr>
                <w:b/>
                <w:lang w:val="bg-BG"/>
              </w:rPr>
            </w:pPr>
            <w:r w:rsidRPr="00303576">
              <w:rPr>
                <w:b/>
                <w:lang w:val="bg-BG"/>
              </w:rPr>
              <w:lastRenderedPageBreak/>
              <w:t>Република България изразява съгласие с препоръката.</w:t>
            </w:r>
          </w:p>
        </w:tc>
      </w:tr>
    </w:tbl>
    <w:p w14:paraId="77DB6BA6" w14:textId="77777777" w:rsidR="003025A7" w:rsidRPr="006C3504" w:rsidRDefault="003025A7" w:rsidP="003025A7">
      <w:pPr>
        <w:rPr>
          <w:lang w:val="bg-BG"/>
        </w:rPr>
      </w:pPr>
    </w:p>
    <w:p w14:paraId="37BDB9BD" w14:textId="77777777" w:rsidR="003025A7" w:rsidRPr="006C3504" w:rsidRDefault="003025A7" w:rsidP="003025A7">
      <w:pPr>
        <w:jc w:val="left"/>
        <w:rPr>
          <w:b/>
          <w:lang w:val="bg-BG"/>
        </w:rPr>
      </w:pPr>
      <w:r w:rsidRPr="006C3504">
        <w:rPr>
          <w:b/>
          <w:lang w:val="bg-BG"/>
        </w:rPr>
        <w:t xml:space="preserve">Препоръки за политиката от Глава 2 </w:t>
      </w:r>
      <w:r w:rsidR="002315DB">
        <w:rPr>
          <w:b/>
          <w:lang w:val="bg-BG"/>
        </w:rPr>
        <w:t>„</w:t>
      </w:r>
      <w:r w:rsidRPr="006C3504">
        <w:rPr>
          <w:b/>
          <w:lang w:val="bg-BG"/>
        </w:rPr>
        <w:t>Укрепване на училищната система" (ключовите препоръки са с удебелен шрифт)</w:t>
      </w:r>
    </w:p>
    <w:tbl>
      <w:tblPr>
        <w:tblStyle w:val="OECD"/>
        <w:tblpPr w:leftFromText="180" w:rightFromText="180" w:vertAnchor="text" w:horzAnchor="margin" w:tblpY="230"/>
        <w:tblW w:w="5000" w:type="pct"/>
        <w:tblLook w:val="04A0" w:firstRow="1" w:lastRow="0" w:firstColumn="1" w:lastColumn="0" w:noHBand="0" w:noVBand="1"/>
      </w:tblPr>
      <w:tblGrid>
        <w:gridCol w:w="2843"/>
        <w:gridCol w:w="3115"/>
        <w:gridCol w:w="3114"/>
      </w:tblGrid>
      <w:tr w:rsidR="003025A7" w:rsidRPr="006C3504" w14:paraId="63C2CEE6" w14:textId="77777777" w:rsidTr="003025A7">
        <w:trPr>
          <w:cnfStyle w:val="100000000000" w:firstRow="1" w:lastRow="0" w:firstColumn="0" w:lastColumn="0" w:oddVBand="0" w:evenVBand="0" w:oddHBand="0" w:evenHBand="0" w:firstRowFirstColumn="0" w:firstRowLastColumn="0" w:lastRowFirstColumn="0" w:lastRowLastColumn="0"/>
        </w:trPr>
        <w:tc>
          <w:tcPr>
            <w:tcW w:w="1567" w:type="pct"/>
            <w:tcBorders>
              <w:bottom w:val="single" w:sz="4" w:space="0" w:color="5B9BD5" w:themeColor="accent1"/>
            </w:tcBorders>
            <w:hideMark/>
          </w:tcPr>
          <w:p w14:paraId="048B5A03" w14:textId="77777777" w:rsidR="003025A7" w:rsidRPr="006C3504" w:rsidRDefault="003025A7" w:rsidP="00970270">
            <w:pPr>
              <w:pStyle w:val="TableColumn"/>
              <w:rPr>
                <w:b/>
                <w:bCs/>
                <w:lang w:val="bg-BG"/>
              </w:rPr>
            </w:pPr>
            <w:r w:rsidRPr="006C3504">
              <w:rPr>
                <w:b/>
                <w:bCs/>
                <w:lang w:val="bg-BG"/>
              </w:rPr>
              <w:t>Констатации</w:t>
            </w:r>
          </w:p>
        </w:tc>
        <w:tc>
          <w:tcPr>
            <w:tcW w:w="1717" w:type="pct"/>
            <w:tcBorders>
              <w:bottom w:val="single" w:sz="4" w:space="0" w:color="5B9BD5" w:themeColor="accent1"/>
            </w:tcBorders>
            <w:hideMark/>
          </w:tcPr>
          <w:p w14:paraId="7108CA1A" w14:textId="77777777" w:rsidR="003025A7" w:rsidRPr="006C3504" w:rsidRDefault="003025A7" w:rsidP="00970270">
            <w:pPr>
              <w:pStyle w:val="TableColumn"/>
              <w:rPr>
                <w:b/>
                <w:bCs/>
                <w:lang w:val="bg-BG"/>
              </w:rPr>
            </w:pPr>
            <w:r w:rsidRPr="006C3504">
              <w:rPr>
                <w:b/>
                <w:bCs/>
                <w:lang w:val="bg-BG"/>
              </w:rPr>
              <w:t>Препоръки по отделните точки</w:t>
            </w:r>
          </w:p>
        </w:tc>
        <w:tc>
          <w:tcPr>
            <w:tcW w:w="1716" w:type="pct"/>
            <w:tcBorders>
              <w:bottom w:val="single" w:sz="4" w:space="0" w:color="5B9BD5" w:themeColor="accent1"/>
            </w:tcBorders>
          </w:tcPr>
          <w:p w14:paraId="793E3D4E" w14:textId="77777777" w:rsidR="003025A7" w:rsidRPr="006C3504" w:rsidRDefault="003025A7" w:rsidP="00970270">
            <w:pPr>
              <w:pStyle w:val="TableColumn"/>
              <w:rPr>
                <w:b/>
                <w:bCs/>
                <w:lang w:val="bg-BG"/>
              </w:rPr>
            </w:pPr>
            <w:r w:rsidRPr="006C3504">
              <w:rPr>
                <w:b/>
                <w:bCs/>
                <w:lang w:val="bg-BG"/>
              </w:rPr>
              <w:t>Позиция на Република България</w:t>
            </w:r>
          </w:p>
        </w:tc>
      </w:tr>
      <w:tr w:rsidR="003025A7" w:rsidRPr="006C3504" w14:paraId="619F3864" w14:textId="77777777" w:rsidTr="00970270">
        <w:trPr>
          <w:trHeight w:val="249"/>
        </w:trPr>
        <w:tc>
          <w:tcPr>
            <w:tcW w:w="3284" w:type="pct"/>
            <w:gridSpan w:val="2"/>
            <w:tcBorders>
              <w:top w:val="single" w:sz="4" w:space="0" w:color="5B9BD5" w:themeColor="accent1"/>
              <w:bottom w:val="single" w:sz="4" w:space="0" w:color="5B9BD5" w:themeColor="accent1"/>
            </w:tcBorders>
          </w:tcPr>
          <w:p w14:paraId="4388273E" w14:textId="77777777" w:rsidR="003025A7" w:rsidRPr="006C3504" w:rsidRDefault="00EF46FB" w:rsidP="00970270">
            <w:pPr>
              <w:pStyle w:val="TableColumn"/>
              <w:rPr>
                <w:b/>
                <w:bCs/>
                <w:lang w:val="bg-BG"/>
              </w:rPr>
            </w:pPr>
            <w:r w:rsidRPr="006C3504">
              <w:rPr>
                <w:b/>
                <w:bCs/>
                <w:lang w:val="bg-BG"/>
              </w:rPr>
              <w:t>Постигане на образователните цели по ефективен и ефикасен начин</w:t>
            </w:r>
          </w:p>
        </w:tc>
        <w:tc>
          <w:tcPr>
            <w:tcW w:w="1716" w:type="pct"/>
            <w:tcBorders>
              <w:top w:val="single" w:sz="4" w:space="0" w:color="5B9BD5" w:themeColor="accent1"/>
              <w:bottom w:val="single" w:sz="4" w:space="0" w:color="5B9BD5" w:themeColor="accent1"/>
            </w:tcBorders>
          </w:tcPr>
          <w:p w14:paraId="59565F9F" w14:textId="77777777" w:rsidR="003025A7" w:rsidRPr="006C3504" w:rsidRDefault="003025A7" w:rsidP="00970270">
            <w:pPr>
              <w:pStyle w:val="TableColumn"/>
              <w:rPr>
                <w:b/>
                <w:bCs/>
                <w:lang w:val="bg-BG"/>
              </w:rPr>
            </w:pPr>
          </w:p>
        </w:tc>
      </w:tr>
      <w:tr w:rsidR="003025A7" w:rsidRPr="00005C86" w14:paraId="617070CC" w14:textId="77777777" w:rsidTr="00412670">
        <w:tc>
          <w:tcPr>
            <w:tcW w:w="1567" w:type="pct"/>
            <w:tcBorders>
              <w:top w:val="single" w:sz="4" w:space="0" w:color="5B9BD5" w:themeColor="accent1"/>
              <w:bottom w:val="single" w:sz="4" w:space="0" w:color="5B9BD5" w:themeColor="accent1"/>
            </w:tcBorders>
          </w:tcPr>
          <w:p w14:paraId="3443482B" w14:textId="77777777" w:rsidR="003025A7" w:rsidRPr="004249D0" w:rsidRDefault="004249D0" w:rsidP="004249D0">
            <w:pPr>
              <w:pStyle w:val="TableRow"/>
              <w:rPr>
                <w:b/>
                <w:lang w:val="bg-BG"/>
              </w:rPr>
            </w:pPr>
            <w:r>
              <w:rPr>
                <w:b/>
                <w:lang w:val="bg-BG"/>
              </w:rPr>
              <w:t>Образователната система</w:t>
            </w:r>
            <w:r w:rsidR="00CA42D6" w:rsidRPr="004249D0">
              <w:rPr>
                <w:b/>
                <w:lang w:val="bg-BG"/>
              </w:rPr>
              <w:t xml:space="preserve"> се реформира с цел достигане </w:t>
            </w:r>
            <w:r w:rsidRPr="004249D0">
              <w:rPr>
                <w:b/>
                <w:lang w:val="bg-BG"/>
              </w:rPr>
              <w:t>до 2030 г.</w:t>
            </w:r>
            <w:r>
              <w:rPr>
                <w:b/>
                <w:lang w:val="bg-BG"/>
              </w:rPr>
              <w:t xml:space="preserve"> </w:t>
            </w:r>
            <w:r w:rsidR="00CA42D6" w:rsidRPr="004249D0">
              <w:rPr>
                <w:b/>
                <w:lang w:val="bg-BG"/>
              </w:rPr>
              <w:t xml:space="preserve">на средното за ЕС ниво по </w:t>
            </w:r>
            <w:r>
              <w:rPr>
                <w:b/>
                <w:lang w:val="bg-BG"/>
              </w:rPr>
              <w:t>редица показатели.</w:t>
            </w:r>
          </w:p>
        </w:tc>
        <w:tc>
          <w:tcPr>
            <w:tcW w:w="1717" w:type="pct"/>
            <w:tcBorders>
              <w:top w:val="single" w:sz="4" w:space="0" w:color="5B9BD5" w:themeColor="accent1"/>
              <w:bottom w:val="single" w:sz="4" w:space="0" w:color="5B9BD5" w:themeColor="accent1"/>
            </w:tcBorders>
          </w:tcPr>
          <w:p w14:paraId="14346C6B" w14:textId="77777777" w:rsidR="00412670" w:rsidRPr="006C3504" w:rsidRDefault="00E83288" w:rsidP="00E83288">
            <w:pPr>
              <w:pStyle w:val="TableCell"/>
              <w:jc w:val="both"/>
              <w:rPr>
                <w:b/>
                <w:lang w:val="bg-BG"/>
              </w:rPr>
            </w:pPr>
            <w:r>
              <w:rPr>
                <w:b/>
                <w:lang w:val="bg-BG"/>
              </w:rPr>
              <w:t>Отпускането</w:t>
            </w:r>
            <w:r w:rsidRPr="006C3504">
              <w:rPr>
                <w:b/>
                <w:lang w:val="bg-BG"/>
              </w:rPr>
              <w:t xml:space="preserve"> на средства </w:t>
            </w:r>
            <w:r>
              <w:rPr>
                <w:b/>
                <w:lang w:val="bg-BG"/>
              </w:rPr>
              <w:t>да се об</w:t>
            </w:r>
            <w:r w:rsidR="004249D0">
              <w:rPr>
                <w:b/>
                <w:lang w:val="bg-BG"/>
              </w:rPr>
              <w:t>вър</w:t>
            </w:r>
            <w:r>
              <w:rPr>
                <w:b/>
                <w:lang w:val="bg-BG"/>
              </w:rPr>
              <w:t>же</w:t>
            </w:r>
            <w:r w:rsidR="00A01AFB">
              <w:rPr>
                <w:b/>
                <w:lang w:val="bg-BG"/>
              </w:rPr>
              <w:t xml:space="preserve"> </w:t>
            </w:r>
            <w:r w:rsidR="00CA42D6" w:rsidRPr="006C3504">
              <w:rPr>
                <w:b/>
                <w:lang w:val="bg-BG"/>
              </w:rPr>
              <w:t>с изпълнението на цели, за да се гарантира ефективност,</w:t>
            </w:r>
            <w:r w:rsidR="004249D0">
              <w:rPr>
                <w:b/>
                <w:lang w:val="bg-BG"/>
              </w:rPr>
              <w:t xml:space="preserve"> както</w:t>
            </w:r>
            <w:r w:rsidR="00CA42D6" w:rsidRPr="006C3504">
              <w:rPr>
                <w:b/>
                <w:lang w:val="bg-BG"/>
              </w:rPr>
              <w:t xml:space="preserve"> и </w:t>
            </w:r>
            <w:r>
              <w:rPr>
                <w:b/>
                <w:lang w:val="bg-BG"/>
              </w:rPr>
              <w:t xml:space="preserve">да се </w:t>
            </w:r>
            <w:r w:rsidR="00CA42D6" w:rsidRPr="006C3504">
              <w:rPr>
                <w:b/>
                <w:lang w:val="bg-BG"/>
              </w:rPr>
              <w:t>използва</w:t>
            </w:r>
            <w:r>
              <w:rPr>
                <w:b/>
                <w:lang w:val="bg-BG"/>
              </w:rPr>
              <w:t>т</w:t>
            </w:r>
            <w:r w:rsidR="00CA42D6" w:rsidRPr="006C3504">
              <w:rPr>
                <w:b/>
                <w:lang w:val="bg-BG"/>
              </w:rPr>
              <w:t xml:space="preserve"> показатели за ефективност.</w:t>
            </w:r>
          </w:p>
        </w:tc>
        <w:tc>
          <w:tcPr>
            <w:tcW w:w="1716" w:type="pct"/>
            <w:tcBorders>
              <w:top w:val="single" w:sz="4" w:space="0" w:color="5B9BD5" w:themeColor="accent1"/>
              <w:bottom w:val="single" w:sz="4" w:space="0" w:color="5B9BD5" w:themeColor="accent1"/>
            </w:tcBorders>
          </w:tcPr>
          <w:p w14:paraId="3A3013B2" w14:textId="77777777" w:rsidR="003025A7" w:rsidRPr="006C3504" w:rsidRDefault="009B37B1" w:rsidP="00970270">
            <w:pPr>
              <w:pStyle w:val="TableCell"/>
              <w:jc w:val="both"/>
              <w:rPr>
                <w:b/>
                <w:bCs/>
                <w:lang w:val="bg-BG"/>
              </w:rPr>
            </w:pPr>
            <w:r w:rsidRPr="009B37B1">
              <w:rPr>
                <w:b/>
                <w:bCs/>
                <w:lang w:val="bg-BG"/>
              </w:rPr>
              <w:t>Република България изразява съгласие с препоръката.</w:t>
            </w:r>
          </w:p>
        </w:tc>
      </w:tr>
      <w:tr w:rsidR="00D30683" w:rsidRPr="00005C86" w14:paraId="715CF00A" w14:textId="77777777" w:rsidTr="00D30683">
        <w:tc>
          <w:tcPr>
            <w:tcW w:w="3284" w:type="pct"/>
            <w:gridSpan w:val="2"/>
            <w:tcBorders>
              <w:top w:val="single" w:sz="4" w:space="0" w:color="5B9BD5" w:themeColor="accent1"/>
              <w:bottom w:val="single" w:sz="4" w:space="0" w:color="5B9BD5" w:themeColor="accent1"/>
            </w:tcBorders>
            <w:vAlign w:val="center"/>
          </w:tcPr>
          <w:p w14:paraId="31A439D9" w14:textId="77777777" w:rsidR="00D30683" w:rsidRPr="006C3504" w:rsidRDefault="00D30683" w:rsidP="00564BAA">
            <w:pPr>
              <w:pStyle w:val="TableColumn"/>
              <w:rPr>
                <w:b/>
                <w:bCs/>
                <w:lang w:val="bg-BG"/>
              </w:rPr>
            </w:pPr>
            <w:r w:rsidRPr="006C3504">
              <w:rPr>
                <w:b/>
                <w:bCs/>
                <w:lang w:val="bg-BG"/>
              </w:rPr>
              <w:t xml:space="preserve">Създаване на среда, благоприятстваща резултати в сферата на </w:t>
            </w:r>
            <w:r w:rsidR="00564BAA">
              <w:rPr>
                <w:b/>
                <w:bCs/>
                <w:lang w:val="bg-BG"/>
              </w:rPr>
              <w:t>предучилищно</w:t>
            </w:r>
            <w:r w:rsidR="00AA1386">
              <w:rPr>
                <w:b/>
                <w:bCs/>
                <w:lang w:val="bg-BG"/>
              </w:rPr>
              <w:t>то</w:t>
            </w:r>
            <w:r w:rsidR="00564BAA">
              <w:rPr>
                <w:b/>
                <w:bCs/>
                <w:lang w:val="bg-BG"/>
              </w:rPr>
              <w:t xml:space="preserve"> и училищно</w:t>
            </w:r>
            <w:r w:rsidR="00AA1386">
              <w:rPr>
                <w:b/>
                <w:bCs/>
                <w:lang w:val="bg-BG"/>
              </w:rPr>
              <w:t xml:space="preserve"> образование</w:t>
            </w:r>
          </w:p>
        </w:tc>
        <w:tc>
          <w:tcPr>
            <w:tcW w:w="1716" w:type="pct"/>
            <w:tcBorders>
              <w:top w:val="single" w:sz="4" w:space="0" w:color="5B9BD5" w:themeColor="accent1"/>
              <w:bottom w:val="single" w:sz="4" w:space="0" w:color="5B9BD5" w:themeColor="accent1"/>
            </w:tcBorders>
          </w:tcPr>
          <w:p w14:paraId="044BF75A" w14:textId="77777777" w:rsidR="00D30683" w:rsidRPr="006C3504" w:rsidRDefault="00D30683" w:rsidP="00412670">
            <w:pPr>
              <w:pStyle w:val="TableColumn"/>
              <w:rPr>
                <w:b/>
                <w:bCs/>
                <w:lang w:val="bg-BG"/>
              </w:rPr>
            </w:pPr>
          </w:p>
        </w:tc>
      </w:tr>
      <w:tr w:rsidR="00412670" w:rsidRPr="00005C86" w14:paraId="486C1A7F" w14:textId="77777777" w:rsidTr="00412670">
        <w:tc>
          <w:tcPr>
            <w:tcW w:w="1567" w:type="pct"/>
            <w:tcBorders>
              <w:top w:val="single" w:sz="4" w:space="0" w:color="5B9BD5" w:themeColor="accent1"/>
              <w:bottom w:val="single" w:sz="4" w:space="0" w:color="5B9BD5" w:themeColor="accent1"/>
            </w:tcBorders>
          </w:tcPr>
          <w:p w14:paraId="1571A041" w14:textId="77777777" w:rsidR="00412670" w:rsidRPr="006C3504" w:rsidRDefault="004249D0" w:rsidP="004249D0">
            <w:pPr>
              <w:pStyle w:val="TableRow"/>
              <w:rPr>
                <w:lang w:val="bg-BG"/>
              </w:rPr>
            </w:pPr>
            <w:r>
              <w:rPr>
                <w:lang w:val="bg-BG"/>
              </w:rPr>
              <w:t>П</w:t>
            </w:r>
            <w:r w:rsidRPr="006C3504">
              <w:rPr>
                <w:lang w:val="bg-BG"/>
              </w:rPr>
              <w:t>рез 2022 г.</w:t>
            </w:r>
            <w:r>
              <w:rPr>
                <w:lang w:val="bg-BG"/>
              </w:rPr>
              <w:t xml:space="preserve"> д</w:t>
            </w:r>
            <w:r w:rsidR="00412670" w:rsidRPr="006C3504">
              <w:rPr>
                <w:lang w:val="bg-BG"/>
              </w:rPr>
              <w:t xml:space="preserve">етските градини </w:t>
            </w:r>
            <w:r>
              <w:rPr>
                <w:lang w:val="bg-BG"/>
              </w:rPr>
              <w:t>са станали</w:t>
            </w:r>
            <w:r w:rsidR="00412670" w:rsidRPr="006C3504">
              <w:rPr>
                <w:lang w:val="bg-BG"/>
              </w:rPr>
              <w:t xml:space="preserve"> безплатни за всички, но качеството остава проблем.</w:t>
            </w:r>
          </w:p>
        </w:tc>
        <w:tc>
          <w:tcPr>
            <w:tcW w:w="1717" w:type="pct"/>
            <w:tcBorders>
              <w:top w:val="single" w:sz="4" w:space="0" w:color="5B9BD5" w:themeColor="accent1"/>
              <w:bottom w:val="single" w:sz="4" w:space="0" w:color="5B9BD5" w:themeColor="accent1"/>
            </w:tcBorders>
          </w:tcPr>
          <w:p w14:paraId="431D9164" w14:textId="77777777" w:rsidR="00412670" w:rsidRPr="006C3504" w:rsidRDefault="00441352" w:rsidP="00441352">
            <w:pPr>
              <w:pStyle w:val="TableCell"/>
              <w:jc w:val="both"/>
              <w:rPr>
                <w:lang w:val="bg-BG"/>
              </w:rPr>
            </w:pPr>
            <w:r>
              <w:rPr>
                <w:lang w:val="bg-BG"/>
              </w:rPr>
              <w:t>Да се у</w:t>
            </w:r>
            <w:r w:rsidR="00A01AFB">
              <w:rPr>
                <w:lang w:val="bg-BG"/>
              </w:rPr>
              <w:t>велич</w:t>
            </w:r>
            <w:r>
              <w:rPr>
                <w:lang w:val="bg-BG"/>
              </w:rPr>
              <w:t>и</w:t>
            </w:r>
            <w:r w:rsidR="00A01AFB">
              <w:rPr>
                <w:lang w:val="bg-BG"/>
              </w:rPr>
              <w:t xml:space="preserve"> </w:t>
            </w:r>
            <w:r w:rsidR="00412670" w:rsidRPr="006C3504">
              <w:rPr>
                <w:lang w:val="bg-BG"/>
              </w:rPr>
              <w:t xml:space="preserve">предлагането на висококачествени детски градини </w:t>
            </w:r>
            <w:r w:rsidR="004249D0">
              <w:rPr>
                <w:lang w:val="bg-BG"/>
              </w:rPr>
              <w:t>чрез</w:t>
            </w:r>
            <w:r w:rsidR="00412670" w:rsidRPr="006C3504">
              <w:rPr>
                <w:lang w:val="bg-BG"/>
              </w:rPr>
              <w:t xml:space="preserve"> предостав</w:t>
            </w:r>
            <w:r w:rsidR="000A3C95">
              <w:rPr>
                <w:lang w:val="bg-BG"/>
              </w:rPr>
              <w:t>яне</w:t>
            </w:r>
            <w:r w:rsidR="00412670" w:rsidRPr="006C3504">
              <w:rPr>
                <w:lang w:val="bg-BG"/>
              </w:rPr>
              <w:t xml:space="preserve"> </w:t>
            </w:r>
            <w:r w:rsidR="004249D0">
              <w:rPr>
                <w:lang w:val="bg-BG"/>
              </w:rPr>
              <w:t>на</w:t>
            </w:r>
            <w:r w:rsidR="004249D0" w:rsidRPr="006C3504">
              <w:rPr>
                <w:lang w:val="bg-BG"/>
              </w:rPr>
              <w:t xml:space="preserve"> възможност </w:t>
            </w:r>
            <w:r w:rsidR="00412670" w:rsidRPr="006C3504">
              <w:rPr>
                <w:lang w:val="bg-BG"/>
              </w:rPr>
              <w:t xml:space="preserve">на родителите да изразят своите искания и </w:t>
            </w:r>
            <w:r w:rsidR="00706550">
              <w:rPr>
                <w:lang w:val="bg-BG"/>
              </w:rPr>
              <w:t>да бъдат запознати</w:t>
            </w:r>
            <w:r w:rsidR="00706550" w:rsidRPr="00706550">
              <w:rPr>
                <w:lang w:val="bg-BG"/>
              </w:rPr>
              <w:t xml:space="preserve"> </w:t>
            </w:r>
            <w:r w:rsidR="00706550">
              <w:rPr>
                <w:lang w:val="bg-BG"/>
              </w:rPr>
              <w:t>с</w:t>
            </w:r>
            <w:r w:rsidR="00706550" w:rsidRPr="00706550">
              <w:rPr>
                <w:lang w:val="bg-BG"/>
              </w:rPr>
              <w:t xml:space="preserve"> важността </w:t>
            </w:r>
            <w:r w:rsidR="00706550">
              <w:rPr>
                <w:lang w:val="bg-BG"/>
              </w:rPr>
              <w:t>от</w:t>
            </w:r>
            <w:r w:rsidR="00706550" w:rsidRPr="00706550">
              <w:rPr>
                <w:lang w:val="bg-BG"/>
              </w:rPr>
              <w:t xml:space="preserve"> това</w:t>
            </w:r>
            <w:r w:rsidR="00412670" w:rsidRPr="006C3504">
              <w:rPr>
                <w:lang w:val="bg-BG"/>
              </w:rPr>
              <w:t>.</w:t>
            </w:r>
          </w:p>
        </w:tc>
        <w:tc>
          <w:tcPr>
            <w:tcW w:w="1716" w:type="pct"/>
            <w:tcBorders>
              <w:top w:val="single" w:sz="4" w:space="0" w:color="5B9BD5" w:themeColor="accent1"/>
              <w:bottom w:val="single" w:sz="4" w:space="0" w:color="5B9BD5" w:themeColor="accent1"/>
            </w:tcBorders>
          </w:tcPr>
          <w:p w14:paraId="605F7082" w14:textId="77777777" w:rsidR="00412670" w:rsidRPr="006C3504" w:rsidRDefault="009B37B1" w:rsidP="00412670">
            <w:pPr>
              <w:pStyle w:val="TableCell"/>
              <w:jc w:val="both"/>
              <w:rPr>
                <w:b/>
                <w:bCs/>
                <w:lang w:val="bg-BG"/>
              </w:rPr>
            </w:pPr>
            <w:r w:rsidRPr="009B37B1">
              <w:rPr>
                <w:b/>
                <w:bCs/>
                <w:lang w:val="bg-BG"/>
              </w:rPr>
              <w:t>Република България изразява съгласие с препоръката.</w:t>
            </w:r>
          </w:p>
        </w:tc>
      </w:tr>
      <w:tr w:rsidR="00412670" w:rsidRPr="00005C86" w14:paraId="4DABE8D4" w14:textId="77777777" w:rsidTr="00091695">
        <w:trPr>
          <w:trHeight w:val="1924"/>
        </w:trPr>
        <w:tc>
          <w:tcPr>
            <w:tcW w:w="1567" w:type="pct"/>
            <w:tcBorders>
              <w:top w:val="single" w:sz="4" w:space="0" w:color="5B9BD5" w:themeColor="accent1"/>
              <w:bottom w:val="single" w:sz="4" w:space="0" w:color="5B9BD5" w:themeColor="accent1"/>
            </w:tcBorders>
          </w:tcPr>
          <w:p w14:paraId="764149DC" w14:textId="77777777" w:rsidR="00412670" w:rsidRPr="006C3504" w:rsidRDefault="00412670" w:rsidP="00412670">
            <w:pPr>
              <w:pStyle w:val="TableRow"/>
              <w:rPr>
                <w:lang w:val="bg-BG"/>
              </w:rPr>
            </w:pPr>
            <w:r w:rsidRPr="006C3504">
              <w:rPr>
                <w:lang w:val="bg-BG"/>
              </w:rPr>
              <w:t>Образователната стратегия възприема цялостен подход за с</w:t>
            </w:r>
            <w:r w:rsidR="00706550">
              <w:rPr>
                <w:lang w:val="bg-BG"/>
              </w:rPr>
              <w:t>правяне с многостранни проблеми</w:t>
            </w:r>
            <w:r w:rsidRPr="006C3504">
              <w:rPr>
                <w:lang w:val="bg-BG"/>
              </w:rPr>
              <w:t xml:space="preserve"> като двусменното обучение, свързано със системни неравенства, обусловени от инфраструктурни дефицити, но някои въпроси не са разгледани.</w:t>
            </w:r>
          </w:p>
        </w:tc>
        <w:tc>
          <w:tcPr>
            <w:tcW w:w="1717" w:type="pct"/>
            <w:tcBorders>
              <w:top w:val="single" w:sz="4" w:space="0" w:color="5B9BD5" w:themeColor="accent1"/>
              <w:bottom w:val="single" w:sz="4" w:space="0" w:color="5B9BD5" w:themeColor="accent1"/>
            </w:tcBorders>
          </w:tcPr>
          <w:p w14:paraId="41BB60F4" w14:textId="77777777" w:rsidR="00412670" w:rsidRPr="006C3504" w:rsidRDefault="00441352" w:rsidP="00706550">
            <w:pPr>
              <w:pStyle w:val="TableCell"/>
              <w:jc w:val="both"/>
              <w:rPr>
                <w:lang w:val="bg-BG"/>
              </w:rPr>
            </w:pPr>
            <w:r>
              <w:rPr>
                <w:lang w:val="bg-BG"/>
              </w:rPr>
              <w:t>Да се в</w:t>
            </w:r>
            <w:r w:rsidR="00811CBD">
              <w:rPr>
                <w:lang w:val="bg-BG"/>
              </w:rPr>
              <w:t>ъведа</w:t>
            </w:r>
            <w:r>
              <w:rPr>
                <w:lang w:val="bg-BG"/>
              </w:rPr>
              <w:t>т</w:t>
            </w:r>
            <w:r w:rsidR="00412670" w:rsidRPr="006C3504">
              <w:rPr>
                <w:lang w:val="bg-BG"/>
              </w:rPr>
              <w:t xml:space="preserve"> етническите езици като ези</w:t>
            </w:r>
            <w:r w:rsidR="004249D0">
              <w:rPr>
                <w:lang w:val="bg-BG"/>
              </w:rPr>
              <w:t>ци</w:t>
            </w:r>
            <w:r w:rsidR="00412670" w:rsidRPr="006C3504">
              <w:rPr>
                <w:lang w:val="bg-BG"/>
              </w:rPr>
              <w:t xml:space="preserve"> на обучение, за да </w:t>
            </w:r>
            <w:r w:rsidR="004249D0">
              <w:rPr>
                <w:lang w:val="bg-BG"/>
              </w:rPr>
              <w:t>се улесни</w:t>
            </w:r>
            <w:r w:rsidR="00412670" w:rsidRPr="006C3504">
              <w:rPr>
                <w:lang w:val="bg-BG"/>
              </w:rPr>
              <w:t xml:space="preserve"> придобиването на основни умения.</w:t>
            </w:r>
          </w:p>
          <w:p w14:paraId="4C8336FF" w14:textId="77777777" w:rsidR="00412670" w:rsidRPr="006C3504" w:rsidRDefault="00441352" w:rsidP="004A22E2">
            <w:pPr>
              <w:pStyle w:val="TableCell"/>
              <w:jc w:val="both"/>
              <w:rPr>
                <w:lang w:val="bg-BG"/>
              </w:rPr>
            </w:pPr>
            <w:r>
              <w:rPr>
                <w:lang w:val="bg-BG"/>
              </w:rPr>
              <w:t xml:space="preserve">Да се </w:t>
            </w:r>
            <w:r w:rsidR="004A22E2">
              <w:rPr>
                <w:lang w:val="bg-BG"/>
              </w:rPr>
              <w:t>о</w:t>
            </w:r>
            <w:r w:rsidR="00412670" w:rsidRPr="006C3504">
              <w:rPr>
                <w:lang w:val="bg-BG"/>
              </w:rPr>
              <w:t>сигур</w:t>
            </w:r>
            <w:r w:rsidR="004A22E2">
              <w:rPr>
                <w:lang w:val="bg-BG"/>
              </w:rPr>
              <w:t>и</w:t>
            </w:r>
            <w:r w:rsidR="00412670" w:rsidRPr="006C3504">
              <w:rPr>
                <w:lang w:val="bg-BG"/>
              </w:rPr>
              <w:t xml:space="preserve"> безплатен обяд за децата в неравностойно положение.</w:t>
            </w:r>
          </w:p>
        </w:tc>
        <w:tc>
          <w:tcPr>
            <w:tcW w:w="1716" w:type="pct"/>
            <w:tcBorders>
              <w:top w:val="single" w:sz="4" w:space="0" w:color="5B9BD5" w:themeColor="accent1"/>
              <w:bottom w:val="single" w:sz="4" w:space="0" w:color="5B9BD5" w:themeColor="accent1"/>
            </w:tcBorders>
          </w:tcPr>
          <w:p w14:paraId="60E1C3FA" w14:textId="77777777" w:rsidR="00412670" w:rsidRDefault="009B37B1" w:rsidP="005D0CFD">
            <w:pPr>
              <w:pStyle w:val="TableCell"/>
              <w:jc w:val="both"/>
              <w:rPr>
                <w:b/>
                <w:bCs/>
                <w:lang w:val="bg-BG"/>
              </w:rPr>
            </w:pPr>
            <w:r w:rsidRPr="009B37B1">
              <w:rPr>
                <w:b/>
                <w:bCs/>
                <w:lang w:val="bg-BG"/>
              </w:rPr>
              <w:t xml:space="preserve">Република България изразява </w:t>
            </w:r>
            <w:r w:rsidR="00C002AC">
              <w:rPr>
                <w:b/>
                <w:bCs/>
                <w:lang w:val="bg-BG"/>
              </w:rPr>
              <w:t>несъгласие с препоръката и предлага да отпадне.</w:t>
            </w:r>
          </w:p>
          <w:p w14:paraId="50284AE0" w14:textId="77777777" w:rsidR="005D0CFD" w:rsidRPr="005D0CFD" w:rsidRDefault="003A5D6E" w:rsidP="005D0CFD">
            <w:pPr>
              <w:pStyle w:val="TableCell"/>
              <w:jc w:val="both"/>
              <w:rPr>
                <w:bCs/>
                <w:lang w:val="bg-BG"/>
              </w:rPr>
            </w:pPr>
            <w:r>
              <w:rPr>
                <w:b/>
                <w:i/>
                <w:u w:val="single"/>
                <w:lang w:val="bg-BG"/>
              </w:rPr>
              <w:t>Мотиви</w:t>
            </w:r>
            <w:r w:rsidR="00C002AC" w:rsidRPr="009E25EC">
              <w:rPr>
                <w:b/>
                <w:bCs/>
                <w:i/>
                <w:color w:val="auto"/>
                <w:u w:val="single"/>
                <w:lang w:val="bg-BG"/>
              </w:rPr>
              <w:t>:</w:t>
            </w:r>
            <w:r w:rsidR="00E66091" w:rsidRPr="00E66091">
              <w:rPr>
                <w:lang w:val="bg-BG"/>
              </w:rPr>
              <w:t xml:space="preserve"> </w:t>
            </w:r>
            <w:r w:rsidR="00E66091" w:rsidRPr="00E66091">
              <w:rPr>
                <w:bCs/>
                <w:lang w:val="bg-BG"/>
              </w:rPr>
              <w:t>Съгласно Консти</w:t>
            </w:r>
            <w:r w:rsidR="005D0CFD">
              <w:rPr>
                <w:bCs/>
                <w:lang w:val="bg-BG"/>
              </w:rPr>
              <w:t xml:space="preserve">туцията на Република България </w:t>
            </w:r>
            <w:r w:rsidR="005D0CFD" w:rsidRPr="005D0CFD">
              <w:rPr>
                <w:lang w:val="bg-BG"/>
              </w:rPr>
              <w:t xml:space="preserve"> </w:t>
            </w:r>
            <w:r w:rsidR="005D0CFD" w:rsidRPr="005D0CFD">
              <w:rPr>
                <w:bCs/>
                <w:lang w:val="bg-BG"/>
              </w:rPr>
              <w:t>и Закона за предучилищното и училищното образование (ЗПРО), българският език е официален. Предучилищното и училищното образование се осъществяват на български език (чл. 13 от ЗПРО). За учениците, чийто майчин език е различен, се осигурява допълнително обучение по български език. В Народното събрание е внесено предложение за изменение и допълнение на ЗПРО, което предвижда допълнителни мерки в тази насока. В България не може да се говори за етнически малцинства и в този смисъл – и за етнически езици. В ЗПУО е дадена легална дефиниция за майчин език като език, на който говорят в семейството си децата и учениците от етническите малцинствени групи, които традиционно или в значителна степен населяват територията на Р България, както и децата на гражданите на ДЧ, на ЕИП и Конфедерация Швейцария, упражняващи трудова дейност на територията на Р България. Държавата ни е изпълнила ангажимента си по закон да предостави възможност за изучаване на майчин език и е утвърдила учебни програми за изучаването на турски, иврит, арменски и ромски.</w:t>
            </w:r>
          </w:p>
          <w:p w14:paraId="34CD5349" w14:textId="77777777" w:rsidR="005D0CFD" w:rsidRPr="005D0CFD" w:rsidRDefault="005D0CFD" w:rsidP="005D0CFD">
            <w:pPr>
              <w:pStyle w:val="TableCell"/>
              <w:jc w:val="both"/>
              <w:rPr>
                <w:bCs/>
                <w:lang w:val="bg-BG"/>
              </w:rPr>
            </w:pPr>
            <w:r w:rsidRPr="005D0CFD">
              <w:rPr>
                <w:bCs/>
                <w:lang w:val="bg-BG"/>
              </w:rPr>
              <w:t>Обучението на език, различен е български език, влиза в противоречие с чл. 3 от Конституцията и с чл. 13 от ЗПУО.</w:t>
            </w:r>
          </w:p>
          <w:p w14:paraId="4400DE2D" w14:textId="77777777" w:rsidR="005D0CFD" w:rsidRPr="005D0CFD" w:rsidRDefault="005D0CFD" w:rsidP="005D0CFD">
            <w:pPr>
              <w:pStyle w:val="TableCell"/>
              <w:jc w:val="both"/>
              <w:rPr>
                <w:bCs/>
                <w:lang w:val="bg-BG"/>
              </w:rPr>
            </w:pPr>
            <w:r w:rsidRPr="005D0CFD">
              <w:rPr>
                <w:bCs/>
                <w:lang w:val="bg-BG"/>
              </w:rPr>
              <w:t xml:space="preserve">Предоставят се допълнителни модули по български език за деца от уязвими групи с цел приобщаването им, както и дейности, подпомагащи социалното, емоционалното и познавателното им развитие; </w:t>
            </w:r>
          </w:p>
          <w:p w14:paraId="70584933" w14:textId="77777777" w:rsidR="005D0CFD" w:rsidRPr="005D0CFD" w:rsidRDefault="005D0CFD" w:rsidP="005D0CFD">
            <w:pPr>
              <w:pStyle w:val="TableCell"/>
              <w:jc w:val="both"/>
              <w:rPr>
                <w:bCs/>
                <w:lang w:val="bg-BG"/>
              </w:rPr>
            </w:pPr>
            <w:r w:rsidRPr="005D0CFD">
              <w:rPr>
                <w:bCs/>
                <w:lang w:val="bg-BG"/>
              </w:rPr>
              <w:t>Също така:</w:t>
            </w:r>
          </w:p>
          <w:p w14:paraId="05FD161A" w14:textId="77777777" w:rsidR="005D0CFD" w:rsidRPr="005D0CFD" w:rsidRDefault="005D0CFD" w:rsidP="005D0CFD">
            <w:pPr>
              <w:pStyle w:val="TableCell"/>
              <w:jc w:val="both"/>
              <w:rPr>
                <w:bCs/>
                <w:lang w:val="bg-BG"/>
              </w:rPr>
            </w:pPr>
            <w:r w:rsidRPr="005D0CFD">
              <w:rPr>
                <w:bCs/>
                <w:lang w:val="bg-BG"/>
              </w:rPr>
              <w:t xml:space="preserve">- допълнително обучение по български език и литература и по учебни предмети за ученици от уязвими групи, които имат пропуски или срещат затруднения при усвояването на учебното съдържание и за които българският език не е майчин за подобряване на образователното им </w:t>
            </w:r>
            <w:r w:rsidRPr="005D0CFD">
              <w:rPr>
                <w:bCs/>
                <w:lang w:val="bg-BG"/>
              </w:rPr>
              <w:lastRenderedPageBreak/>
              <w:t xml:space="preserve">представяне; </w:t>
            </w:r>
          </w:p>
          <w:p w14:paraId="59459E90" w14:textId="77777777" w:rsidR="005D0CFD" w:rsidRPr="005D0CFD" w:rsidRDefault="005D0CFD" w:rsidP="005D0CFD">
            <w:pPr>
              <w:pStyle w:val="TableCell"/>
              <w:jc w:val="both"/>
              <w:rPr>
                <w:bCs/>
                <w:lang w:val="bg-BG"/>
              </w:rPr>
            </w:pPr>
            <w:r w:rsidRPr="005D0CFD">
              <w:rPr>
                <w:bCs/>
                <w:lang w:val="bg-BG"/>
              </w:rPr>
              <w:t xml:space="preserve">-  кариерно ориентиране и консултиране, както и занимания по интереси за ученици от уязвими групи, за които българският не е майчин за повишаване на мотивацията им; </w:t>
            </w:r>
          </w:p>
          <w:p w14:paraId="5EE0E037" w14:textId="77777777" w:rsidR="005D0CFD" w:rsidRPr="005D0CFD" w:rsidRDefault="005D0CFD" w:rsidP="005D0CFD">
            <w:pPr>
              <w:pStyle w:val="TableCell"/>
              <w:jc w:val="both"/>
              <w:rPr>
                <w:bCs/>
                <w:lang w:val="bg-BG"/>
              </w:rPr>
            </w:pPr>
            <w:r w:rsidRPr="005D0CFD">
              <w:rPr>
                <w:bCs/>
                <w:lang w:val="bg-BG"/>
              </w:rPr>
              <w:t>- подкрепяща среда в образователните институции за деца и ученици, чийто майчин език е различен от българския, чрез назначаване на образователни медиатори и социални работници за подпомагане на достъпа до образование;</w:t>
            </w:r>
          </w:p>
          <w:p w14:paraId="74067904" w14:textId="77777777" w:rsidR="005D0CFD" w:rsidRPr="005D0CFD" w:rsidRDefault="005D0CFD" w:rsidP="005D0CFD">
            <w:pPr>
              <w:pStyle w:val="TableCell"/>
              <w:jc w:val="both"/>
              <w:rPr>
                <w:bCs/>
                <w:lang w:val="bg-BG"/>
              </w:rPr>
            </w:pPr>
            <w:r w:rsidRPr="005D0CFD">
              <w:rPr>
                <w:bCs/>
                <w:lang w:val="bg-BG"/>
              </w:rPr>
              <w:t>- работа с родители, педагогически специалисти и непедагогически персонал, в това число за превенция и недопускане на дискриминация за създаване на сплотени, отговорни и демократични училищни общности.</w:t>
            </w:r>
          </w:p>
          <w:p w14:paraId="375D82E4" w14:textId="77777777" w:rsidR="00CE3A7F" w:rsidRDefault="005D0CFD" w:rsidP="005D0CFD">
            <w:pPr>
              <w:pStyle w:val="TableCell"/>
              <w:jc w:val="both"/>
              <w:rPr>
                <w:bCs/>
                <w:lang w:val="bg-BG"/>
              </w:rPr>
            </w:pPr>
            <w:r w:rsidRPr="005D0CFD">
              <w:rPr>
                <w:bCs/>
                <w:lang w:val="bg-BG"/>
              </w:rPr>
              <w:t xml:space="preserve">Важно е да се отбележи, че овладяването на българския език, осъществяването на ефективна комуникация между връстници на българки език, както и включването им в дейности, насърчаващи мотивацията, поощряващи способностите им и подобряващи образователното им представяне, са ключови условия за  преодоляване на обособяването на определени образователни институции, това са т.н. образователни институции с концентрация на ученици от уязвими групи. </w:t>
            </w:r>
          </w:p>
          <w:p w14:paraId="19734929" w14:textId="77777777" w:rsidR="00181C8C" w:rsidRDefault="00181C8C" w:rsidP="005D0CFD">
            <w:pPr>
              <w:pStyle w:val="TableCell"/>
              <w:jc w:val="both"/>
              <w:rPr>
                <w:bCs/>
                <w:lang w:val="bg-BG"/>
              </w:rPr>
            </w:pPr>
          </w:p>
          <w:p w14:paraId="76CA65AF" w14:textId="77777777" w:rsidR="00E66091" w:rsidRPr="00C002AC" w:rsidRDefault="004668A2" w:rsidP="005D0CFD">
            <w:pPr>
              <w:pStyle w:val="TableCell"/>
              <w:jc w:val="both"/>
              <w:rPr>
                <w:bCs/>
                <w:lang w:val="bg-BG"/>
              </w:rPr>
            </w:pPr>
            <w:r w:rsidRPr="004668A2">
              <w:rPr>
                <w:bCs/>
                <w:lang w:val="bg-BG"/>
              </w:rPr>
              <w:t xml:space="preserve">Семействата в неравностойно положение получават социални помощи през програми на МТСП. МОН не може да осигури хранене </w:t>
            </w:r>
            <w:r w:rsidR="00181C8C" w:rsidRPr="004668A2">
              <w:rPr>
                <w:bCs/>
                <w:lang w:val="bg-BG"/>
              </w:rPr>
              <w:t xml:space="preserve">само </w:t>
            </w:r>
            <w:r w:rsidRPr="004668A2">
              <w:rPr>
                <w:bCs/>
                <w:lang w:val="bg-BG"/>
              </w:rPr>
              <w:t>за децата в неравностойно положение, тъй като ще бъде дискриминаци</w:t>
            </w:r>
            <w:r>
              <w:rPr>
                <w:bCs/>
                <w:lang w:val="bg-BG"/>
              </w:rPr>
              <w:t>онна мярка по отношение на оста</w:t>
            </w:r>
            <w:r w:rsidRPr="004668A2">
              <w:rPr>
                <w:bCs/>
                <w:lang w:val="bg-BG"/>
              </w:rPr>
              <w:t>налите</w:t>
            </w:r>
            <w:r>
              <w:rPr>
                <w:bCs/>
                <w:lang w:val="bg-BG"/>
              </w:rPr>
              <w:t xml:space="preserve">. </w:t>
            </w:r>
            <w:r w:rsidR="005D0CFD" w:rsidRPr="005D0CFD">
              <w:rPr>
                <w:bCs/>
                <w:lang w:val="bg-BG"/>
              </w:rPr>
              <w:t xml:space="preserve">Държавата прилага компенсаторни мерки за подпомагане на храненето на децата в задължителното предучилищно образование и на учениците от 1-ви до 4-ти клас в държавните и общинските детски градини, училища и центрове за специална образователна подкрепа. (чл. 11, 12, 13 от </w:t>
            </w:r>
            <w:r w:rsidR="002A0FD8">
              <w:rPr>
                <w:lang w:val="bg-BG"/>
              </w:rPr>
              <w:t xml:space="preserve"> Наредбата за финансиране на заведенията в системата на предучилищното и училищното образование</w:t>
            </w:r>
            <w:r w:rsidR="005D0CFD" w:rsidRPr="005D0CFD">
              <w:rPr>
                <w:bCs/>
                <w:lang w:val="bg-BG"/>
              </w:rPr>
              <w:t>). Освен това, директорите на училища могат да планират допълнителни средства за подпомагане на храненето на учениците в рамките на средствата от делегираните бюджети (чл. 15а от посочената наредба).</w:t>
            </w:r>
          </w:p>
        </w:tc>
      </w:tr>
      <w:tr w:rsidR="00412670" w:rsidRPr="00005C86" w14:paraId="460C64A5" w14:textId="77777777" w:rsidTr="003025A7">
        <w:tc>
          <w:tcPr>
            <w:tcW w:w="1567" w:type="pct"/>
            <w:tcBorders>
              <w:top w:val="single" w:sz="4" w:space="0" w:color="5B9BD5" w:themeColor="accent1"/>
            </w:tcBorders>
          </w:tcPr>
          <w:p w14:paraId="570FE967" w14:textId="77777777" w:rsidR="00412670" w:rsidRPr="006C3504" w:rsidRDefault="00353379" w:rsidP="004249D0">
            <w:pPr>
              <w:pStyle w:val="TableRow"/>
              <w:rPr>
                <w:lang w:val="bg-BG"/>
              </w:rPr>
            </w:pPr>
            <w:r w:rsidRPr="006C3504">
              <w:rPr>
                <w:lang w:val="bg-BG"/>
              </w:rPr>
              <w:lastRenderedPageBreak/>
              <w:t xml:space="preserve">40% от учениците се разсейват от своите </w:t>
            </w:r>
            <w:r w:rsidR="004249D0">
              <w:rPr>
                <w:lang w:val="bg-BG"/>
              </w:rPr>
              <w:t>дигитални</w:t>
            </w:r>
            <w:r w:rsidRPr="006C3504">
              <w:rPr>
                <w:lang w:val="bg-BG"/>
              </w:rPr>
              <w:t xml:space="preserve"> устройства по време на час по математика, а 42% от другите, които ги използват.</w:t>
            </w:r>
          </w:p>
        </w:tc>
        <w:tc>
          <w:tcPr>
            <w:tcW w:w="1717" w:type="pct"/>
            <w:tcBorders>
              <w:top w:val="single" w:sz="4" w:space="0" w:color="5B9BD5" w:themeColor="accent1"/>
            </w:tcBorders>
          </w:tcPr>
          <w:p w14:paraId="1879ECD6" w14:textId="77777777" w:rsidR="00412670" w:rsidRPr="006C3504" w:rsidRDefault="004A22E2" w:rsidP="004A22E2">
            <w:pPr>
              <w:pStyle w:val="TableCell"/>
              <w:jc w:val="both"/>
              <w:rPr>
                <w:lang w:val="bg-BG"/>
              </w:rPr>
            </w:pPr>
            <w:r>
              <w:rPr>
                <w:lang w:val="bg-BG"/>
              </w:rPr>
              <w:t>Да се в</w:t>
            </w:r>
            <w:r w:rsidR="00A01AFB">
              <w:rPr>
                <w:lang w:val="bg-BG"/>
              </w:rPr>
              <w:t>ъвед</w:t>
            </w:r>
            <w:r>
              <w:rPr>
                <w:lang w:val="bg-BG"/>
              </w:rPr>
              <w:t>е</w:t>
            </w:r>
            <w:r w:rsidR="00A01AFB">
              <w:rPr>
                <w:lang w:val="bg-BG"/>
              </w:rPr>
              <w:t xml:space="preserve"> забрана на</w:t>
            </w:r>
            <w:r w:rsidR="00353379" w:rsidRPr="006C3504">
              <w:rPr>
                <w:lang w:val="bg-BG"/>
              </w:rPr>
              <w:t xml:space="preserve"> използването на </w:t>
            </w:r>
            <w:r w:rsidR="004249D0">
              <w:rPr>
                <w:lang w:val="bg-BG"/>
              </w:rPr>
              <w:t>дигитални</w:t>
            </w:r>
            <w:r w:rsidR="00353379" w:rsidRPr="006C3504">
              <w:rPr>
                <w:lang w:val="bg-BG"/>
              </w:rPr>
              <w:t xml:space="preserve"> устройства поне по време на учебните часове.</w:t>
            </w:r>
          </w:p>
        </w:tc>
        <w:tc>
          <w:tcPr>
            <w:tcW w:w="1716" w:type="pct"/>
            <w:tcBorders>
              <w:top w:val="single" w:sz="4" w:space="0" w:color="5B9BD5" w:themeColor="accent1"/>
            </w:tcBorders>
          </w:tcPr>
          <w:p w14:paraId="187F8E1C" w14:textId="77777777" w:rsidR="00412670" w:rsidRDefault="009B37B1" w:rsidP="00412670">
            <w:pPr>
              <w:pStyle w:val="TableCell"/>
              <w:jc w:val="both"/>
              <w:rPr>
                <w:b/>
                <w:bCs/>
                <w:lang w:val="bg-BG"/>
              </w:rPr>
            </w:pPr>
            <w:r w:rsidRPr="009B37B1">
              <w:rPr>
                <w:b/>
                <w:bCs/>
                <w:lang w:val="bg-BG"/>
              </w:rPr>
              <w:t>Република България изразява съгласие с препоръката.</w:t>
            </w:r>
          </w:p>
          <w:p w14:paraId="707B7CC5" w14:textId="77777777" w:rsidR="00B42071" w:rsidRPr="00B42071" w:rsidRDefault="00B42071" w:rsidP="00B42071">
            <w:pPr>
              <w:pStyle w:val="TableCell"/>
              <w:jc w:val="both"/>
              <w:rPr>
                <w:lang w:val="bg-BG"/>
              </w:rPr>
            </w:pPr>
            <w:r w:rsidRPr="00B42071">
              <w:rPr>
                <w:b/>
                <w:i/>
                <w:u w:val="single"/>
                <w:lang w:val="bg-BG"/>
              </w:rPr>
              <w:t>Коментар:</w:t>
            </w:r>
            <w:r w:rsidRPr="00B42071">
              <w:rPr>
                <w:lang w:val="bg-BG"/>
              </w:rPr>
              <w:t xml:space="preserve"> И към момента чл. 172, ал. 1 от ЗПУО не позволява използването на мобилни телефони по време на учебните часове. Що се отнася до други дигитални устройства – компютри и лаптопи, това се осъществява в контролирана среда в часове за целите на обучението.</w:t>
            </w:r>
          </w:p>
          <w:p w14:paraId="4C6E7F09" w14:textId="77777777" w:rsidR="00B42071" w:rsidRPr="006C3504" w:rsidRDefault="00B42071" w:rsidP="00B42071">
            <w:pPr>
              <w:pStyle w:val="TableCell"/>
              <w:jc w:val="both"/>
              <w:rPr>
                <w:b/>
                <w:bCs/>
                <w:lang w:val="bg-BG"/>
              </w:rPr>
            </w:pPr>
            <w:r w:rsidRPr="00B42071">
              <w:rPr>
                <w:lang w:val="bg-BG"/>
              </w:rPr>
              <w:t>Законопроектът, приет на първо четене в НС, предвижда забрана за използване мобилни устройства за комуникация в училище, освен за строго образователни цели, по здравословни причини или при форсмажорни обстоятелства.</w:t>
            </w:r>
          </w:p>
        </w:tc>
      </w:tr>
      <w:tr w:rsidR="003D148E" w:rsidRPr="00005C86" w14:paraId="2099917C" w14:textId="77777777" w:rsidTr="00970270">
        <w:trPr>
          <w:trHeight w:val="249"/>
        </w:trPr>
        <w:tc>
          <w:tcPr>
            <w:tcW w:w="3284" w:type="pct"/>
            <w:gridSpan w:val="2"/>
            <w:tcBorders>
              <w:top w:val="single" w:sz="4" w:space="0" w:color="5B9BD5" w:themeColor="accent1"/>
              <w:bottom w:val="single" w:sz="4" w:space="0" w:color="5B9BD5" w:themeColor="accent1"/>
            </w:tcBorders>
          </w:tcPr>
          <w:p w14:paraId="647DE8C1" w14:textId="77777777" w:rsidR="003D148E" w:rsidRPr="006C3504" w:rsidRDefault="003D148E" w:rsidP="00853062">
            <w:pPr>
              <w:pStyle w:val="TableColumn"/>
              <w:rPr>
                <w:b/>
                <w:bCs/>
                <w:lang w:val="bg-BG"/>
              </w:rPr>
            </w:pPr>
            <w:r w:rsidRPr="006C3504">
              <w:rPr>
                <w:b/>
                <w:bCs/>
                <w:lang w:val="bg-BG"/>
              </w:rPr>
              <w:t xml:space="preserve">Повишаване на </w:t>
            </w:r>
            <w:r w:rsidR="00853062">
              <w:rPr>
                <w:b/>
                <w:bCs/>
                <w:lang w:val="bg-BG"/>
              </w:rPr>
              <w:t>представянето/резултатите</w:t>
            </w:r>
            <w:r w:rsidRPr="006C3504">
              <w:rPr>
                <w:b/>
                <w:bCs/>
                <w:lang w:val="bg-BG"/>
              </w:rPr>
              <w:t xml:space="preserve"> на учителите</w:t>
            </w:r>
          </w:p>
        </w:tc>
        <w:tc>
          <w:tcPr>
            <w:tcW w:w="1716" w:type="pct"/>
            <w:tcBorders>
              <w:top w:val="single" w:sz="4" w:space="0" w:color="5B9BD5" w:themeColor="accent1"/>
              <w:bottom w:val="single" w:sz="4" w:space="0" w:color="5B9BD5" w:themeColor="accent1"/>
            </w:tcBorders>
          </w:tcPr>
          <w:p w14:paraId="4D5713A5" w14:textId="77777777" w:rsidR="003D148E" w:rsidRPr="006C3504" w:rsidRDefault="003D148E" w:rsidP="00970270">
            <w:pPr>
              <w:pStyle w:val="TableColumn"/>
              <w:rPr>
                <w:b/>
                <w:bCs/>
                <w:lang w:val="bg-BG"/>
              </w:rPr>
            </w:pPr>
          </w:p>
        </w:tc>
      </w:tr>
      <w:tr w:rsidR="003D148E" w:rsidRPr="00005C86" w14:paraId="26F8A384" w14:textId="77777777" w:rsidTr="003D148E">
        <w:tc>
          <w:tcPr>
            <w:tcW w:w="1567" w:type="pct"/>
            <w:tcBorders>
              <w:top w:val="single" w:sz="4" w:space="0" w:color="5B9BD5" w:themeColor="accent1"/>
            </w:tcBorders>
          </w:tcPr>
          <w:p w14:paraId="3E6F1525" w14:textId="77777777" w:rsidR="003D148E" w:rsidRPr="006C3504" w:rsidRDefault="00B766F8" w:rsidP="00853062">
            <w:pPr>
              <w:pStyle w:val="TableRow"/>
              <w:rPr>
                <w:lang w:val="bg-BG"/>
              </w:rPr>
            </w:pPr>
            <w:r w:rsidRPr="006C3504">
              <w:rPr>
                <w:lang w:val="bg-BG"/>
              </w:rPr>
              <w:lastRenderedPageBreak/>
              <w:t xml:space="preserve">Преместването на ученик от учител, който е в </w:t>
            </w:r>
            <w:r w:rsidR="00853062">
              <w:rPr>
                <w:lang w:val="bg-BG"/>
              </w:rPr>
              <w:t>последните</w:t>
            </w:r>
            <w:r w:rsidRPr="006C3504">
              <w:rPr>
                <w:lang w:val="bg-BG"/>
              </w:rPr>
              <w:t xml:space="preserve"> 5 процента от разпределението </w:t>
            </w:r>
            <w:r w:rsidR="00853062">
              <w:rPr>
                <w:lang w:val="bg-BG"/>
              </w:rPr>
              <w:t>спрямо</w:t>
            </w:r>
            <w:r w:rsidRPr="006C3504">
              <w:rPr>
                <w:lang w:val="bg-BG"/>
              </w:rPr>
              <w:t xml:space="preserve"> качеството, към друг </w:t>
            </w:r>
            <w:r w:rsidR="00853062">
              <w:rPr>
                <w:lang w:val="bg-BG"/>
              </w:rPr>
              <w:t xml:space="preserve">учител </w:t>
            </w:r>
            <w:r w:rsidRPr="006C3504">
              <w:rPr>
                <w:lang w:val="bg-BG"/>
              </w:rPr>
              <w:t xml:space="preserve">в </w:t>
            </w:r>
            <w:r w:rsidR="00853062">
              <w:rPr>
                <w:lang w:val="bg-BG"/>
              </w:rPr>
              <w:t>най-</w:t>
            </w:r>
            <w:r w:rsidRPr="006C3504">
              <w:rPr>
                <w:lang w:val="bg-BG"/>
              </w:rPr>
              <w:t xml:space="preserve">горните 5 процента, би повишило оценките на ученика с 7 </w:t>
            </w:r>
            <w:r w:rsidR="00853062">
              <w:rPr>
                <w:lang w:val="bg-BG"/>
              </w:rPr>
              <w:t>по</w:t>
            </w:r>
            <w:r w:rsidRPr="006C3504">
              <w:rPr>
                <w:lang w:val="bg-BG"/>
              </w:rPr>
              <w:t xml:space="preserve"> Математика както в 7-и, така и в 10-и клас.</w:t>
            </w:r>
          </w:p>
        </w:tc>
        <w:tc>
          <w:tcPr>
            <w:tcW w:w="1717" w:type="pct"/>
            <w:tcBorders>
              <w:top w:val="single" w:sz="4" w:space="0" w:color="5B9BD5" w:themeColor="accent1"/>
            </w:tcBorders>
          </w:tcPr>
          <w:p w14:paraId="468AF0C7" w14:textId="77777777" w:rsidR="003D148E" w:rsidRPr="006C3504" w:rsidRDefault="004A22E2" w:rsidP="004A22E2">
            <w:pPr>
              <w:pStyle w:val="TableCell"/>
              <w:jc w:val="both"/>
              <w:rPr>
                <w:lang w:val="bg-BG"/>
              </w:rPr>
            </w:pPr>
            <w:r>
              <w:rPr>
                <w:lang w:val="bg-BG"/>
              </w:rPr>
              <w:t>Да се повиши</w:t>
            </w:r>
            <w:r w:rsidR="00B766F8" w:rsidRPr="006C3504">
              <w:rPr>
                <w:lang w:val="bg-BG"/>
              </w:rPr>
              <w:t xml:space="preserve"> качеството на учителите чрез предлагане на непрекъснато обучение и възможности за професионално развитие. В краткосрочен план </w:t>
            </w:r>
            <w:r w:rsidRPr="004A22E2">
              <w:rPr>
                <w:b/>
                <w:lang w:val="bg-BG"/>
              </w:rPr>
              <w:t xml:space="preserve">да се </w:t>
            </w:r>
            <w:r w:rsidR="00B766F8" w:rsidRPr="006C3504">
              <w:rPr>
                <w:b/>
                <w:lang w:val="bg-BG"/>
              </w:rPr>
              <w:t>позвол</w:t>
            </w:r>
            <w:r>
              <w:rPr>
                <w:b/>
                <w:lang w:val="bg-BG"/>
              </w:rPr>
              <w:t>и</w:t>
            </w:r>
            <w:r w:rsidR="00B766F8" w:rsidRPr="006C3504">
              <w:rPr>
                <w:b/>
                <w:lang w:val="bg-BG"/>
              </w:rPr>
              <w:t xml:space="preserve"> на повече ученици да се възползват от най-добрите учители, включително чрез ротация </w:t>
            </w:r>
            <w:r w:rsidR="00B766F8" w:rsidRPr="006C3504">
              <w:rPr>
                <w:lang w:val="bg-BG"/>
              </w:rPr>
              <w:t xml:space="preserve">или чрез предоставяне на записани видеоклипове </w:t>
            </w:r>
            <w:r w:rsidR="004249D0">
              <w:rPr>
                <w:lang w:val="bg-BG"/>
              </w:rPr>
              <w:t xml:space="preserve">достъпни </w:t>
            </w:r>
            <w:r>
              <w:rPr>
                <w:lang w:val="bg-BG"/>
              </w:rPr>
              <w:t>за</w:t>
            </w:r>
            <w:r w:rsidR="00B766F8" w:rsidRPr="006C3504">
              <w:rPr>
                <w:lang w:val="bg-BG"/>
              </w:rPr>
              <w:t xml:space="preserve"> всички.</w:t>
            </w:r>
          </w:p>
        </w:tc>
        <w:tc>
          <w:tcPr>
            <w:tcW w:w="1716" w:type="pct"/>
            <w:tcBorders>
              <w:top w:val="single" w:sz="4" w:space="0" w:color="5B9BD5" w:themeColor="accent1"/>
            </w:tcBorders>
          </w:tcPr>
          <w:p w14:paraId="5B43CEF1" w14:textId="77777777" w:rsidR="003D148E" w:rsidRDefault="009B37B1" w:rsidP="00970270">
            <w:pPr>
              <w:pStyle w:val="TableCell"/>
              <w:jc w:val="both"/>
              <w:rPr>
                <w:b/>
                <w:bCs/>
                <w:lang w:val="bg-BG"/>
              </w:rPr>
            </w:pPr>
            <w:r w:rsidRPr="009B37B1">
              <w:rPr>
                <w:b/>
                <w:bCs/>
                <w:lang w:val="bg-BG"/>
              </w:rPr>
              <w:t>Република България изразява</w:t>
            </w:r>
            <w:r w:rsidR="00E66091">
              <w:rPr>
                <w:b/>
                <w:bCs/>
                <w:lang w:val="bg-BG"/>
              </w:rPr>
              <w:t xml:space="preserve"> </w:t>
            </w:r>
            <w:r w:rsidR="002A0FD8">
              <w:rPr>
                <w:b/>
                <w:bCs/>
                <w:lang w:val="bg-BG"/>
              </w:rPr>
              <w:t xml:space="preserve">съгласие с препоръката, </w:t>
            </w:r>
            <w:r w:rsidR="002A0FD8" w:rsidRPr="002A0FD8">
              <w:rPr>
                <w:b/>
                <w:bCs/>
                <w:lang w:val="bg-BG"/>
              </w:rPr>
              <w:t>при отразяване на следната промяна:</w:t>
            </w:r>
          </w:p>
          <w:p w14:paraId="5366ECC9" w14:textId="77777777" w:rsidR="002A0FD8" w:rsidRDefault="002A0FD8" w:rsidP="00970270">
            <w:pPr>
              <w:pStyle w:val="TableCell"/>
              <w:jc w:val="both"/>
              <w:rPr>
                <w:lang w:val="bg-BG"/>
              </w:rPr>
            </w:pPr>
            <w:r w:rsidRPr="002A0FD8">
              <w:rPr>
                <w:b/>
                <w:bCs/>
                <w:u w:val="single"/>
                <w:lang w:val="bg-BG"/>
              </w:rPr>
              <w:t>Предложение за редакция:</w:t>
            </w:r>
            <w:r>
              <w:rPr>
                <w:b/>
                <w:bCs/>
                <w:u w:val="single"/>
                <w:lang w:val="bg-BG"/>
              </w:rPr>
              <w:t xml:space="preserve"> </w:t>
            </w:r>
            <w:r w:rsidRPr="002A0FD8">
              <w:rPr>
                <w:lang w:val="bg-BG"/>
              </w:rPr>
              <w:t xml:space="preserve">  </w:t>
            </w:r>
            <w:r w:rsidRPr="002A0FD8">
              <w:rPr>
                <w:strike/>
                <w:lang w:val="bg-BG"/>
              </w:rPr>
              <w:t>Да се повиши качеството на учителите чрез предлагане на непрекъснато обучение и възможности за</w:t>
            </w:r>
            <w:r w:rsidRPr="002A0FD8">
              <w:rPr>
                <w:lang w:val="bg-BG"/>
              </w:rPr>
              <w:t xml:space="preserve"> </w:t>
            </w:r>
            <w:r w:rsidRPr="002A0FD8">
              <w:rPr>
                <w:strike/>
                <w:lang w:val="bg-BG"/>
              </w:rPr>
              <w:t>професионално развитие. В краткосрочен план да се позволи на повече ученици да се възползват от най-добрите учители, включително чрез ротация или чрез предоставяне на записани видеоклипове достъпни за всички.</w:t>
            </w:r>
          </w:p>
          <w:p w14:paraId="2E96B0D0" w14:textId="77777777" w:rsidR="002A0FD8" w:rsidRPr="002A0FD8" w:rsidRDefault="002A0FD8" w:rsidP="00970270">
            <w:pPr>
              <w:pStyle w:val="TableCell"/>
              <w:jc w:val="both"/>
              <w:rPr>
                <w:b/>
                <w:bCs/>
                <w:u w:val="single"/>
                <w:lang w:val="bg-BG"/>
              </w:rPr>
            </w:pPr>
            <w:r w:rsidRPr="002A0FD8">
              <w:rPr>
                <w:b/>
                <w:bCs/>
                <w:lang w:val="bg-BG"/>
              </w:rPr>
              <w:t>Да се повиши квалификацията на учителите чрез предлагане на непрекъснато обучение и възможности за професионално развитие. В краткосрочен план да се позволи на повече ученици да се възползват от най-добрите учители, включително чрез електронни обучителни материали, достъпни за всички</w:t>
            </w:r>
            <w:r w:rsidRPr="002A0FD8">
              <w:rPr>
                <w:bCs/>
                <w:lang w:val="bg-BG"/>
              </w:rPr>
              <w:t>.</w:t>
            </w:r>
          </w:p>
          <w:p w14:paraId="6609F493" w14:textId="77777777" w:rsidR="00E66091" w:rsidRPr="006C3504" w:rsidRDefault="007D6C66" w:rsidP="00970270">
            <w:pPr>
              <w:pStyle w:val="TableCell"/>
              <w:jc w:val="both"/>
              <w:rPr>
                <w:b/>
                <w:bCs/>
                <w:lang w:val="bg-BG"/>
              </w:rPr>
            </w:pPr>
            <w:r>
              <w:rPr>
                <w:b/>
                <w:i/>
                <w:u w:val="single"/>
                <w:lang w:val="bg-BG"/>
              </w:rPr>
              <w:t>Мотиви</w:t>
            </w:r>
            <w:r w:rsidR="00E66091" w:rsidRPr="009E25EC">
              <w:rPr>
                <w:b/>
                <w:i/>
                <w:u w:val="single"/>
                <w:lang w:val="bg-BG"/>
              </w:rPr>
              <w:t>:</w:t>
            </w:r>
            <w:r w:rsidR="00E66091" w:rsidRPr="009E25EC">
              <w:rPr>
                <w:b/>
                <w:i/>
                <w:lang w:val="bg-BG"/>
              </w:rPr>
              <w:t xml:space="preserve"> </w:t>
            </w:r>
            <w:r w:rsidR="00E66091" w:rsidRPr="00070D8B">
              <w:rPr>
                <w:lang w:val="bg-BG"/>
              </w:rPr>
              <w:t>Задължителната ротация, каквато съществува в някои страни, едва ли би била социално приемлива у нас. По-реалистично е да се мисли за доброволни или стимулирани форми на мобилност, при които учителите имат възможност да работят известно време в училища с по-големи предизвикателства, но с ясна подкрепа и осигуряване.</w:t>
            </w:r>
          </w:p>
        </w:tc>
      </w:tr>
      <w:tr w:rsidR="003D148E" w:rsidRPr="00005C86" w14:paraId="7B68E963" w14:textId="77777777" w:rsidTr="00866EB9">
        <w:tc>
          <w:tcPr>
            <w:tcW w:w="1567" w:type="pct"/>
          </w:tcPr>
          <w:p w14:paraId="2BA5B8F3" w14:textId="77777777" w:rsidR="003D148E" w:rsidRPr="006C3504" w:rsidRDefault="00866EB9" w:rsidP="00970270">
            <w:pPr>
              <w:pStyle w:val="TableRow"/>
              <w:rPr>
                <w:lang w:val="bg-BG"/>
              </w:rPr>
            </w:pPr>
            <w:r w:rsidRPr="006C3504">
              <w:rPr>
                <w:lang w:val="bg-BG"/>
              </w:rPr>
              <w:t>Голяма част от учителите не се чув</w:t>
            </w:r>
            <w:r w:rsidR="006F2418">
              <w:rPr>
                <w:lang w:val="bg-BG"/>
              </w:rPr>
              <w:t>стват уверени в среда със смесени</w:t>
            </w:r>
            <w:r w:rsidRPr="006C3504">
              <w:rPr>
                <w:lang w:val="bg-BG"/>
              </w:rPr>
              <w:t xml:space="preserve"> способности или в мултикултурна среда.</w:t>
            </w:r>
          </w:p>
        </w:tc>
        <w:tc>
          <w:tcPr>
            <w:tcW w:w="1717" w:type="pct"/>
          </w:tcPr>
          <w:p w14:paraId="0FB50C62" w14:textId="77777777" w:rsidR="003D148E" w:rsidRPr="006C3504" w:rsidRDefault="00281FB8" w:rsidP="00281FB8">
            <w:pPr>
              <w:pStyle w:val="TableCell"/>
              <w:jc w:val="both"/>
              <w:rPr>
                <w:lang w:val="bg-BG"/>
              </w:rPr>
            </w:pPr>
            <w:r>
              <w:rPr>
                <w:lang w:val="bg-BG"/>
              </w:rPr>
              <w:t>Да се у</w:t>
            </w:r>
            <w:r w:rsidR="00C023AF">
              <w:rPr>
                <w:lang w:val="bg-BG"/>
              </w:rPr>
              <w:t>креп</w:t>
            </w:r>
            <w:r>
              <w:rPr>
                <w:lang w:val="bg-BG"/>
              </w:rPr>
              <w:t>и</w:t>
            </w:r>
            <w:r w:rsidR="00866EB9" w:rsidRPr="006C3504">
              <w:rPr>
                <w:lang w:val="bg-BG"/>
              </w:rPr>
              <w:t xml:space="preserve"> преподаването на дисциплина в клас, управлението на класната стая, както и наблюдението на развитието на учениците</w:t>
            </w:r>
            <w:r w:rsidR="00853062">
              <w:rPr>
                <w:lang w:val="bg-BG"/>
              </w:rPr>
              <w:t xml:space="preserve">, </w:t>
            </w:r>
            <w:r w:rsidR="00866EB9" w:rsidRPr="006C3504">
              <w:rPr>
                <w:lang w:val="bg-BG"/>
              </w:rPr>
              <w:t xml:space="preserve">и </w:t>
            </w:r>
            <w:r w:rsidRPr="006C3504">
              <w:rPr>
                <w:lang w:val="bg-BG"/>
              </w:rPr>
              <w:t xml:space="preserve">учителите </w:t>
            </w:r>
            <w:r>
              <w:rPr>
                <w:lang w:val="bg-BG"/>
              </w:rPr>
              <w:t xml:space="preserve">да бъдат </w:t>
            </w:r>
            <w:r w:rsidR="00866EB9" w:rsidRPr="006C3504">
              <w:rPr>
                <w:lang w:val="bg-BG"/>
              </w:rPr>
              <w:t>излага</w:t>
            </w:r>
            <w:r w:rsidR="00853062">
              <w:rPr>
                <w:lang w:val="bg-BG"/>
              </w:rPr>
              <w:t>н</w:t>
            </w:r>
            <w:r>
              <w:rPr>
                <w:lang w:val="bg-BG"/>
              </w:rPr>
              <w:t>и</w:t>
            </w:r>
            <w:r w:rsidR="00866EB9" w:rsidRPr="006C3504">
              <w:rPr>
                <w:lang w:val="bg-BG"/>
              </w:rPr>
              <w:t xml:space="preserve"> на практически опит в курсове за обучение.</w:t>
            </w:r>
          </w:p>
        </w:tc>
        <w:tc>
          <w:tcPr>
            <w:tcW w:w="1716" w:type="pct"/>
          </w:tcPr>
          <w:p w14:paraId="2FA8D7BB" w14:textId="77777777" w:rsidR="003D148E" w:rsidRPr="00C73098" w:rsidRDefault="009B37B1" w:rsidP="00970270">
            <w:pPr>
              <w:pStyle w:val="TableCell"/>
              <w:jc w:val="both"/>
              <w:rPr>
                <w:b/>
                <w:lang w:val="bg-BG"/>
              </w:rPr>
            </w:pPr>
            <w:r w:rsidRPr="00C73098">
              <w:rPr>
                <w:b/>
                <w:lang w:val="bg-BG"/>
              </w:rPr>
              <w:t>Република България изразява съгласие с препоръката.</w:t>
            </w:r>
          </w:p>
        </w:tc>
      </w:tr>
      <w:tr w:rsidR="00866EB9" w:rsidRPr="00005C86" w14:paraId="44787186" w14:textId="77777777" w:rsidTr="003D148E">
        <w:tc>
          <w:tcPr>
            <w:tcW w:w="1567" w:type="pct"/>
            <w:tcBorders>
              <w:bottom w:val="single" w:sz="4" w:space="0" w:color="5B9BD5" w:themeColor="accent1"/>
            </w:tcBorders>
          </w:tcPr>
          <w:p w14:paraId="02CE6D9C" w14:textId="77777777" w:rsidR="00866EB9" w:rsidRPr="006C3504" w:rsidRDefault="00866EB9" w:rsidP="0003697D">
            <w:pPr>
              <w:pStyle w:val="TableRow"/>
              <w:rPr>
                <w:lang w:val="bg-BG"/>
              </w:rPr>
            </w:pPr>
            <w:r w:rsidRPr="006C3504">
              <w:rPr>
                <w:lang w:val="bg-BG"/>
              </w:rPr>
              <w:t xml:space="preserve">Технологичните умения </w:t>
            </w:r>
            <w:r w:rsidR="00853062" w:rsidRPr="006C3504">
              <w:rPr>
                <w:lang w:val="bg-BG"/>
              </w:rPr>
              <w:t xml:space="preserve">на учителите </w:t>
            </w:r>
            <w:r w:rsidRPr="006C3504">
              <w:rPr>
                <w:lang w:val="bg-BG"/>
              </w:rPr>
              <w:t xml:space="preserve">и отношението </w:t>
            </w:r>
            <w:r w:rsidR="00853062">
              <w:rPr>
                <w:lang w:val="bg-BG"/>
              </w:rPr>
              <w:t xml:space="preserve">им </w:t>
            </w:r>
            <w:r w:rsidRPr="006C3504">
              <w:rPr>
                <w:lang w:val="bg-BG"/>
              </w:rPr>
              <w:t>към приемането на нови технологии представляват дори по-</w:t>
            </w:r>
            <w:r w:rsidR="00853062">
              <w:rPr>
                <w:lang w:val="bg-BG"/>
              </w:rPr>
              <w:t>големи</w:t>
            </w:r>
            <w:r w:rsidRPr="006C3504">
              <w:rPr>
                <w:lang w:val="bg-BG"/>
              </w:rPr>
              <w:t xml:space="preserve"> бариери от липсата на инфраструктура и оборудване.</w:t>
            </w:r>
          </w:p>
        </w:tc>
        <w:tc>
          <w:tcPr>
            <w:tcW w:w="1717" w:type="pct"/>
            <w:tcBorders>
              <w:bottom w:val="single" w:sz="4" w:space="0" w:color="5B9BD5" w:themeColor="accent1"/>
            </w:tcBorders>
          </w:tcPr>
          <w:p w14:paraId="444FA9DA" w14:textId="77777777" w:rsidR="00866EB9" w:rsidRPr="006C3504" w:rsidRDefault="005B567D" w:rsidP="005B567D">
            <w:pPr>
              <w:pStyle w:val="TableCell"/>
              <w:jc w:val="both"/>
              <w:rPr>
                <w:lang w:val="bg-BG"/>
              </w:rPr>
            </w:pPr>
            <w:r>
              <w:rPr>
                <w:lang w:val="bg-BG"/>
              </w:rPr>
              <w:t>Да се п</w:t>
            </w:r>
            <w:r w:rsidR="00866EB9" w:rsidRPr="006C3504">
              <w:rPr>
                <w:lang w:val="bg-BG"/>
              </w:rPr>
              <w:t>овиш</w:t>
            </w:r>
            <w:r>
              <w:rPr>
                <w:lang w:val="bg-BG"/>
              </w:rPr>
              <w:t>и</w:t>
            </w:r>
            <w:r w:rsidR="00866EB9" w:rsidRPr="006C3504">
              <w:rPr>
                <w:lang w:val="bg-BG"/>
              </w:rPr>
              <w:t xml:space="preserve"> осведомеността за нови технологии и </w:t>
            </w:r>
            <w:r>
              <w:rPr>
                <w:lang w:val="bg-BG"/>
              </w:rPr>
              <w:t xml:space="preserve">да се </w:t>
            </w:r>
            <w:r w:rsidR="00866EB9" w:rsidRPr="006C3504">
              <w:rPr>
                <w:lang w:val="bg-BG"/>
              </w:rPr>
              <w:t>поддържа</w:t>
            </w:r>
            <w:r>
              <w:rPr>
                <w:lang w:val="bg-BG"/>
              </w:rPr>
              <w:t>т</w:t>
            </w:r>
            <w:r w:rsidR="00866EB9" w:rsidRPr="006C3504">
              <w:rPr>
                <w:lang w:val="bg-BG"/>
              </w:rPr>
              <w:t xml:space="preserve"> учителите в крак с уменията необходими за запознаване на по-младите поколения с тези технологии.</w:t>
            </w:r>
          </w:p>
        </w:tc>
        <w:tc>
          <w:tcPr>
            <w:tcW w:w="1716" w:type="pct"/>
            <w:tcBorders>
              <w:bottom w:val="single" w:sz="4" w:space="0" w:color="5B9BD5" w:themeColor="accent1"/>
            </w:tcBorders>
          </w:tcPr>
          <w:p w14:paraId="3F33E22B" w14:textId="77777777" w:rsidR="00866EB9" w:rsidRPr="00C73098" w:rsidRDefault="009B37B1" w:rsidP="00970270">
            <w:pPr>
              <w:pStyle w:val="TableCell"/>
              <w:jc w:val="both"/>
              <w:rPr>
                <w:b/>
                <w:lang w:val="bg-BG"/>
              </w:rPr>
            </w:pPr>
            <w:r w:rsidRPr="00C73098">
              <w:rPr>
                <w:b/>
                <w:lang w:val="bg-BG"/>
              </w:rPr>
              <w:t>Република България изразява съгласие с препоръката.</w:t>
            </w:r>
          </w:p>
        </w:tc>
      </w:tr>
      <w:tr w:rsidR="00737B1D" w:rsidRPr="00005C86" w14:paraId="770BD78C" w14:textId="77777777" w:rsidTr="00970270">
        <w:trPr>
          <w:trHeight w:val="249"/>
        </w:trPr>
        <w:tc>
          <w:tcPr>
            <w:tcW w:w="3284" w:type="pct"/>
            <w:gridSpan w:val="2"/>
            <w:tcBorders>
              <w:top w:val="single" w:sz="4" w:space="0" w:color="5B9BD5" w:themeColor="accent1"/>
              <w:bottom w:val="single" w:sz="4" w:space="0" w:color="5B9BD5" w:themeColor="accent1"/>
            </w:tcBorders>
          </w:tcPr>
          <w:p w14:paraId="5BA7FCB7" w14:textId="77777777" w:rsidR="00737B1D" w:rsidRPr="006C3504" w:rsidRDefault="00D647BB" w:rsidP="00970270">
            <w:pPr>
              <w:pStyle w:val="TableColumn"/>
              <w:rPr>
                <w:b/>
                <w:bCs/>
                <w:lang w:val="bg-BG"/>
              </w:rPr>
            </w:pPr>
            <w:r w:rsidRPr="006C3504">
              <w:rPr>
                <w:b/>
                <w:bCs/>
                <w:lang w:val="bg-BG"/>
              </w:rPr>
              <w:t>Ефективно прилагане на реформата на учебната програма</w:t>
            </w:r>
          </w:p>
        </w:tc>
        <w:tc>
          <w:tcPr>
            <w:tcW w:w="1716" w:type="pct"/>
            <w:tcBorders>
              <w:top w:val="single" w:sz="4" w:space="0" w:color="5B9BD5" w:themeColor="accent1"/>
              <w:bottom w:val="single" w:sz="4" w:space="0" w:color="5B9BD5" w:themeColor="accent1"/>
            </w:tcBorders>
          </w:tcPr>
          <w:p w14:paraId="5696ECEB" w14:textId="77777777" w:rsidR="00737B1D" w:rsidRPr="006C3504" w:rsidRDefault="00737B1D" w:rsidP="00970270">
            <w:pPr>
              <w:pStyle w:val="TableColumn"/>
              <w:rPr>
                <w:b/>
                <w:bCs/>
                <w:lang w:val="bg-BG"/>
              </w:rPr>
            </w:pPr>
          </w:p>
        </w:tc>
      </w:tr>
      <w:tr w:rsidR="00737B1D" w:rsidRPr="00005C86" w14:paraId="60F387D5" w14:textId="77777777" w:rsidTr="00970270">
        <w:tc>
          <w:tcPr>
            <w:tcW w:w="1567" w:type="pct"/>
            <w:tcBorders>
              <w:top w:val="single" w:sz="4" w:space="0" w:color="5B9BD5" w:themeColor="accent1"/>
            </w:tcBorders>
          </w:tcPr>
          <w:p w14:paraId="1C591072" w14:textId="77777777" w:rsidR="00737B1D" w:rsidRPr="006C3504" w:rsidRDefault="00EE1201" w:rsidP="00970270">
            <w:pPr>
              <w:pStyle w:val="TableRow"/>
              <w:rPr>
                <w:lang w:val="bg-BG"/>
              </w:rPr>
            </w:pPr>
            <w:r w:rsidRPr="006C3504">
              <w:rPr>
                <w:lang w:val="bg-BG"/>
              </w:rPr>
              <w:t>Реформата на учебните програми ще включва нови технологии и ще изисква нови умения, които е трудно да се придобият от по-възрастните учители.</w:t>
            </w:r>
          </w:p>
        </w:tc>
        <w:tc>
          <w:tcPr>
            <w:tcW w:w="1717" w:type="pct"/>
            <w:tcBorders>
              <w:top w:val="single" w:sz="4" w:space="0" w:color="5B9BD5" w:themeColor="accent1"/>
            </w:tcBorders>
          </w:tcPr>
          <w:p w14:paraId="1FD89F30" w14:textId="77777777" w:rsidR="00737B1D" w:rsidRPr="006C3504" w:rsidRDefault="00EE1201" w:rsidP="006F2418">
            <w:pPr>
              <w:pStyle w:val="TableCell"/>
              <w:jc w:val="both"/>
              <w:rPr>
                <w:lang w:val="bg-BG"/>
              </w:rPr>
            </w:pPr>
            <w:r w:rsidRPr="006C3504">
              <w:rPr>
                <w:lang w:val="bg-BG"/>
              </w:rPr>
              <w:t xml:space="preserve">За да </w:t>
            </w:r>
            <w:r w:rsidR="00853062">
              <w:rPr>
                <w:lang w:val="bg-BG"/>
              </w:rPr>
              <w:t xml:space="preserve">се </w:t>
            </w:r>
            <w:r w:rsidRPr="006C3504">
              <w:rPr>
                <w:lang w:val="bg-BG"/>
              </w:rPr>
              <w:t xml:space="preserve">компенсира недостига на специализирани учители, </w:t>
            </w:r>
            <w:r w:rsidR="00C023AF">
              <w:rPr>
                <w:lang w:val="bg-BG"/>
              </w:rPr>
              <w:t>да се помисли</w:t>
            </w:r>
            <w:r w:rsidRPr="006C3504">
              <w:rPr>
                <w:lang w:val="bg-BG"/>
              </w:rPr>
              <w:t xml:space="preserve"> за наемане на външни специалисти, които да преподават специфични предмети изискващи високи технически умения, включително студенти.</w:t>
            </w:r>
          </w:p>
        </w:tc>
        <w:tc>
          <w:tcPr>
            <w:tcW w:w="1716" w:type="pct"/>
            <w:tcBorders>
              <w:top w:val="single" w:sz="4" w:space="0" w:color="5B9BD5" w:themeColor="accent1"/>
            </w:tcBorders>
          </w:tcPr>
          <w:p w14:paraId="545FA9A3" w14:textId="77777777" w:rsidR="00737B1D" w:rsidRDefault="009B37B1" w:rsidP="00970270">
            <w:pPr>
              <w:pStyle w:val="TableCell"/>
              <w:jc w:val="both"/>
              <w:rPr>
                <w:b/>
                <w:bCs/>
                <w:lang w:val="bg-BG"/>
              </w:rPr>
            </w:pPr>
            <w:r w:rsidRPr="009B37B1">
              <w:rPr>
                <w:b/>
                <w:bCs/>
                <w:lang w:val="bg-BG"/>
              </w:rPr>
              <w:t>Република България изразява</w:t>
            </w:r>
            <w:r w:rsidR="00E66091">
              <w:rPr>
                <w:b/>
                <w:bCs/>
                <w:lang w:val="bg-BG"/>
              </w:rPr>
              <w:t xml:space="preserve"> частично</w:t>
            </w:r>
            <w:r w:rsidRPr="009B37B1">
              <w:rPr>
                <w:b/>
                <w:bCs/>
                <w:lang w:val="bg-BG"/>
              </w:rPr>
              <w:t xml:space="preserve"> съгласие с препоръката</w:t>
            </w:r>
            <w:r w:rsidR="00B7663E">
              <w:rPr>
                <w:b/>
                <w:bCs/>
                <w:lang w:val="bg-BG"/>
              </w:rPr>
              <w:t xml:space="preserve"> и заключението</w:t>
            </w:r>
            <w:r w:rsidRPr="009B37B1">
              <w:rPr>
                <w:b/>
                <w:bCs/>
                <w:lang w:val="bg-BG"/>
              </w:rPr>
              <w:t>.</w:t>
            </w:r>
          </w:p>
          <w:p w14:paraId="74FBAAB4" w14:textId="77777777" w:rsidR="00071668" w:rsidRDefault="00071668" w:rsidP="00970270">
            <w:pPr>
              <w:pStyle w:val="TableCell"/>
              <w:jc w:val="both"/>
              <w:rPr>
                <w:bCs/>
                <w:lang w:val="bg-BG"/>
              </w:rPr>
            </w:pPr>
            <w:r w:rsidRPr="009E25EC">
              <w:rPr>
                <w:b/>
                <w:i/>
                <w:u w:val="single"/>
                <w:lang w:val="bg-BG"/>
              </w:rPr>
              <w:t>Предложение за редакция:</w:t>
            </w:r>
            <w:r>
              <w:rPr>
                <w:bCs/>
                <w:lang w:val="bg-BG"/>
              </w:rPr>
              <w:t xml:space="preserve"> </w:t>
            </w:r>
            <w:r w:rsidR="00037911" w:rsidRPr="00037911">
              <w:rPr>
                <w:lang w:val="bg-BG"/>
              </w:rPr>
              <w:t xml:space="preserve"> </w:t>
            </w:r>
            <w:r w:rsidR="00037911" w:rsidRPr="00037911">
              <w:rPr>
                <w:bCs/>
                <w:lang w:val="bg-BG"/>
              </w:rPr>
              <w:t xml:space="preserve">За да се компенсира недостига на специализирани учители, да се помисли за наемане на външни специалисти, които да преподават специфични предмети изискващи високи технически умения, </w:t>
            </w:r>
            <w:r w:rsidR="00037911" w:rsidRPr="00037911">
              <w:rPr>
                <w:bCs/>
                <w:strike/>
                <w:lang w:val="bg-BG"/>
              </w:rPr>
              <w:t>включително студенти.</w:t>
            </w:r>
          </w:p>
          <w:p w14:paraId="75D0A915" w14:textId="77777777" w:rsidR="00E66091" w:rsidRPr="006C3504" w:rsidRDefault="007A2E0F" w:rsidP="00970270">
            <w:pPr>
              <w:pStyle w:val="TableCell"/>
              <w:jc w:val="both"/>
              <w:rPr>
                <w:b/>
                <w:bCs/>
                <w:lang w:val="bg-BG"/>
              </w:rPr>
            </w:pPr>
            <w:r>
              <w:rPr>
                <w:b/>
                <w:i/>
                <w:u w:val="single"/>
                <w:lang w:val="bg-BG"/>
              </w:rPr>
              <w:t>Мотиви</w:t>
            </w:r>
            <w:r w:rsidR="00E66091" w:rsidRPr="009E25EC">
              <w:rPr>
                <w:b/>
                <w:i/>
                <w:u w:val="single"/>
                <w:lang w:val="bg-BG"/>
              </w:rPr>
              <w:t>:</w:t>
            </w:r>
            <w:r w:rsidR="00E66091">
              <w:rPr>
                <w:b/>
                <w:bCs/>
                <w:lang w:val="bg-BG"/>
              </w:rPr>
              <w:t xml:space="preserve"> </w:t>
            </w:r>
            <w:r w:rsidR="00E66091" w:rsidRPr="00781645">
              <w:rPr>
                <w:lang w:val="bg-BG"/>
              </w:rPr>
              <w:t>Преподаването в училище изисква учителска</w:t>
            </w:r>
            <w:r w:rsidR="00E66091">
              <w:rPr>
                <w:lang w:val="bg-BG"/>
              </w:rPr>
              <w:t xml:space="preserve"> правоспособност и</w:t>
            </w:r>
            <w:r w:rsidR="00E66091" w:rsidRPr="00781645">
              <w:rPr>
                <w:lang w:val="bg-BG"/>
              </w:rPr>
              <w:t xml:space="preserve"> квалификация, каквато </w:t>
            </w:r>
            <w:r w:rsidR="00E66091">
              <w:rPr>
                <w:lang w:val="bg-BG"/>
              </w:rPr>
              <w:t>студентите</w:t>
            </w:r>
            <w:r w:rsidR="00E66091" w:rsidRPr="00781645">
              <w:rPr>
                <w:lang w:val="bg-BG"/>
              </w:rPr>
              <w:t xml:space="preserve"> все още не притежават.</w:t>
            </w:r>
          </w:p>
        </w:tc>
      </w:tr>
      <w:tr w:rsidR="00737B1D" w:rsidRPr="006C3504" w14:paraId="534E3BB0" w14:textId="77777777" w:rsidTr="00970270">
        <w:trPr>
          <w:trHeight w:val="249"/>
        </w:trPr>
        <w:tc>
          <w:tcPr>
            <w:tcW w:w="3284" w:type="pct"/>
            <w:gridSpan w:val="2"/>
            <w:tcBorders>
              <w:top w:val="single" w:sz="4" w:space="0" w:color="5B9BD5" w:themeColor="accent1"/>
              <w:bottom w:val="single" w:sz="4" w:space="0" w:color="5B9BD5" w:themeColor="accent1"/>
            </w:tcBorders>
          </w:tcPr>
          <w:p w14:paraId="79AEE44C" w14:textId="77777777" w:rsidR="00737B1D" w:rsidRPr="006C3504" w:rsidRDefault="00EE1201" w:rsidP="00970270">
            <w:pPr>
              <w:pStyle w:val="TableColumn"/>
              <w:rPr>
                <w:b/>
                <w:bCs/>
                <w:lang w:val="bg-BG"/>
              </w:rPr>
            </w:pPr>
            <w:r w:rsidRPr="006C3504">
              <w:rPr>
                <w:b/>
                <w:bCs/>
                <w:lang w:val="bg-BG"/>
              </w:rPr>
              <w:t>Отлагане на проследяването</w:t>
            </w:r>
          </w:p>
        </w:tc>
        <w:tc>
          <w:tcPr>
            <w:tcW w:w="1716" w:type="pct"/>
            <w:tcBorders>
              <w:top w:val="single" w:sz="4" w:space="0" w:color="5B9BD5" w:themeColor="accent1"/>
              <w:bottom w:val="single" w:sz="4" w:space="0" w:color="5B9BD5" w:themeColor="accent1"/>
            </w:tcBorders>
          </w:tcPr>
          <w:p w14:paraId="4579235B" w14:textId="77777777" w:rsidR="00737B1D" w:rsidRPr="006C3504" w:rsidRDefault="00737B1D" w:rsidP="00970270">
            <w:pPr>
              <w:pStyle w:val="TableColumn"/>
              <w:rPr>
                <w:b/>
                <w:bCs/>
                <w:lang w:val="bg-BG"/>
              </w:rPr>
            </w:pPr>
          </w:p>
        </w:tc>
      </w:tr>
      <w:tr w:rsidR="00737B1D" w:rsidRPr="00005C86" w14:paraId="78F0BEDE" w14:textId="77777777" w:rsidTr="00970270">
        <w:tc>
          <w:tcPr>
            <w:tcW w:w="1567" w:type="pct"/>
            <w:tcBorders>
              <w:top w:val="single" w:sz="4" w:space="0" w:color="5B9BD5" w:themeColor="accent1"/>
            </w:tcBorders>
          </w:tcPr>
          <w:p w14:paraId="7B54C2C6" w14:textId="77777777" w:rsidR="00737B1D" w:rsidRPr="00436B26" w:rsidRDefault="00C922EE" w:rsidP="006F2418">
            <w:pPr>
              <w:pStyle w:val="TableRow"/>
              <w:rPr>
                <w:lang w:val="bg-BG"/>
              </w:rPr>
            </w:pPr>
            <w:r w:rsidRPr="00436B26">
              <w:rPr>
                <w:lang w:val="bg-BG"/>
              </w:rPr>
              <w:t>Ранната система за проследяване задълбочава социалн</w:t>
            </w:r>
            <w:r w:rsidR="006F2418" w:rsidRPr="00436B26">
              <w:rPr>
                <w:lang w:val="bg-BG"/>
              </w:rPr>
              <w:t>ото разслоение</w:t>
            </w:r>
            <w:r w:rsidRPr="00436B26">
              <w:rPr>
                <w:lang w:val="bg-BG"/>
              </w:rPr>
              <w:t xml:space="preserve"> като насочва уязвимите ученици към по-ниско</w:t>
            </w:r>
            <w:r w:rsidR="006F2418" w:rsidRPr="00436B26">
              <w:rPr>
                <w:lang w:val="bg-BG"/>
              </w:rPr>
              <w:t>качествени</w:t>
            </w:r>
            <w:r w:rsidRPr="00436B26">
              <w:rPr>
                <w:lang w:val="bg-BG"/>
              </w:rPr>
              <w:t xml:space="preserve"> образователни пътища.</w:t>
            </w:r>
          </w:p>
        </w:tc>
        <w:tc>
          <w:tcPr>
            <w:tcW w:w="1717" w:type="pct"/>
            <w:tcBorders>
              <w:top w:val="single" w:sz="4" w:space="0" w:color="5B9BD5" w:themeColor="accent1"/>
            </w:tcBorders>
          </w:tcPr>
          <w:p w14:paraId="7DC11F16" w14:textId="77777777" w:rsidR="00737B1D" w:rsidRPr="00436B26" w:rsidRDefault="00D05735" w:rsidP="00D05735">
            <w:pPr>
              <w:pStyle w:val="TableCell"/>
              <w:jc w:val="left"/>
              <w:rPr>
                <w:b/>
                <w:lang w:val="bg-BG"/>
              </w:rPr>
            </w:pPr>
            <w:r w:rsidRPr="00436B26">
              <w:rPr>
                <w:b/>
                <w:lang w:val="bg-BG"/>
              </w:rPr>
              <w:t>Да се п</w:t>
            </w:r>
            <w:r w:rsidR="00C023AF" w:rsidRPr="00436B26">
              <w:rPr>
                <w:b/>
                <w:lang w:val="bg-BG"/>
              </w:rPr>
              <w:t>рил</w:t>
            </w:r>
            <w:r w:rsidRPr="00436B26">
              <w:rPr>
                <w:b/>
                <w:lang w:val="bg-BG"/>
              </w:rPr>
              <w:t>ожат</w:t>
            </w:r>
            <w:r w:rsidR="00C922EE" w:rsidRPr="00436B26">
              <w:rPr>
                <w:b/>
                <w:lang w:val="bg-BG"/>
              </w:rPr>
              <w:t xml:space="preserve"> системни реформи за забав</w:t>
            </w:r>
            <w:r w:rsidR="00853062" w:rsidRPr="00436B26">
              <w:rPr>
                <w:b/>
                <w:lang w:val="bg-BG"/>
              </w:rPr>
              <w:t>яне</w:t>
            </w:r>
            <w:r w:rsidR="00C922EE" w:rsidRPr="00436B26">
              <w:rPr>
                <w:b/>
                <w:lang w:val="bg-BG"/>
              </w:rPr>
              <w:t xml:space="preserve"> проследяването.</w:t>
            </w:r>
          </w:p>
        </w:tc>
        <w:tc>
          <w:tcPr>
            <w:tcW w:w="1716" w:type="pct"/>
            <w:tcBorders>
              <w:top w:val="single" w:sz="4" w:space="0" w:color="5B9BD5" w:themeColor="accent1"/>
            </w:tcBorders>
          </w:tcPr>
          <w:p w14:paraId="74D28441" w14:textId="77777777" w:rsidR="004B7898" w:rsidRDefault="009B37B1" w:rsidP="007C34D7">
            <w:pPr>
              <w:rPr>
                <w:b/>
                <w:bCs/>
                <w:szCs w:val="22"/>
                <w:lang w:val="bg-BG" w:eastAsia="en-US"/>
              </w:rPr>
            </w:pPr>
            <w:r w:rsidRPr="00436B26">
              <w:rPr>
                <w:b/>
                <w:bCs/>
                <w:lang w:val="bg-BG"/>
              </w:rPr>
              <w:t xml:space="preserve">Република България изразява </w:t>
            </w:r>
            <w:r w:rsidR="00305316">
              <w:rPr>
                <w:b/>
                <w:bCs/>
                <w:lang w:val="bg-BG"/>
              </w:rPr>
              <w:t xml:space="preserve">частично </w:t>
            </w:r>
            <w:r w:rsidRPr="00436B26">
              <w:rPr>
                <w:b/>
                <w:bCs/>
                <w:lang w:val="bg-BG"/>
              </w:rPr>
              <w:t>съгласие с препоръката</w:t>
            </w:r>
            <w:r w:rsidR="004B7898">
              <w:rPr>
                <w:b/>
                <w:bCs/>
                <w:szCs w:val="22"/>
                <w:lang w:val="bg-BG" w:eastAsia="en-US"/>
              </w:rPr>
              <w:t xml:space="preserve"> при отразяване на </w:t>
            </w:r>
            <w:r w:rsidR="007D6C66">
              <w:rPr>
                <w:b/>
                <w:bCs/>
                <w:szCs w:val="22"/>
                <w:lang w:val="bg-BG" w:eastAsia="en-US"/>
              </w:rPr>
              <w:t xml:space="preserve">следната </w:t>
            </w:r>
            <w:r w:rsidR="004B7898">
              <w:rPr>
                <w:b/>
                <w:bCs/>
                <w:szCs w:val="22"/>
                <w:lang w:val="bg-BG" w:eastAsia="en-US"/>
              </w:rPr>
              <w:t>редакция:</w:t>
            </w:r>
          </w:p>
          <w:p w14:paraId="4B2895CB" w14:textId="77777777" w:rsidR="004B7898" w:rsidRDefault="004B7898" w:rsidP="007C34D7">
            <w:pPr>
              <w:rPr>
                <w:b/>
                <w:bCs/>
                <w:szCs w:val="22"/>
                <w:lang w:val="bg-BG" w:eastAsia="en-US"/>
              </w:rPr>
            </w:pPr>
            <w:r w:rsidRPr="004B7898">
              <w:rPr>
                <w:b/>
                <w:bCs/>
                <w:i/>
                <w:szCs w:val="22"/>
                <w:u w:val="single"/>
                <w:lang w:val="bg-BG" w:eastAsia="en-US"/>
              </w:rPr>
              <w:t>Предложение за редакция:</w:t>
            </w:r>
            <w:r w:rsidRPr="004B7898">
              <w:rPr>
                <w:b/>
                <w:bCs/>
                <w:szCs w:val="22"/>
                <w:lang w:val="bg-BG" w:eastAsia="en-US"/>
              </w:rPr>
              <w:t xml:space="preserve"> </w:t>
            </w:r>
            <w:r w:rsidRPr="004B7898">
              <w:rPr>
                <w:lang w:val="bg-BG"/>
              </w:rPr>
              <w:t xml:space="preserve"> </w:t>
            </w:r>
            <w:r w:rsidRPr="004B7898">
              <w:rPr>
                <w:bCs/>
                <w:strike/>
                <w:szCs w:val="22"/>
                <w:lang w:val="bg-BG" w:eastAsia="en-US"/>
              </w:rPr>
              <w:t>Да се приложат системни реформи за забавяне проследяването.</w:t>
            </w:r>
          </w:p>
          <w:p w14:paraId="6F07610A" w14:textId="77777777" w:rsidR="004B7898" w:rsidRPr="004B7898" w:rsidRDefault="004B7898" w:rsidP="007C34D7">
            <w:pPr>
              <w:rPr>
                <w:b/>
                <w:bCs/>
                <w:i/>
                <w:szCs w:val="22"/>
                <w:u w:val="single"/>
                <w:lang w:val="bg-BG" w:eastAsia="en-US"/>
              </w:rPr>
            </w:pPr>
            <w:r w:rsidRPr="004B7898">
              <w:rPr>
                <w:b/>
                <w:bCs/>
                <w:szCs w:val="22"/>
                <w:lang w:val="bg-BG" w:eastAsia="en-US"/>
              </w:rPr>
              <w:t>Да продължат системни реформи  в областта на отлагане на момента и на дела на учебното време, свързано с тясно специализиране</w:t>
            </w:r>
          </w:p>
          <w:p w14:paraId="0922A3BD" w14:textId="77777777" w:rsidR="00F86ACF" w:rsidRDefault="00F86ACF" w:rsidP="007C34D7">
            <w:pPr>
              <w:rPr>
                <w:b/>
                <w:bCs/>
                <w:lang w:val="bg-BG"/>
              </w:rPr>
            </w:pPr>
          </w:p>
          <w:p w14:paraId="10F03ABE" w14:textId="77777777" w:rsidR="007C34D7" w:rsidRDefault="00236197" w:rsidP="007C34D7">
            <w:pPr>
              <w:rPr>
                <w:b/>
                <w:bCs/>
                <w:szCs w:val="22"/>
                <w:lang w:val="bg-BG" w:eastAsia="en-US"/>
              </w:rPr>
            </w:pPr>
            <w:r w:rsidRPr="00436B26">
              <w:rPr>
                <w:b/>
                <w:bCs/>
                <w:lang w:val="bg-BG"/>
              </w:rPr>
              <w:t xml:space="preserve">Република България изразява </w:t>
            </w:r>
            <w:r w:rsidR="007C34D7" w:rsidRPr="007C34D7">
              <w:rPr>
                <w:b/>
                <w:bCs/>
                <w:szCs w:val="22"/>
                <w:lang w:val="bg-BG" w:eastAsia="en-US"/>
              </w:rPr>
              <w:t xml:space="preserve">несъгласие с констатацията. </w:t>
            </w:r>
          </w:p>
          <w:p w14:paraId="6B0A3D86" w14:textId="77777777" w:rsidR="007C34D7" w:rsidRPr="007C34D7" w:rsidRDefault="00EA7EEB" w:rsidP="007C34D7">
            <w:pPr>
              <w:rPr>
                <w:color w:val="000000" w:themeColor="text1"/>
                <w:lang w:val="bg-BG"/>
              </w:rPr>
            </w:pPr>
            <w:r>
              <w:rPr>
                <w:b/>
                <w:i/>
                <w:color w:val="000000" w:themeColor="text1"/>
                <w:u w:val="single"/>
                <w:lang w:val="bg-BG"/>
              </w:rPr>
              <w:lastRenderedPageBreak/>
              <w:t>Мотив</w:t>
            </w:r>
            <w:r w:rsidR="007C34D7" w:rsidRPr="007C34D7">
              <w:rPr>
                <w:b/>
                <w:i/>
                <w:color w:val="000000" w:themeColor="text1"/>
                <w:u w:val="single"/>
                <w:lang w:val="bg-BG"/>
              </w:rPr>
              <w:t>:</w:t>
            </w:r>
            <w:r w:rsidR="007C34D7">
              <w:rPr>
                <w:b/>
                <w:i/>
                <w:color w:val="000000" w:themeColor="text1"/>
                <w:lang w:val="bg-BG"/>
              </w:rPr>
              <w:t xml:space="preserve"> </w:t>
            </w:r>
            <w:r w:rsidR="007C34D7" w:rsidRPr="007C34D7">
              <w:rPr>
                <w:b/>
                <w:i/>
                <w:color w:val="000000" w:themeColor="text1"/>
                <w:lang w:val="bg-BG"/>
              </w:rPr>
              <w:t xml:space="preserve"> </w:t>
            </w:r>
            <w:r w:rsidR="007C34D7" w:rsidRPr="007C34D7">
              <w:rPr>
                <w:color w:val="000000" w:themeColor="text1"/>
                <w:lang w:val="bg-BG"/>
              </w:rPr>
              <w:t>Към момента независимо от избора на ученика да се включи в обучение за придобиване на профилирано или на професионално образование, до края на първи гимназиален етап (до края на 10. клас) изучава едни и същи общообразователни предмети като всички останали ученици. В този смисъл не може да се говори за нискокачествени образователни пътища. Осъзнаваме обаче, че предлаганото качество на образованието силно се различава в отделните региони и училища. В тази връзка се правят стъпки по посока на стандарт за управление на качеството, инспектиране, оценка на резултатите от труда на учителите, но преди всичко методическа подкрепа и създаване</w:t>
            </w:r>
            <w:r w:rsidR="007C34D7" w:rsidRPr="007C34D7">
              <w:rPr>
                <w:color w:val="FF0000"/>
                <w:szCs w:val="22"/>
                <w:lang w:val="bg-BG" w:eastAsia="en-US"/>
              </w:rPr>
              <w:t xml:space="preserve"> </w:t>
            </w:r>
            <w:r w:rsidR="007C34D7" w:rsidRPr="007C34D7">
              <w:rPr>
                <w:color w:val="000000" w:themeColor="text1"/>
                <w:lang w:val="bg-BG"/>
              </w:rPr>
              <w:t>на ПУО за обмен на добри практики.</w:t>
            </w:r>
          </w:p>
          <w:p w14:paraId="02E727DB" w14:textId="77777777" w:rsidR="00737B1D" w:rsidRPr="00436B26" w:rsidRDefault="007C34D7" w:rsidP="007C34D7">
            <w:pPr>
              <w:pStyle w:val="TableCell"/>
              <w:jc w:val="both"/>
              <w:rPr>
                <w:b/>
                <w:bCs/>
                <w:lang w:val="bg-BG"/>
              </w:rPr>
            </w:pPr>
            <w:r w:rsidRPr="007E553E">
              <w:rPr>
                <w:lang w:val="bg-BG"/>
              </w:rPr>
              <w:t>Обмислят се и законодателни промени, свързани с реформи в областта на отлагане на момента и на дела на учебното време, свързано с тясно специализиране.</w:t>
            </w:r>
          </w:p>
        </w:tc>
      </w:tr>
      <w:tr w:rsidR="00737B1D" w:rsidRPr="00005C86" w14:paraId="2AA9A32E" w14:textId="77777777" w:rsidTr="00970270">
        <w:tc>
          <w:tcPr>
            <w:tcW w:w="1567" w:type="pct"/>
          </w:tcPr>
          <w:p w14:paraId="46D74156" w14:textId="77777777" w:rsidR="00737B1D" w:rsidRPr="006C3504" w:rsidRDefault="001C7584" w:rsidP="00970270">
            <w:pPr>
              <w:pStyle w:val="TableRow"/>
              <w:rPr>
                <w:lang w:val="bg-BG"/>
              </w:rPr>
            </w:pPr>
            <w:r w:rsidRPr="006C3504">
              <w:rPr>
                <w:lang w:val="bg-BG"/>
              </w:rPr>
              <w:lastRenderedPageBreak/>
              <w:t>Сегрегацията на уязвимите продължава въпреки някои инициативи и води до слаби резултати.</w:t>
            </w:r>
          </w:p>
        </w:tc>
        <w:tc>
          <w:tcPr>
            <w:tcW w:w="1717" w:type="pct"/>
          </w:tcPr>
          <w:p w14:paraId="4AF2665E" w14:textId="77777777" w:rsidR="00737B1D" w:rsidRPr="006C3504" w:rsidRDefault="0094013F" w:rsidP="0094013F">
            <w:pPr>
              <w:pStyle w:val="TableCell"/>
              <w:jc w:val="both"/>
              <w:rPr>
                <w:lang w:val="bg-BG"/>
              </w:rPr>
            </w:pPr>
            <w:r>
              <w:rPr>
                <w:lang w:val="bg-BG"/>
              </w:rPr>
              <w:t xml:space="preserve">Да се </w:t>
            </w:r>
            <w:proofErr w:type="spellStart"/>
            <w:r>
              <w:rPr>
                <w:lang w:val="bg-BG"/>
              </w:rPr>
              <w:t>д</w:t>
            </w:r>
            <w:r w:rsidR="00C023AF">
              <w:rPr>
                <w:lang w:val="bg-BG"/>
              </w:rPr>
              <w:t>есегрегира</w:t>
            </w:r>
            <w:r>
              <w:rPr>
                <w:lang w:val="bg-BG"/>
              </w:rPr>
              <w:t>т</w:t>
            </w:r>
            <w:proofErr w:type="spellEnd"/>
            <w:r w:rsidR="00853062">
              <w:rPr>
                <w:lang w:val="bg-BG"/>
              </w:rPr>
              <w:t xml:space="preserve"> училищата, като в същото време</w:t>
            </w:r>
            <w:r w:rsidR="00853062" w:rsidRPr="006C3504">
              <w:rPr>
                <w:lang w:val="bg-BG"/>
              </w:rPr>
              <w:t xml:space="preserve"> за по-добро образование децата </w:t>
            </w:r>
            <w:r w:rsidR="00853062">
              <w:rPr>
                <w:lang w:val="bg-BG"/>
              </w:rPr>
              <w:t xml:space="preserve">се </w:t>
            </w:r>
            <w:r w:rsidR="001C7584" w:rsidRPr="006C3504">
              <w:rPr>
                <w:lang w:val="bg-BG"/>
              </w:rPr>
              <w:t>транспортират до близките градове или села.</w:t>
            </w:r>
            <w:r w:rsidR="00853062">
              <w:rPr>
                <w:lang w:val="bg-BG"/>
              </w:rPr>
              <w:t xml:space="preserve"> Регулярно</w:t>
            </w:r>
            <w:r w:rsidR="001C7584" w:rsidRPr="006C3504">
              <w:rPr>
                <w:lang w:val="bg-BG"/>
              </w:rPr>
              <w:t xml:space="preserve"> </w:t>
            </w:r>
            <w:r>
              <w:rPr>
                <w:lang w:val="bg-BG"/>
              </w:rPr>
              <w:t xml:space="preserve">да се </w:t>
            </w:r>
            <w:r w:rsidR="001C7584" w:rsidRPr="006C3504">
              <w:rPr>
                <w:lang w:val="bg-BG"/>
              </w:rPr>
              <w:t>р</w:t>
            </w:r>
            <w:r w:rsidR="00853062">
              <w:rPr>
                <w:lang w:val="bg-BG"/>
              </w:rPr>
              <w:t>отира</w:t>
            </w:r>
            <w:r>
              <w:rPr>
                <w:lang w:val="bg-BG"/>
              </w:rPr>
              <w:t>т</w:t>
            </w:r>
            <w:r w:rsidR="001C7584" w:rsidRPr="006C3504">
              <w:rPr>
                <w:lang w:val="bg-BG"/>
              </w:rPr>
              <w:t xml:space="preserve"> добри учители в неблагоприятни райони, дори като условие за кариерно развитие.</w:t>
            </w:r>
          </w:p>
        </w:tc>
        <w:tc>
          <w:tcPr>
            <w:tcW w:w="1716" w:type="pct"/>
          </w:tcPr>
          <w:p w14:paraId="504E1417" w14:textId="77777777" w:rsidR="007E553E" w:rsidRDefault="007E553E" w:rsidP="00976783">
            <w:pPr>
              <w:pStyle w:val="CommentText"/>
              <w:rPr>
                <w:b/>
                <w:sz w:val="17"/>
                <w:szCs w:val="17"/>
                <w:lang w:val="bg-BG"/>
              </w:rPr>
            </w:pPr>
            <w:r w:rsidRPr="007E553E">
              <w:rPr>
                <w:b/>
                <w:sz w:val="17"/>
                <w:szCs w:val="17"/>
                <w:lang w:val="bg-BG"/>
              </w:rPr>
              <w:t xml:space="preserve">Република България изразява частично съгласие с препоръката при отразяване на следната </w:t>
            </w:r>
            <w:r w:rsidR="007D6C66">
              <w:rPr>
                <w:b/>
                <w:sz w:val="17"/>
                <w:szCs w:val="17"/>
                <w:lang w:val="bg-BG"/>
              </w:rPr>
              <w:t>редакция</w:t>
            </w:r>
            <w:r w:rsidRPr="007E553E">
              <w:rPr>
                <w:b/>
                <w:sz w:val="17"/>
                <w:szCs w:val="17"/>
                <w:lang w:val="bg-BG"/>
              </w:rPr>
              <w:t>:</w:t>
            </w:r>
          </w:p>
          <w:p w14:paraId="5E659E6E" w14:textId="77777777" w:rsidR="007E553E" w:rsidRPr="007E553E" w:rsidRDefault="007E553E" w:rsidP="00976783">
            <w:pPr>
              <w:pStyle w:val="CommentText"/>
              <w:rPr>
                <w:rFonts w:eastAsiaTheme="minorHAnsi"/>
                <w:b/>
                <w:bCs/>
                <w:i/>
                <w:sz w:val="17"/>
                <w:u w:val="single"/>
                <w:lang w:val="bg-BG"/>
              </w:rPr>
            </w:pPr>
            <w:r w:rsidRPr="007E553E">
              <w:rPr>
                <w:rFonts w:eastAsiaTheme="minorHAnsi"/>
                <w:b/>
                <w:bCs/>
                <w:i/>
                <w:sz w:val="17"/>
                <w:u w:val="single"/>
                <w:lang w:val="bg-BG"/>
              </w:rPr>
              <w:t>Предложение за редакция:</w:t>
            </w:r>
            <w:r w:rsidRPr="001D4FDC">
              <w:rPr>
                <w:rFonts w:eastAsiaTheme="minorHAnsi"/>
                <w:bCs/>
                <w:sz w:val="17"/>
                <w:lang w:val="bg-BG"/>
              </w:rPr>
              <w:t xml:space="preserve">  </w:t>
            </w:r>
            <w:r w:rsidRPr="007E553E">
              <w:rPr>
                <w:lang w:val="bg-BG"/>
              </w:rPr>
              <w:t xml:space="preserve"> </w:t>
            </w:r>
            <w:r w:rsidRPr="007E553E">
              <w:rPr>
                <w:rFonts w:eastAsiaTheme="minorHAnsi"/>
                <w:bCs/>
                <w:sz w:val="17"/>
                <w:lang w:val="bg-BG"/>
              </w:rPr>
              <w:t xml:space="preserve">Да се </w:t>
            </w:r>
            <w:proofErr w:type="spellStart"/>
            <w:r w:rsidRPr="007E553E">
              <w:rPr>
                <w:rFonts w:eastAsiaTheme="minorHAnsi"/>
                <w:bCs/>
                <w:sz w:val="17"/>
                <w:lang w:val="bg-BG"/>
              </w:rPr>
              <w:t>десегрегират</w:t>
            </w:r>
            <w:proofErr w:type="spellEnd"/>
            <w:r w:rsidRPr="007E553E">
              <w:rPr>
                <w:rFonts w:eastAsiaTheme="minorHAnsi"/>
                <w:bCs/>
                <w:sz w:val="17"/>
                <w:lang w:val="bg-BG"/>
              </w:rPr>
              <w:t xml:space="preserve"> училищата, като в същото време за по-добро образование при необходимост децата се транспортират д</w:t>
            </w:r>
            <w:r>
              <w:rPr>
                <w:rFonts w:eastAsiaTheme="minorHAnsi"/>
                <w:bCs/>
                <w:sz w:val="17"/>
                <w:lang w:val="bg-BG"/>
              </w:rPr>
              <w:t xml:space="preserve">о близките градове или села. </w:t>
            </w:r>
            <w:r w:rsidRPr="007E553E">
              <w:rPr>
                <w:rFonts w:eastAsiaTheme="minorHAnsi"/>
                <w:bCs/>
                <w:strike/>
                <w:sz w:val="17"/>
                <w:lang w:val="bg-BG"/>
              </w:rPr>
              <w:t>Регулярно да се ротират добри учители в неблагоприятни райони, дори като условие за кариерно развитие.</w:t>
            </w:r>
          </w:p>
          <w:p w14:paraId="7B7BC743" w14:textId="77777777" w:rsidR="001D4FDC" w:rsidRPr="001D4FDC" w:rsidRDefault="001D4FDC" w:rsidP="001D4FDC">
            <w:pPr>
              <w:pStyle w:val="CommentText"/>
              <w:rPr>
                <w:rFonts w:eastAsiaTheme="minorHAnsi"/>
                <w:bCs/>
                <w:sz w:val="17"/>
                <w:lang w:val="bg-BG"/>
              </w:rPr>
            </w:pPr>
            <w:r>
              <w:rPr>
                <w:b/>
                <w:i/>
                <w:sz w:val="17"/>
                <w:szCs w:val="17"/>
                <w:u w:val="single"/>
                <w:lang w:val="bg-BG"/>
              </w:rPr>
              <w:t>Мотиви</w:t>
            </w:r>
            <w:r w:rsidR="00B7663E" w:rsidRPr="00976783">
              <w:rPr>
                <w:b/>
                <w:i/>
                <w:sz w:val="17"/>
                <w:szCs w:val="17"/>
                <w:u w:val="single"/>
                <w:lang w:val="bg-BG"/>
              </w:rPr>
              <w:t>:</w:t>
            </w:r>
            <w:r>
              <w:rPr>
                <w:lang w:val="bg-BG"/>
              </w:rPr>
              <w:t xml:space="preserve"> </w:t>
            </w:r>
            <w:r w:rsidRPr="001D4FDC">
              <w:rPr>
                <w:rFonts w:eastAsiaTheme="minorHAnsi"/>
                <w:bCs/>
                <w:sz w:val="17"/>
                <w:lang w:val="bg-BG"/>
              </w:rPr>
              <w:t>Задължителната ротация, каквато съществува в някои страни, едва ли би била социално приемлива у нас. По-реалистично е да се мисли за доброволни или стимулирани форми на мобилност, при които учителите имат възможност да работят известно време в училища с по-големи предизвикателства, но с ясна подкрепа и осигуряване.                                      Важно е да се отбележи, че овладяването на българския език, осъществяването на ефективна комуникация между връстници на българки език, както и включването им в дейности, насърчаващи мотивацията, поощряващи способностите им и подобряващи образователното им представяне, са ключови условия за преодоляване на обособяването на определени образователни институции, това са т.н. образователни институции с концентрация на ученици от уязвими групи.</w:t>
            </w:r>
          </w:p>
          <w:p w14:paraId="5698455B" w14:textId="77777777" w:rsidR="00B7663E" w:rsidRPr="00ED1E09" w:rsidRDefault="001D4FDC" w:rsidP="006A7127">
            <w:pPr>
              <w:pStyle w:val="CommentText"/>
              <w:rPr>
                <w:b/>
                <w:lang w:val="bg-BG"/>
              </w:rPr>
            </w:pPr>
            <w:r w:rsidRPr="001D4FDC">
              <w:rPr>
                <w:rFonts w:eastAsiaTheme="minorHAnsi"/>
                <w:bCs/>
                <w:sz w:val="17"/>
                <w:lang w:val="bg-BG"/>
              </w:rPr>
              <w:t xml:space="preserve"> Осигурява се транспорт за всички деца и ученици от малки населени места до най-близкото училище</w:t>
            </w:r>
            <w:r w:rsidRPr="001D4FDC">
              <w:rPr>
                <w:rFonts w:ascii="Times New Roman" w:hAnsi="Times New Roman" w:cs="Times New Roman"/>
                <w:color w:val="FF0000"/>
                <w:sz w:val="18"/>
                <w:szCs w:val="18"/>
                <w:lang w:val="bg-BG"/>
              </w:rPr>
              <w:t>.</w:t>
            </w:r>
          </w:p>
        </w:tc>
      </w:tr>
      <w:tr w:rsidR="00737B1D" w:rsidRPr="00D93FFA" w14:paraId="0793AAAF" w14:textId="77777777" w:rsidTr="00970270">
        <w:trPr>
          <w:trHeight w:val="249"/>
        </w:trPr>
        <w:tc>
          <w:tcPr>
            <w:tcW w:w="3284" w:type="pct"/>
            <w:gridSpan w:val="2"/>
            <w:tcBorders>
              <w:top w:val="single" w:sz="4" w:space="0" w:color="5B9BD5" w:themeColor="accent1"/>
              <w:bottom w:val="single" w:sz="4" w:space="0" w:color="5B9BD5" w:themeColor="accent1"/>
            </w:tcBorders>
          </w:tcPr>
          <w:p w14:paraId="48E5DD7F" w14:textId="77777777" w:rsidR="00737B1D" w:rsidRPr="006C3504" w:rsidRDefault="00BA77A9" w:rsidP="00970270">
            <w:pPr>
              <w:pStyle w:val="TableColumn"/>
              <w:rPr>
                <w:b/>
                <w:bCs/>
                <w:lang w:val="bg-BG"/>
              </w:rPr>
            </w:pPr>
            <w:r>
              <w:rPr>
                <w:b/>
                <w:bCs/>
                <w:lang w:val="bg-BG"/>
              </w:rPr>
              <w:t>П</w:t>
            </w:r>
            <w:r w:rsidR="00651109">
              <w:rPr>
                <w:b/>
                <w:bCs/>
                <w:lang w:val="bg-BG"/>
              </w:rPr>
              <w:t>одобряване</w:t>
            </w:r>
            <w:r w:rsidR="001C7584" w:rsidRPr="006C3504">
              <w:rPr>
                <w:b/>
                <w:bCs/>
                <w:lang w:val="bg-BG"/>
              </w:rPr>
              <w:t xml:space="preserve"> на професионалното образование</w:t>
            </w:r>
          </w:p>
        </w:tc>
        <w:tc>
          <w:tcPr>
            <w:tcW w:w="1716" w:type="pct"/>
            <w:tcBorders>
              <w:top w:val="single" w:sz="4" w:space="0" w:color="5B9BD5" w:themeColor="accent1"/>
              <w:bottom w:val="single" w:sz="4" w:space="0" w:color="5B9BD5" w:themeColor="accent1"/>
            </w:tcBorders>
          </w:tcPr>
          <w:p w14:paraId="356F3D69" w14:textId="77777777" w:rsidR="00737B1D" w:rsidRPr="006C3504" w:rsidRDefault="00737B1D" w:rsidP="00970270">
            <w:pPr>
              <w:pStyle w:val="TableColumn"/>
              <w:rPr>
                <w:b/>
                <w:bCs/>
                <w:lang w:val="bg-BG"/>
              </w:rPr>
            </w:pPr>
          </w:p>
        </w:tc>
      </w:tr>
      <w:tr w:rsidR="00737B1D" w:rsidRPr="00005C86" w14:paraId="3B06A16F" w14:textId="77777777" w:rsidTr="00970270">
        <w:tc>
          <w:tcPr>
            <w:tcW w:w="1567" w:type="pct"/>
            <w:tcBorders>
              <w:top w:val="single" w:sz="4" w:space="0" w:color="5B9BD5" w:themeColor="accent1"/>
            </w:tcBorders>
          </w:tcPr>
          <w:p w14:paraId="47079E44" w14:textId="77777777" w:rsidR="00737B1D" w:rsidRPr="006C3504" w:rsidRDefault="006F50DB" w:rsidP="00970270">
            <w:pPr>
              <w:pStyle w:val="TableRow"/>
              <w:rPr>
                <w:lang w:val="bg-BG"/>
              </w:rPr>
            </w:pPr>
            <w:r w:rsidRPr="006C3504">
              <w:rPr>
                <w:lang w:val="bg-BG"/>
              </w:rPr>
              <w:t>Професионалното образование все още се основава предимно на обучение в клас.</w:t>
            </w:r>
          </w:p>
        </w:tc>
        <w:tc>
          <w:tcPr>
            <w:tcW w:w="1717" w:type="pct"/>
            <w:tcBorders>
              <w:top w:val="single" w:sz="4" w:space="0" w:color="5B9BD5" w:themeColor="accent1"/>
            </w:tcBorders>
          </w:tcPr>
          <w:p w14:paraId="0A4F745E" w14:textId="77777777" w:rsidR="00737B1D" w:rsidRPr="006C3504" w:rsidRDefault="0094013F" w:rsidP="0094013F">
            <w:pPr>
              <w:pStyle w:val="TableCell"/>
              <w:jc w:val="both"/>
              <w:rPr>
                <w:b/>
                <w:lang w:val="bg-BG"/>
              </w:rPr>
            </w:pPr>
            <w:r>
              <w:rPr>
                <w:b/>
                <w:lang w:val="bg-BG"/>
              </w:rPr>
              <w:t>Да се р</w:t>
            </w:r>
            <w:r w:rsidR="00C023AF">
              <w:rPr>
                <w:b/>
                <w:lang w:val="bg-BG"/>
              </w:rPr>
              <w:t>азшир</w:t>
            </w:r>
            <w:r>
              <w:rPr>
                <w:b/>
                <w:lang w:val="bg-BG"/>
              </w:rPr>
              <w:t>и</w:t>
            </w:r>
            <w:r w:rsidR="006F50DB" w:rsidRPr="006C3504">
              <w:rPr>
                <w:b/>
                <w:lang w:val="bg-BG"/>
              </w:rPr>
              <w:t xml:space="preserve"> обучението на работн</w:t>
            </w:r>
            <w:r w:rsidR="00651109">
              <w:rPr>
                <w:b/>
                <w:lang w:val="bg-BG"/>
              </w:rPr>
              <w:t>ото място за всички ученици в</w:t>
            </w:r>
            <w:r w:rsidR="006F50DB" w:rsidRPr="006C3504">
              <w:rPr>
                <w:b/>
                <w:lang w:val="bg-BG"/>
              </w:rPr>
              <w:t xml:space="preserve"> професионално </w:t>
            </w:r>
            <w:r w:rsidR="00651109">
              <w:rPr>
                <w:b/>
                <w:lang w:val="bg-BG"/>
              </w:rPr>
              <w:t xml:space="preserve">образование и </w:t>
            </w:r>
            <w:r w:rsidR="006F50DB" w:rsidRPr="006C3504">
              <w:rPr>
                <w:b/>
                <w:lang w:val="bg-BG"/>
              </w:rPr>
              <w:t>обучение</w:t>
            </w:r>
            <w:r>
              <w:rPr>
                <w:b/>
                <w:lang w:val="bg-BG"/>
              </w:rPr>
              <w:t xml:space="preserve"> (ПОО)</w:t>
            </w:r>
            <w:r w:rsidR="006F50DB" w:rsidRPr="006C3504">
              <w:rPr>
                <w:b/>
                <w:lang w:val="bg-BG"/>
              </w:rPr>
              <w:t>.</w:t>
            </w:r>
          </w:p>
        </w:tc>
        <w:tc>
          <w:tcPr>
            <w:tcW w:w="1716" w:type="pct"/>
            <w:tcBorders>
              <w:top w:val="single" w:sz="4" w:space="0" w:color="5B9BD5" w:themeColor="accent1"/>
            </w:tcBorders>
          </w:tcPr>
          <w:p w14:paraId="252FEF93" w14:textId="77777777" w:rsidR="00737B1D" w:rsidRPr="006C3504" w:rsidRDefault="009B37B1" w:rsidP="00970270">
            <w:pPr>
              <w:pStyle w:val="TableCell"/>
              <w:jc w:val="both"/>
              <w:rPr>
                <w:b/>
                <w:bCs/>
                <w:lang w:val="bg-BG"/>
              </w:rPr>
            </w:pPr>
            <w:r w:rsidRPr="009B37B1">
              <w:rPr>
                <w:b/>
                <w:bCs/>
                <w:lang w:val="bg-BG"/>
              </w:rPr>
              <w:t>Република България изразява съгласие с препоръката.</w:t>
            </w:r>
          </w:p>
        </w:tc>
      </w:tr>
      <w:tr w:rsidR="00737B1D" w:rsidRPr="00005C86" w14:paraId="5D92A518" w14:textId="77777777" w:rsidTr="00970270">
        <w:tc>
          <w:tcPr>
            <w:tcW w:w="1567" w:type="pct"/>
          </w:tcPr>
          <w:p w14:paraId="086C00A9" w14:textId="77777777" w:rsidR="00737B1D" w:rsidRPr="006C3504" w:rsidRDefault="006F50DB" w:rsidP="00970270">
            <w:pPr>
              <w:pStyle w:val="TableRow"/>
              <w:rPr>
                <w:lang w:val="bg-BG"/>
              </w:rPr>
            </w:pPr>
            <w:r w:rsidRPr="006C3504">
              <w:rPr>
                <w:lang w:val="bg-BG"/>
              </w:rPr>
              <w:t>Професионалните училища са недофинансирани и нямат достъп до най-добрите учители. В някои професии има недостиг на квалифицирани специалисти.</w:t>
            </w:r>
          </w:p>
        </w:tc>
        <w:tc>
          <w:tcPr>
            <w:tcW w:w="1717" w:type="pct"/>
          </w:tcPr>
          <w:p w14:paraId="32620500" w14:textId="77777777" w:rsidR="006F50DB" w:rsidRPr="006C3504" w:rsidRDefault="0094013F" w:rsidP="00BA77A9">
            <w:pPr>
              <w:pStyle w:val="TableCell"/>
              <w:jc w:val="both"/>
              <w:rPr>
                <w:lang w:val="bg-BG"/>
              </w:rPr>
            </w:pPr>
            <w:r>
              <w:rPr>
                <w:lang w:val="bg-BG"/>
              </w:rPr>
              <w:t>О</w:t>
            </w:r>
            <w:r w:rsidRPr="006C3504">
              <w:rPr>
                <w:lang w:val="bg-BG"/>
              </w:rPr>
              <w:t>бразователните ресурси</w:t>
            </w:r>
            <w:r>
              <w:rPr>
                <w:lang w:val="bg-BG"/>
              </w:rPr>
              <w:t xml:space="preserve"> да бъдат п</w:t>
            </w:r>
            <w:r w:rsidR="00651109" w:rsidRPr="006C3504">
              <w:rPr>
                <w:lang w:val="bg-BG"/>
              </w:rPr>
              <w:t>о-справедливо</w:t>
            </w:r>
            <w:r w:rsidR="00651109">
              <w:rPr>
                <w:lang w:val="bg-BG"/>
              </w:rPr>
              <w:t xml:space="preserve"> р</w:t>
            </w:r>
            <w:r w:rsidR="00C023AF">
              <w:rPr>
                <w:lang w:val="bg-BG"/>
              </w:rPr>
              <w:t>азпредел</w:t>
            </w:r>
            <w:r>
              <w:rPr>
                <w:lang w:val="bg-BG"/>
              </w:rPr>
              <w:t>яни</w:t>
            </w:r>
            <w:r w:rsidR="006F50DB" w:rsidRPr="006C3504">
              <w:rPr>
                <w:lang w:val="bg-BG"/>
              </w:rPr>
              <w:t>.</w:t>
            </w:r>
          </w:p>
          <w:p w14:paraId="75668DEA" w14:textId="77777777" w:rsidR="00737B1D" w:rsidRPr="006C3504" w:rsidRDefault="00BA77A9" w:rsidP="00BA77A9">
            <w:pPr>
              <w:pStyle w:val="TableCell"/>
              <w:jc w:val="both"/>
              <w:rPr>
                <w:lang w:val="bg-BG"/>
              </w:rPr>
            </w:pPr>
            <w:r>
              <w:rPr>
                <w:lang w:val="bg-BG"/>
              </w:rPr>
              <w:t>Да се позволи</w:t>
            </w:r>
            <w:r w:rsidR="006F50DB" w:rsidRPr="006C3504">
              <w:rPr>
                <w:lang w:val="bg-BG"/>
              </w:rPr>
              <w:t xml:space="preserve"> на пазарните сили да привличат </w:t>
            </w:r>
            <w:r w:rsidR="00651109">
              <w:rPr>
                <w:lang w:val="bg-BG"/>
              </w:rPr>
              <w:t>ученици</w:t>
            </w:r>
            <w:r w:rsidR="006F50DB" w:rsidRPr="006C3504">
              <w:rPr>
                <w:lang w:val="bg-BG"/>
              </w:rPr>
              <w:t xml:space="preserve"> към професии, в които има недостиг на квалифицирани кадри, </w:t>
            </w:r>
            <w:r w:rsidR="00651109">
              <w:rPr>
                <w:lang w:val="bg-BG"/>
              </w:rPr>
              <w:t xml:space="preserve">включително </w:t>
            </w:r>
            <w:r w:rsidR="006F50DB" w:rsidRPr="006C3504">
              <w:rPr>
                <w:lang w:val="bg-BG"/>
              </w:rPr>
              <w:t>и чрез повишаване на осведомеността за тези възможности.</w:t>
            </w:r>
          </w:p>
        </w:tc>
        <w:tc>
          <w:tcPr>
            <w:tcW w:w="1716" w:type="pct"/>
          </w:tcPr>
          <w:p w14:paraId="7A5F3DB2" w14:textId="77777777" w:rsidR="006A7127" w:rsidRDefault="006A7127" w:rsidP="006A7127">
            <w:pPr>
              <w:pStyle w:val="TableCell"/>
              <w:jc w:val="both"/>
              <w:rPr>
                <w:b/>
                <w:lang w:val="bg-BG"/>
              </w:rPr>
            </w:pPr>
            <w:r w:rsidRPr="006A7127">
              <w:rPr>
                <w:b/>
                <w:lang w:val="bg-BG"/>
              </w:rPr>
              <w:t xml:space="preserve">Република България изразява частично съгласие с препоръката при отразяване на следната </w:t>
            </w:r>
            <w:r w:rsidR="00B86502">
              <w:rPr>
                <w:b/>
                <w:lang w:val="bg-BG"/>
              </w:rPr>
              <w:t>редакция</w:t>
            </w:r>
            <w:r w:rsidRPr="006A7127">
              <w:rPr>
                <w:b/>
                <w:lang w:val="bg-BG"/>
              </w:rPr>
              <w:t>:</w:t>
            </w:r>
          </w:p>
          <w:p w14:paraId="32CEC0E3" w14:textId="77777777" w:rsidR="006A7127" w:rsidRPr="006A7127" w:rsidRDefault="006A7127" w:rsidP="006A7127">
            <w:pPr>
              <w:pStyle w:val="TableCell"/>
              <w:jc w:val="both"/>
              <w:rPr>
                <w:b/>
                <w:bCs/>
                <w:i/>
                <w:color w:val="auto"/>
                <w:u w:val="single"/>
                <w:lang w:val="bg-BG"/>
              </w:rPr>
            </w:pPr>
            <w:r w:rsidRPr="006A7127">
              <w:rPr>
                <w:b/>
                <w:bCs/>
                <w:i/>
                <w:color w:val="auto"/>
                <w:u w:val="single"/>
                <w:lang w:val="bg-BG"/>
              </w:rPr>
              <w:t>Предложение за редакция:</w:t>
            </w:r>
            <w:r>
              <w:rPr>
                <w:b/>
                <w:bCs/>
                <w:i/>
                <w:color w:val="auto"/>
                <w:u w:val="single"/>
                <w:lang w:val="bg-BG"/>
              </w:rPr>
              <w:t xml:space="preserve"> </w:t>
            </w:r>
            <w:r w:rsidRPr="006A7127">
              <w:rPr>
                <w:strike/>
                <w:lang w:val="bg-BG"/>
              </w:rPr>
              <w:t>Образователните ресурси да бъдат по-справедливо разпределяни.</w:t>
            </w:r>
          </w:p>
          <w:p w14:paraId="40CA9B9B" w14:textId="77777777" w:rsidR="006A7127" w:rsidRDefault="006A7127" w:rsidP="006A7127">
            <w:pPr>
              <w:pStyle w:val="TableCell"/>
              <w:jc w:val="both"/>
              <w:rPr>
                <w:b/>
                <w:lang w:val="bg-BG"/>
              </w:rPr>
            </w:pPr>
            <w:r w:rsidRPr="006A7127">
              <w:rPr>
                <w:strike/>
                <w:lang w:val="bg-BG"/>
              </w:rPr>
              <w:t xml:space="preserve">Да се позволи на пазарните сили да </w:t>
            </w:r>
            <w:r w:rsidRPr="006A7127">
              <w:rPr>
                <w:strike/>
                <w:lang w:val="bg-BG"/>
              </w:rPr>
              <w:lastRenderedPageBreak/>
              <w:t>привличат ученици към професии, в които има недостиг на квалифицирани кадри, включително и чрез повишаване на осведомеността за тези възможности</w:t>
            </w:r>
            <w:r w:rsidRPr="006A7127">
              <w:rPr>
                <w:b/>
                <w:lang w:val="bg-BG"/>
              </w:rPr>
              <w:t>.</w:t>
            </w:r>
          </w:p>
          <w:p w14:paraId="37C06CAA" w14:textId="77777777" w:rsidR="006A7127" w:rsidRDefault="006A7127" w:rsidP="00970270">
            <w:pPr>
              <w:pStyle w:val="TableCell"/>
              <w:jc w:val="both"/>
              <w:rPr>
                <w:b/>
                <w:lang w:val="bg-BG"/>
              </w:rPr>
            </w:pPr>
            <w:r w:rsidRPr="006A7127">
              <w:rPr>
                <w:b/>
                <w:lang w:val="bg-BG"/>
              </w:rPr>
              <w:t>Образователните ресурси да се разпределят съобразно разликите във вида на училищата и специфичните  географски и демографски характеристики на населеното място/общината.</w:t>
            </w:r>
          </w:p>
          <w:p w14:paraId="6C158A0D" w14:textId="77777777" w:rsidR="006A7127" w:rsidRPr="006A7127" w:rsidRDefault="006A7127" w:rsidP="006A7127">
            <w:pPr>
              <w:pStyle w:val="TableCell"/>
              <w:jc w:val="both"/>
              <w:rPr>
                <w:lang w:val="bg-BG"/>
              </w:rPr>
            </w:pPr>
            <w:r w:rsidRPr="001E184D">
              <w:rPr>
                <w:b/>
                <w:i/>
                <w:u w:val="single"/>
                <w:lang w:val="bg-BG"/>
              </w:rPr>
              <w:t>Мотиви:</w:t>
            </w:r>
            <w:r w:rsidRPr="006A7127">
              <w:rPr>
                <w:lang w:val="bg-BG"/>
              </w:rPr>
              <w:t xml:space="preserve"> Възприетият подход за финансиране на училищата в Р България отразява различията във вида е формата на обучение, професионалното направление на обучението, както и географски и демографски характеристики на населеното място, общината, поради което не подкрепяме</w:t>
            </w:r>
            <w:r w:rsidRPr="006A7127">
              <w:rPr>
                <w:b/>
                <w:lang w:val="bg-BG"/>
              </w:rPr>
              <w:t xml:space="preserve"> </w:t>
            </w:r>
            <w:r w:rsidRPr="006A7127">
              <w:rPr>
                <w:lang w:val="bg-BG"/>
              </w:rPr>
              <w:t>твърдението за</w:t>
            </w:r>
            <w:r w:rsidRPr="006A7127">
              <w:rPr>
                <w:b/>
                <w:lang w:val="bg-BG"/>
              </w:rPr>
              <w:t xml:space="preserve"> </w:t>
            </w:r>
            <w:proofErr w:type="spellStart"/>
            <w:r w:rsidRPr="006A7127">
              <w:rPr>
                <w:lang w:val="bg-BG"/>
              </w:rPr>
              <w:t>недофинансиране</w:t>
            </w:r>
            <w:proofErr w:type="spellEnd"/>
            <w:r w:rsidRPr="006A7127">
              <w:rPr>
                <w:lang w:val="bg-BG"/>
              </w:rPr>
              <w:t xml:space="preserve"> професионалните училища. В допълнение следва да отбележим, че като част от издръжката на обучение  професионалните училища, обучаващи по </w:t>
            </w:r>
            <w:proofErr w:type="spellStart"/>
            <w:r w:rsidRPr="006A7127">
              <w:rPr>
                <w:lang w:val="bg-BG"/>
              </w:rPr>
              <w:t>защитeни</w:t>
            </w:r>
            <w:proofErr w:type="spellEnd"/>
            <w:r w:rsidRPr="006A7127">
              <w:rPr>
                <w:lang w:val="bg-BG"/>
              </w:rPr>
              <w:t xml:space="preserve"> професии и професии, по които е налице очакван недостиг от специалисти на пазара на труда, получават допълнително финансиране по нормативно определени критерии. </w:t>
            </w:r>
          </w:p>
          <w:p w14:paraId="115DFBD4" w14:textId="77777777" w:rsidR="006A7127" w:rsidRPr="009B37B1" w:rsidRDefault="006A7127" w:rsidP="006A7127">
            <w:pPr>
              <w:pStyle w:val="TableCell"/>
              <w:jc w:val="both"/>
              <w:rPr>
                <w:b/>
                <w:lang w:val="bg-BG"/>
              </w:rPr>
            </w:pPr>
            <w:r w:rsidRPr="006A7127">
              <w:rPr>
                <w:lang w:val="bg-BG"/>
              </w:rPr>
              <w:t>Налице са нормативните условия за привличане на ученици в защитени професии и такива с недостиг на пазара на труда.</w:t>
            </w:r>
          </w:p>
        </w:tc>
      </w:tr>
      <w:tr w:rsidR="00737B1D" w:rsidRPr="00005C86" w14:paraId="53B22F47" w14:textId="77777777" w:rsidTr="00970270">
        <w:tc>
          <w:tcPr>
            <w:tcW w:w="1567" w:type="pct"/>
            <w:tcBorders>
              <w:bottom w:val="single" w:sz="4" w:space="0" w:color="5B9BD5" w:themeColor="accent1"/>
            </w:tcBorders>
          </w:tcPr>
          <w:p w14:paraId="5DD46295" w14:textId="77777777" w:rsidR="00737B1D" w:rsidRPr="006C3504" w:rsidRDefault="0057358F" w:rsidP="00BA77A9">
            <w:pPr>
              <w:pStyle w:val="TableRow"/>
              <w:rPr>
                <w:lang w:val="bg-BG"/>
              </w:rPr>
            </w:pPr>
            <w:r w:rsidRPr="006C3504">
              <w:rPr>
                <w:lang w:val="bg-BG"/>
              </w:rPr>
              <w:lastRenderedPageBreak/>
              <w:t xml:space="preserve">Много професионални училища са </w:t>
            </w:r>
            <w:r w:rsidR="00BA77A9">
              <w:rPr>
                <w:lang w:val="bg-BG"/>
              </w:rPr>
              <w:t>географски отдалечени</w:t>
            </w:r>
            <w:r w:rsidRPr="006C3504">
              <w:rPr>
                <w:lang w:val="bg-BG"/>
              </w:rPr>
              <w:t xml:space="preserve"> от потенциалните работни места.</w:t>
            </w:r>
          </w:p>
        </w:tc>
        <w:tc>
          <w:tcPr>
            <w:tcW w:w="1717" w:type="pct"/>
            <w:tcBorders>
              <w:bottom w:val="single" w:sz="4" w:space="0" w:color="5B9BD5" w:themeColor="accent1"/>
            </w:tcBorders>
          </w:tcPr>
          <w:p w14:paraId="37D6D84E" w14:textId="77777777" w:rsidR="00737B1D" w:rsidRPr="006C3504" w:rsidRDefault="00651109" w:rsidP="0094013F">
            <w:pPr>
              <w:pStyle w:val="TableCell"/>
              <w:jc w:val="both"/>
              <w:rPr>
                <w:lang w:val="bg-BG"/>
              </w:rPr>
            </w:pPr>
            <w:r>
              <w:rPr>
                <w:lang w:val="bg-BG"/>
              </w:rPr>
              <w:t>Да се вземат предвид</w:t>
            </w:r>
            <w:r w:rsidRPr="006C3504">
              <w:rPr>
                <w:lang w:val="bg-BG"/>
              </w:rPr>
              <w:t xml:space="preserve"> възможностите за обучение на работното място </w:t>
            </w:r>
            <w:r>
              <w:rPr>
                <w:lang w:val="bg-BG"/>
              </w:rPr>
              <w:t>п</w:t>
            </w:r>
            <w:r w:rsidR="0057358F" w:rsidRPr="006C3504">
              <w:rPr>
                <w:lang w:val="bg-BG"/>
              </w:rPr>
              <w:t>ри избора на м</w:t>
            </w:r>
            <w:r>
              <w:rPr>
                <w:lang w:val="bg-BG"/>
              </w:rPr>
              <w:t>е</w:t>
            </w:r>
            <w:r w:rsidR="0057358F" w:rsidRPr="006C3504">
              <w:rPr>
                <w:lang w:val="bg-BG"/>
              </w:rPr>
              <w:t>ст</w:t>
            </w:r>
            <w:r>
              <w:rPr>
                <w:lang w:val="bg-BG"/>
              </w:rPr>
              <w:t>а</w:t>
            </w:r>
            <w:r w:rsidR="0057358F" w:rsidRPr="006C3504">
              <w:rPr>
                <w:lang w:val="bg-BG"/>
              </w:rPr>
              <w:t xml:space="preserve"> за нови училища за </w:t>
            </w:r>
            <w:r>
              <w:rPr>
                <w:lang w:val="bg-BG"/>
              </w:rPr>
              <w:t>ПОО</w:t>
            </w:r>
            <w:r w:rsidR="00C023AF">
              <w:rPr>
                <w:lang w:val="bg-BG"/>
              </w:rPr>
              <w:t xml:space="preserve">, </w:t>
            </w:r>
            <w:r>
              <w:rPr>
                <w:lang w:val="bg-BG"/>
              </w:rPr>
              <w:t>да се</w:t>
            </w:r>
            <w:r w:rsidR="0057358F" w:rsidRPr="006C3504">
              <w:rPr>
                <w:lang w:val="bg-BG"/>
              </w:rPr>
              <w:t xml:space="preserve"> преме</w:t>
            </w:r>
            <w:r>
              <w:rPr>
                <w:lang w:val="bg-BG"/>
              </w:rPr>
              <w:t>стят отдалечените училища за ПО</w:t>
            </w:r>
            <w:r w:rsidR="0057358F" w:rsidRPr="006C3504">
              <w:rPr>
                <w:lang w:val="bg-BG"/>
              </w:rPr>
              <w:t xml:space="preserve">О по-близо до </w:t>
            </w:r>
            <w:r>
              <w:rPr>
                <w:lang w:val="bg-BG"/>
              </w:rPr>
              <w:t xml:space="preserve">работните </w:t>
            </w:r>
            <w:r w:rsidR="0057358F" w:rsidRPr="006C3504">
              <w:rPr>
                <w:lang w:val="bg-BG"/>
              </w:rPr>
              <w:t>места предлага</w:t>
            </w:r>
            <w:r>
              <w:rPr>
                <w:lang w:val="bg-BG"/>
              </w:rPr>
              <w:t>щи</w:t>
            </w:r>
            <w:r w:rsidR="0057358F" w:rsidRPr="006C3504">
              <w:rPr>
                <w:lang w:val="bg-BG"/>
              </w:rPr>
              <w:t xml:space="preserve"> възможности за обучение или</w:t>
            </w:r>
            <w:r>
              <w:rPr>
                <w:lang w:val="bg-BG"/>
              </w:rPr>
              <w:t xml:space="preserve"> да се</w:t>
            </w:r>
            <w:r w:rsidR="0057358F" w:rsidRPr="006C3504">
              <w:rPr>
                <w:lang w:val="bg-BG"/>
              </w:rPr>
              <w:t xml:space="preserve"> организира транспорт.</w:t>
            </w:r>
          </w:p>
        </w:tc>
        <w:tc>
          <w:tcPr>
            <w:tcW w:w="1716" w:type="pct"/>
            <w:tcBorders>
              <w:bottom w:val="single" w:sz="4" w:space="0" w:color="5B9BD5" w:themeColor="accent1"/>
            </w:tcBorders>
          </w:tcPr>
          <w:p w14:paraId="4834EA93" w14:textId="77777777" w:rsidR="0047634A" w:rsidRDefault="0047634A" w:rsidP="008B2086">
            <w:pPr>
              <w:pStyle w:val="CommentText"/>
              <w:rPr>
                <w:b/>
                <w:sz w:val="17"/>
                <w:szCs w:val="17"/>
                <w:lang w:val="bg-BG"/>
              </w:rPr>
            </w:pPr>
            <w:r w:rsidRPr="0047634A">
              <w:rPr>
                <w:b/>
                <w:sz w:val="17"/>
                <w:szCs w:val="17"/>
                <w:lang w:val="bg-BG"/>
              </w:rPr>
              <w:t xml:space="preserve">Република България изразява частично съгласие с препоръката при отразяване на следната </w:t>
            </w:r>
            <w:r w:rsidR="00B86502">
              <w:rPr>
                <w:b/>
                <w:sz w:val="17"/>
                <w:szCs w:val="17"/>
                <w:lang w:val="bg-BG"/>
              </w:rPr>
              <w:t>редакция</w:t>
            </w:r>
            <w:r w:rsidRPr="0047634A">
              <w:rPr>
                <w:b/>
                <w:sz w:val="17"/>
                <w:szCs w:val="17"/>
                <w:lang w:val="bg-BG"/>
              </w:rPr>
              <w:t>:</w:t>
            </w:r>
          </w:p>
          <w:p w14:paraId="3117D2C2" w14:textId="77777777" w:rsidR="0047634A" w:rsidRDefault="0047634A" w:rsidP="008B2086">
            <w:pPr>
              <w:pStyle w:val="CommentText"/>
              <w:rPr>
                <w:strike/>
                <w:sz w:val="17"/>
                <w:szCs w:val="17"/>
                <w:lang w:val="bg-BG"/>
              </w:rPr>
            </w:pPr>
            <w:r w:rsidRPr="0047634A">
              <w:rPr>
                <w:b/>
                <w:i/>
                <w:sz w:val="17"/>
                <w:szCs w:val="17"/>
                <w:u w:val="single"/>
                <w:lang w:val="bg-BG"/>
              </w:rPr>
              <w:t>Предложение за редакция:</w:t>
            </w:r>
            <w:r>
              <w:rPr>
                <w:b/>
                <w:i/>
                <w:sz w:val="17"/>
                <w:szCs w:val="17"/>
                <w:u w:val="single"/>
                <w:lang w:val="bg-BG"/>
              </w:rPr>
              <w:t xml:space="preserve"> </w:t>
            </w:r>
            <w:r w:rsidRPr="0047634A">
              <w:rPr>
                <w:lang w:val="bg-BG"/>
              </w:rPr>
              <w:t xml:space="preserve"> </w:t>
            </w:r>
            <w:r w:rsidRPr="0047634A">
              <w:rPr>
                <w:strike/>
                <w:sz w:val="17"/>
                <w:szCs w:val="17"/>
                <w:lang w:val="bg-BG"/>
              </w:rPr>
              <w:t>Да се вземат предвид възможностите за обучение на работното място при избора на места за нови училища за ПОО, да се преместят отдалечените училища за ПОО по-близо до работните места предлагащи възможности за обучение или да се организира транспорт.</w:t>
            </w:r>
          </w:p>
          <w:p w14:paraId="79FD2FA5" w14:textId="77777777" w:rsidR="00DE2127" w:rsidRPr="00DE2127" w:rsidRDefault="00DE2127" w:rsidP="008B2086">
            <w:pPr>
              <w:pStyle w:val="CommentText"/>
              <w:rPr>
                <w:b/>
                <w:sz w:val="17"/>
                <w:szCs w:val="17"/>
                <w:lang w:val="bg-BG"/>
              </w:rPr>
            </w:pPr>
            <w:r w:rsidRPr="00DE2127">
              <w:rPr>
                <w:b/>
                <w:sz w:val="17"/>
                <w:szCs w:val="17"/>
                <w:lang w:val="bg-BG"/>
              </w:rPr>
              <w:t xml:space="preserve">Да се вземат предвид възможностите за обучение на работното място при разкриването на нови професии/специалности в професионалните гимназии и училищата.   </w:t>
            </w:r>
          </w:p>
          <w:p w14:paraId="0119BE9D" w14:textId="77777777" w:rsidR="00E62828" w:rsidRPr="008B2086" w:rsidRDefault="0047634A" w:rsidP="00F32255">
            <w:pPr>
              <w:pStyle w:val="CommentText"/>
              <w:rPr>
                <w:rFonts w:eastAsiaTheme="minorHAnsi"/>
                <w:color w:val="000000" w:themeColor="text1"/>
                <w:sz w:val="17"/>
                <w:lang w:val="bg-BG"/>
              </w:rPr>
            </w:pPr>
            <w:r>
              <w:rPr>
                <w:b/>
                <w:i/>
                <w:sz w:val="17"/>
                <w:szCs w:val="17"/>
                <w:u w:val="single"/>
                <w:lang w:val="bg-BG"/>
              </w:rPr>
              <w:t>Мотиви:</w:t>
            </w:r>
            <w:r w:rsidR="00E62828">
              <w:rPr>
                <w:rFonts w:eastAsiaTheme="minorHAnsi"/>
                <w:color w:val="000000" w:themeColor="text1"/>
                <w:sz w:val="17"/>
                <w:lang w:val="bg-BG"/>
              </w:rPr>
              <w:t xml:space="preserve"> </w:t>
            </w:r>
            <w:r w:rsidR="00B42071">
              <w:rPr>
                <w:rFonts w:eastAsiaTheme="minorHAnsi"/>
                <w:color w:val="000000" w:themeColor="text1"/>
                <w:sz w:val="17"/>
                <w:lang w:val="bg-BG"/>
              </w:rPr>
              <w:t xml:space="preserve"> </w:t>
            </w:r>
            <w:r w:rsidR="00F32255" w:rsidRPr="00F32255">
              <w:rPr>
                <w:lang w:val="bg-BG"/>
              </w:rPr>
              <w:t xml:space="preserve"> </w:t>
            </w:r>
            <w:r w:rsidR="00F32255" w:rsidRPr="00F32255">
              <w:rPr>
                <w:rFonts w:eastAsiaTheme="minorHAnsi"/>
                <w:color w:val="000000" w:themeColor="text1"/>
                <w:sz w:val="17"/>
                <w:lang w:val="bg-BG"/>
              </w:rPr>
              <w:t>Процесът може да се разглежда двустранно, като се предвидят мерки за насърчаване на инвестициите в районите, в които се обучават нужните специалисти. Министерството на образованието и науката изпълнява проект BG05SFPR001-3.001 „Модернизация на професионалното образование и обучение“, финансиран от ЕС, по който на учениците се осигурява практическо обучение в реална работна среда. В момента над 10 153 ученици са включени в допълнително практическо обучение в реална работна среда. Министерството на образованието и науката предоставя възможности и създава условия за консолидиране на обучението чрез работа (</w:t>
            </w:r>
            <w:proofErr w:type="spellStart"/>
            <w:r w:rsidR="00F32255" w:rsidRPr="00F32255">
              <w:rPr>
                <w:rFonts w:eastAsiaTheme="minorHAnsi"/>
                <w:color w:val="000000" w:themeColor="text1"/>
                <w:sz w:val="17"/>
                <w:lang w:val="bg-BG"/>
              </w:rPr>
              <w:t>дуална</w:t>
            </w:r>
            <w:proofErr w:type="spellEnd"/>
            <w:r w:rsidR="00F32255" w:rsidRPr="00F32255">
              <w:rPr>
                <w:rFonts w:eastAsiaTheme="minorHAnsi"/>
                <w:color w:val="000000" w:themeColor="text1"/>
                <w:sz w:val="17"/>
                <w:lang w:val="bg-BG"/>
              </w:rPr>
              <w:t xml:space="preserve"> система за обучение). Чрез нея учениците придобиват реален трудов опит и се запознават с уменията, търсени от работодателите, както и с уменията, които улесняват реализацията им на пазара на труда. През април 2025 г. беше подписано споразумението между България и </w:t>
            </w:r>
            <w:r w:rsidR="00F32255" w:rsidRPr="00F32255">
              <w:rPr>
                <w:rFonts w:eastAsiaTheme="minorHAnsi"/>
                <w:color w:val="000000" w:themeColor="text1"/>
                <w:sz w:val="17"/>
                <w:lang w:val="bg-BG"/>
              </w:rPr>
              <w:lastRenderedPageBreak/>
              <w:t>Швейцария за програмата „DOMINO 2“ по втората Швейцарско-българска програма за сътрудничество.</w:t>
            </w:r>
          </w:p>
        </w:tc>
      </w:tr>
    </w:tbl>
    <w:p w14:paraId="75CC9101" w14:textId="77777777" w:rsidR="003025A7" w:rsidRPr="006C3504" w:rsidRDefault="003025A7" w:rsidP="003025A7">
      <w:pPr>
        <w:rPr>
          <w:lang w:val="bg-BG"/>
        </w:rPr>
      </w:pPr>
    </w:p>
    <w:p w14:paraId="43E3D357" w14:textId="77777777" w:rsidR="001A2C6B" w:rsidRDefault="001A2C6B" w:rsidP="003025A7">
      <w:pPr>
        <w:jc w:val="left"/>
        <w:rPr>
          <w:b/>
          <w:lang w:val="bg-BG"/>
        </w:rPr>
      </w:pPr>
    </w:p>
    <w:p w14:paraId="162F93BD" w14:textId="77777777" w:rsidR="003025A7" w:rsidRPr="006C3504" w:rsidRDefault="003025A7" w:rsidP="003025A7">
      <w:pPr>
        <w:jc w:val="left"/>
        <w:rPr>
          <w:b/>
          <w:lang w:val="bg-BG"/>
        </w:rPr>
      </w:pPr>
      <w:r w:rsidRPr="006C3504">
        <w:rPr>
          <w:b/>
          <w:lang w:val="bg-BG"/>
        </w:rPr>
        <w:t xml:space="preserve">Препоръки за политиката от Глава </w:t>
      </w:r>
      <w:r w:rsidR="00821900" w:rsidRPr="006C3504">
        <w:rPr>
          <w:b/>
          <w:lang w:val="bg-BG"/>
        </w:rPr>
        <w:t xml:space="preserve">3 </w:t>
      </w:r>
      <w:r w:rsidR="002315DB">
        <w:rPr>
          <w:b/>
          <w:lang w:val="bg-BG"/>
        </w:rPr>
        <w:t>„</w:t>
      </w:r>
      <w:r w:rsidRPr="006C3504">
        <w:rPr>
          <w:b/>
          <w:lang w:val="bg-BG"/>
        </w:rPr>
        <w:t>Намаляване на въглеродните емисии в България" (ключовите препоръки са с удебелен шрифт)</w:t>
      </w:r>
    </w:p>
    <w:tbl>
      <w:tblPr>
        <w:tblStyle w:val="OECD"/>
        <w:tblpPr w:leftFromText="180" w:rightFromText="180" w:vertAnchor="text" w:horzAnchor="margin" w:tblpY="230"/>
        <w:tblW w:w="5000" w:type="pct"/>
        <w:tblLook w:val="04A0" w:firstRow="1" w:lastRow="0" w:firstColumn="1" w:lastColumn="0" w:noHBand="0" w:noVBand="1"/>
      </w:tblPr>
      <w:tblGrid>
        <w:gridCol w:w="2843"/>
        <w:gridCol w:w="3115"/>
        <w:gridCol w:w="3114"/>
      </w:tblGrid>
      <w:tr w:rsidR="003025A7" w:rsidRPr="006C3504" w14:paraId="4B008586" w14:textId="77777777" w:rsidTr="00F70B75">
        <w:trPr>
          <w:cnfStyle w:val="100000000000" w:firstRow="1" w:lastRow="0" w:firstColumn="0" w:lastColumn="0" w:oddVBand="0" w:evenVBand="0" w:oddHBand="0" w:evenHBand="0" w:firstRowFirstColumn="0" w:firstRowLastColumn="0" w:lastRowFirstColumn="0" w:lastRowLastColumn="0"/>
        </w:trPr>
        <w:tc>
          <w:tcPr>
            <w:tcW w:w="1567" w:type="pct"/>
            <w:tcBorders>
              <w:bottom w:val="single" w:sz="4" w:space="0" w:color="5B9BD5" w:themeColor="accent1"/>
            </w:tcBorders>
            <w:hideMark/>
          </w:tcPr>
          <w:p w14:paraId="3A43790D" w14:textId="77777777" w:rsidR="003025A7" w:rsidRPr="006C3504" w:rsidRDefault="003025A7" w:rsidP="00970270">
            <w:pPr>
              <w:pStyle w:val="TableColumn"/>
              <w:rPr>
                <w:b/>
                <w:bCs/>
                <w:lang w:val="bg-BG"/>
              </w:rPr>
            </w:pPr>
            <w:r w:rsidRPr="006C3504">
              <w:rPr>
                <w:b/>
                <w:bCs/>
                <w:lang w:val="bg-BG"/>
              </w:rPr>
              <w:t>Констатации</w:t>
            </w:r>
          </w:p>
        </w:tc>
        <w:tc>
          <w:tcPr>
            <w:tcW w:w="1717" w:type="pct"/>
            <w:tcBorders>
              <w:bottom w:val="single" w:sz="4" w:space="0" w:color="5B9BD5" w:themeColor="accent1"/>
            </w:tcBorders>
            <w:hideMark/>
          </w:tcPr>
          <w:p w14:paraId="4987B4D3" w14:textId="77777777" w:rsidR="003025A7" w:rsidRPr="006C3504" w:rsidRDefault="003025A7" w:rsidP="00970270">
            <w:pPr>
              <w:pStyle w:val="TableColumn"/>
              <w:rPr>
                <w:b/>
                <w:bCs/>
                <w:lang w:val="bg-BG"/>
              </w:rPr>
            </w:pPr>
            <w:r w:rsidRPr="006C3504">
              <w:rPr>
                <w:b/>
                <w:bCs/>
                <w:lang w:val="bg-BG"/>
              </w:rPr>
              <w:t>Препоръки по отделните точки</w:t>
            </w:r>
          </w:p>
        </w:tc>
        <w:tc>
          <w:tcPr>
            <w:tcW w:w="1716" w:type="pct"/>
            <w:tcBorders>
              <w:bottom w:val="single" w:sz="4" w:space="0" w:color="5B9BD5" w:themeColor="accent1"/>
            </w:tcBorders>
          </w:tcPr>
          <w:p w14:paraId="7630D8F7" w14:textId="77777777" w:rsidR="003025A7" w:rsidRPr="006C3504" w:rsidRDefault="003025A7" w:rsidP="00970270">
            <w:pPr>
              <w:pStyle w:val="TableColumn"/>
              <w:rPr>
                <w:b/>
                <w:bCs/>
                <w:lang w:val="bg-BG"/>
              </w:rPr>
            </w:pPr>
            <w:r w:rsidRPr="006C3504">
              <w:rPr>
                <w:b/>
                <w:bCs/>
                <w:lang w:val="bg-BG"/>
              </w:rPr>
              <w:t>Позиция на Република България</w:t>
            </w:r>
          </w:p>
        </w:tc>
      </w:tr>
      <w:tr w:rsidR="003025A7" w:rsidRPr="006C3504" w14:paraId="1C6DE344" w14:textId="77777777" w:rsidTr="00970270">
        <w:trPr>
          <w:trHeight w:val="249"/>
        </w:trPr>
        <w:tc>
          <w:tcPr>
            <w:tcW w:w="3284" w:type="pct"/>
            <w:gridSpan w:val="2"/>
            <w:tcBorders>
              <w:top w:val="single" w:sz="4" w:space="0" w:color="5B9BD5" w:themeColor="accent1"/>
              <w:bottom w:val="single" w:sz="4" w:space="0" w:color="5B9BD5" w:themeColor="accent1"/>
            </w:tcBorders>
          </w:tcPr>
          <w:p w14:paraId="6E0F4104" w14:textId="77777777" w:rsidR="003025A7" w:rsidRPr="006C3504" w:rsidRDefault="00B21C1C" w:rsidP="00970270">
            <w:pPr>
              <w:pStyle w:val="TableColumn"/>
              <w:rPr>
                <w:b/>
                <w:bCs/>
                <w:lang w:val="bg-BG"/>
              </w:rPr>
            </w:pPr>
            <w:proofErr w:type="spellStart"/>
            <w:r w:rsidRPr="006C3504">
              <w:rPr>
                <w:b/>
                <w:bCs/>
                <w:lang w:val="bg-BG"/>
              </w:rPr>
              <w:t>Декарбонизация</w:t>
            </w:r>
            <w:proofErr w:type="spellEnd"/>
            <w:r w:rsidRPr="006C3504">
              <w:rPr>
                <w:b/>
                <w:bCs/>
                <w:lang w:val="bg-BG"/>
              </w:rPr>
              <w:t xml:space="preserve"> на производството на електроенергия и промишлеността</w:t>
            </w:r>
          </w:p>
        </w:tc>
        <w:tc>
          <w:tcPr>
            <w:tcW w:w="1716" w:type="pct"/>
            <w:tcBorders>
              <w:top w:val="single" w:sz="4" w:space="0" w:color="5B9BD5" w:themeColor="accent1"/>
              <w:bottom w:val="single" w:sz="4" w:space="0" w:color="5B9BD5" w:themeColor="accent1"/>
            </w:tcBorders>
          </w:tcPr>
          <w:p w14:paraId="5A3E2067" w14:textId="77777777" w:rsidR="003025A7" w:rsidRPr="006C3504" w:rsidRDefault="003025A7" w:rsidP="00970270">
            <w:pPr>
              <w:pStyle w:val="TableColumn"/>
              <w:rPr>
                <w:b/>
                <w:bCs/>
                <w:lang w:val="bg-BG"/>
              </w:rPr>
            </w:pPr>
          </w:p>
        </w:tc>
      </w:tr>
      <w:tr w:rsidR="003025A7" w:rsidRPr="00005C86" w14:paraId="1B8902EF" w14:textId="77777777" w:rsidTr="00F70B75">
        <w:tc>
          <w:tcPr>
            <w:tcW w:w="1567" w:type="pct"/>
            <w:tcBorders>
              <w:top w:val="single" w:sz="4" w:space="0" w:color="5B9BD5" w:themeColor="accent1"/>
            </w:tcBorders>
          </w:tcPr>
          <w:p w14:paraId="3EB464FF" w14:textId="77777777" w:rsidR="003025A7" w:rsidRPr="00651109" w:rsidRDefault="00ED27A9" w:rsidP="00970270">
            <w:pPr>
              <w:pStyle w:val="TableRow"/>
              <w:rPr>
                <w:b/>
                <w:lang w:val="bg-BG"/>
              </w:rPr>
            </w:pPr>
            <w:r w:rsidRPr="00651109">
              <w:rPr>
                <w:b/>
                <w:lang w:val="bg-BG"/>
              </w:rPr>
              <w:t>България остава силно зависима от производството на електроенергия от въглища и няма подробна стратегия за извеждане от експлоатация на въглищата.</w:t>
            </w:r>
          </w:p>
        </w:tc>
        <w:tc>
          <w:tcPr>
            <w:tcW w:w="1717" w:type="pct"/>
            <w:tcBorders>
              <w:top w:val="single" w:sz="4" w:space="0" w:color="5B9BD5" w:themeColor="accent1"/>
            </w:tcBorders>
          </w:tcPr>
          <w:p w14:paraId="29935471" w14:textId="77777777" w:rsidR="00ED27A9" w:rsidRPr="006C3504" w:rsidRDefault="00B32C3F" w:rsidP="00BA77A9">
            <w:pPr>
              <w:pStyle w:val="TableCell"/>
              <w:jc w:val="both"/>
              <w:rPr>
                <w:b/>
                <w:bCs/>
                <w:lang w:val="bg-BG"/>
              </w:rPr>
            </w:pPr>
            <w:r>
              <w:rPr>
                <w:b/>
                <w:bCs/>
                <w:lang w:val="bg-BG"/>
              </w:rPr>
              <w:t>Да се о</w:t>
            </w:r>
            <w:r w:rsidR="00B30B3F">
              <w:rPr>
                <w:b/>
                <w:bCs/>
                <w:lang w:val="bg-BG"/>
              </w:rPr>
              <w:t>предел</w:t>
            </w:r>
            <w:r>
              <w:rPr>
                <w:b/>
                <w:bCs/>
                <w:lang w:val="bg-BG"/>
              </w:rPr>
              <w:t>и</w:t>
            </w:r>
            <w:r w:rsidR="00ED27A9" w:rsidRPr="006C3504">
              <w:rPr>
                <w:b/>
                <w:bCs/>
                <w:lang w:val="bg-BG"/>
              </w:rPr>
              <w:t xml:space="preserve"> ясна стратегия за извеждане от експлоатация на въглищата с подробни планове за закриване, като същевременно се гарантира енергийната сигурност и се остави резервна мощност за спомагателни услуги.</w:t>
            </w:r>
          </w:p>
          <w:p w14:paraId="141B49AC" w14:textId="77777777" w:rsidR="003025A7" w:rsidRPr="006C3504" w:rsidRDefault="00B32C3F" w:rsidP="00B32C3F">
            <w:pPr>
              <w:pStyle w:val="TableCell"/>
              <w:jc w:val="both"/>
              <w:rPr>
                <w:lang w:val="bg-BG"/>
              </w:rPr>
            </w:pPr>
            <w:r>
              <w:rPr>
                <w:bCs/>
                <w:lang w:val="bg-BG"/>
              </w:rPr>
              <w:t>Да се р</w:t>
            </w:r>
            <w:r w:rsidR="00B30B3F">
              <w:rPr>
                <w:bCs/>
                <w:lang w:val="bg-BG"/>
              </w:rPr>
              <w:t>азви</w:t>
            </w:r>
            <w:r>
              <w:rPr>
                <w:bCs/>
                <w:lang w:val="bg-BG"/>
              </w:rPr>
              <w:t>ят</w:t>
            </w:r>
            <w:r w:rsidR="00B30B3F">
              <w:rPr>
                <w:bCs/>
                <w:lang w:val="bg-BG"/>
              </w:rPr>
              <w:t xml:space="preserve"> и прилага</w:t>
            </w:r>
            <w:r>
              <w:rPr>
                <w:bCs/>
                <w:lang w:val="bg-BG"/>
              </w:rPr>
              <w:t>т</w:t>
            </w:r>
            <w:r w:rsidR="00ED27A9" w:rsidRPr="006C3504">
              <w:rPr>
                <w:bCs/>
                <w:lang w:val="bg-BG"/>
              </w:rPr>
              <w:t xml:space="preserve"> планове за икономическа и социална трансформация в засегнатите въглищ</w:t>
            </w:r>
            <w:r w:rsidR="00651109">
              <w:rPr>
                <w:bCs/>
                <w:lang w:val="bg-BG"/>
              </w:rPr>
              <w:t>ни</w:t>
            </w:r>
            <w:r w:rsidR="00ED27A9" w:rsidRPr="006C3504">
              <w:rPr>
                <w:bCs/>
                <w:lang w:val="bg-BG"/>
              </w:rPr>
              <w:t xml:space="preserve"> ре</w:t>
            </w:r>
            <w:r w:rsidR="00651109">
              <w:rPr>
                <w:bCs/>
                <w:lang w:val="bg-BG"/>
              </w:rPr>
              <w:t>гиони в очакване на</w:t>
            </w:r>
            <w:r w:rsidR="00ED27A9" w:rsidRPr="006C3504">
              <w:rPr>
                <w:bCs/>
                <w:lang w:val="bg-BG"/>
              </w:rPr>
              <w:t xml:space="preserve"> затварянето на въглищните централи.</w:t>
            </w:r>
          </w:p>
        </w:tc>
        <w:tc>
          <w:tcPr>
            <w:tcW w:w="1716" w:type="pct"/>
            <w:tcBorders>
              <w:top w:val="single" w:sz="4" w:space="0" w:color="5B9BD5" w:themeColor="accent1"/>
            </w:tcBorders>
          </w:tcPr>
          <w:p w14:paraId="75E5FE0F" w14:textId="77777777" w:rsidR="00071668" w:rsidRDefault="0028455A" w:rsidP="009004C2">
            <w:pPr>
              <w:pStyle w:val="CommentText"/>
              <w:rPr>
                <w:rFonts w:eastAsiaTheme="minorHAnsi"/>
                <w:b/>
                <w:bCs/>
                <w:color w:val="000000" w:themeColor="text1"/>
                <w:sz w:val="17"/>
                <w:lang w:val="bg-BG"/>
              </w:rPr>
            </w:pPr>
            <w:r w:rsidRPr="0028455A">
              <w:rPr>
                <w:rFonts w:eastAsiaTheme="minorHAnsi"/>
                <w:b/>
                <w:bCs/>
                <w:color w:val="000000" w:themeColor="text1"/>
                <w:sz w:val="17"/>
                <w:lang w:val="bg-BG"/>
              </w:rPr>
              <w:t>Република България изразява несъгласие с препоръката</w:t>
            </w:r>
            <w:r w:rsidR="009004C2">
              <w:rPr>
                <w:rFonts w:eastAsiaTheme="minorHAnsi"/>
                <w:b/>
                <w:bCs/>
                <w:color w:val="000000" w:themeColor="text1"/>
                <w:sz w:val="17"/>
                <w:lang w:val="bg-BG"/>
              </w:rPr>
              <w:t xml:space="preserve"> и предлага </w:t>
            </w:r>
            <w:r w:rsidR="00BB410E">
              <w:rPr>
                <w:rFonts w:eastAsiaTheme="minorHAnsi"/>
                <w:b/>
                <w:bCs/>
                <w:color w:val="000000" w:themeColor="text1"/>
                <w:sz w:val="17"/>
                <w:lang w:val="bg-BG"/>
              </w:rPr>
              <w:t xml:space="preserve">следната </w:t>
            </w:r>
            <w:r w:rsidR="009004C2">
              <w:rPr>
                <w:rFonts w:eastAsiaTheme="minorHAnsi"/>
                <w:b/>
                <w:bCs/>
                <w:color w:val="000000" w:themeColor="text1"/>
                <w:sz w:val="17"/>
                <w:lang w:val="bg-BG"/>
              </w:rPr>
              <w:t>редакция</w:t>
            </w:r>
            <w:r w:rsidR="00BB410E">
              <w:rPr>
                <w:rFonts w:eastAsiaTheme="minorHAnsi"/>
                <w:b/>
                <w:bCs/>
                <w:color w:val="000000" w:themeColor="text1"/>
                <w:sz w:val="17"/>
                <w:lang w:val="bg-BG"/>
              </w:rPr>
              <w:t>:</w:t>
            </w:r>
          </w:p>
          <w:p w14:paraId="13507698" w14:textId="77777777" w:rsidR="00436B26" w:rsidRDefault="00940BF6" w:rsidP="009004C2">
            <w:pPr>
              <w:pStyle w:val="CommentText"/>
              <w:rPr>
                <w:bCs/>
                <w:color w:val="000000" w:themeColor="text1"/>
                <w:sz w:val="17"/>
                <w:lang w:val="bg-BG"/>
              </w:rPr>
            </w:pPr>
            <w:r w:rsidRPr="009E25EC">
              <w:rPr>
                <w:b/>
                <w:bCs/>
                <w:i/>
                <w:color w:val="000000" w:themeColor="text1"/>
                <w:sz w:val="17"/>
                <w:u w:val="single"/>
                <w:lang w:val="bg-BG"/>
              </w:rPr>
              <w:t>Предложение за редакция:</w:t>
            </w:r>
            <w:r>
              <w:rPr>
                <w:bCs/>
                <w:color w:val="000000" w:themeColor="text1"/>
                <w:sz w:val="17"/>
                <w:lang w:val="bg-BG"/>
              </w:rPr>
              <w:t xml:space="preserve"> </w:t>
            </w:r>
          </w:p>
          <w:p w14:paraId="10E2637D" w14:textId="77777777" w:rsidR="00436B26" w:rsidRPr="00436B26" w:rsidRDefault="00436B26" w:rsidP="00436B26">
            <w:pPr>
              <w:pStyle w:val="TableCell"/>
              <w:jc w:val="both"/>
              <w:rPr>
                <w:b/>
                <w:bCs/>
                <w:strike/>
                <w:lang w:val="bg-BG"/>
              </w:rPr>
            </w:pPr>
            <w:r w:rsidRPr="00436B26">
              <w:rPr>
                <w:b/>
                <w:bCs/>
                <w:strike/>
                <w:lang w:val="bg-BG"/>
              </w:rPr>
              <w:t>Да се определи ясна стратегия за извеждане от експлоатация на въглищата с подробни планове за закриване, като същевременно се гарантира енергийната сигурност и се остави резервна мощност за спомагателни услуги.</w:t>
            </w:r>
          </w:p>
          <w:p w14:paraId="580F63B6" w14:textId="77777777" w:rsidR="00436B26" w:rsidRPr="00436B26" w:rsidRDefault="00436B26" w:rsidP="00436B26">
            <w:pPr>
              <w:pStyle w:val="CommentText"/>
              <w:rPr>
                <w:rFonts w:eastAsiaTheme="minorHAnsi"/>
                <w:bCs/>
                <w:strike/>
                <w:color w:val="000000" w:themeColor="text1"/>
                <w:sz w:val="17"/>
                <w:lang w:val="bg-BG"/>
              </w:rPr>
            </w:pPr>
            <w:r w:rsidRPr="00436B26">
              <w:rPr>
                <w:rFonts w:eastAsiaTheme="minorHAnsi"/>
                <w:bCs/>
                <w:strike/>
                <w:color w:val="000000" w:themeColor="text1"/>
                <w:sz w:val="17"/>
                <w:lang w:val="bg-BG"/>
              </w:rPr>
              <w:t>Да се развият и прилагат планове за икономическа и социална трансформация в засегнатите въглищни региони в очакване на затварянето на въглищните централи.</w:t>
            </w:r>
          </w:p>
          <w:p w14:paraId="61712AE3" w14:textId="77777777" w:rsidR="009004C2" w:rsidRPr="00B32F12" w:rsidRDefault="009004C2" w:rsidP="009004C2">
            <w:pPr>
              <w:pStyle w:val="CommentText"/>
              <w:rPr>
                <w:b/>
                <w:bCs/>
                <w:color w:val="000000" w:themeColor="text1"/>
                <w:sz w:val="17"/>
                <w:lang w:val="bg-BG"/>
              </w:rPr>
            </w:pPr>
            <w:r w:rsidRPr="009004C2">
              <w:rPr>
                <w:b/>
                <w:bCs/>
                <w:color w:val="000000" w:themeColor="text1"/>
                <w:sz w:val="17"/>
                <w:lang w:val="bg-BG"/>
              </w:rPr>
              <w:t xml:space="preserve">Да се работи по определената стратегия за извеждане от експлоатация на въглищата, </w:t>
            </w:r>
            <w:r w:rsidRPr="00B32F12">
              <w:rPr>
                <w:b/>
                <w:bCs/>
                <w:color w:val="000000" w:themeColor="text1"/>
                <w:sz w:val="17"/>
                <w:lang w:val="ru-RU"/>
              </w:rPr>
              <w:t xml:space="preserve">която включва </w:t>
            </w:r>
            <w:r w:rsidRPr="00B32F12">
              <w:rPr>
                <w:b/>
                <w:bCs/>
                <w:color w:val="000000" w:themeColor="text1"/>
                <w:sz w:val="17"/>
                <w:lang w:val="bg-BG"/>
              </w:rPr>
              <w:t>ясни срокове, сценарии и етапи за постигане на климатична неутралност и за постепенното прекратяване на използването на въглища за производство на електрическа и топлинна енергия,</w:t>
            </w:r>
            <w:r w:rsidRPr="00B32F12">
              <w:rPr>
                <w:b/>
                <w:bCs/>
                <w:color w:val="000000" w:themeColor="text1"/>
                <w:sz w:val="17"/>
                <w:lang w:val="ru-RU"/>
              </w:rPr>
              <w:t xml:space="preserve"> като</w:t>
            </w:r>
            <w:r w:rsidRPr="009004C2">
              <w:rPr>
                <w:bCs/>
                <w:color w:val="000000" w:themeColor="text1"/>
                <w:sz w:val="17"/>
                <w:lang w:val="ru-RU"/>
              </w:rPr>
              <w:t xml:space="preserve"> </w:t>
            </w:r>
            <w:r w:rsidRPr="00B32F12">
              <w:rPr>
                <w:b/>
                <w:bCs/>
                <w:color w:val="000000" w:themeColor="text1"/>
                <w:sz w:val="17"/>
                <w:lang w:val="ru-RU"/>
              </w:rPr>
              <w:t>същевременно гарантира енергийната сигурност и социалната справедливост</w:t>
            </w:r>
            <w:r w:rsidRPr="00B32F12">
              <w:rPr>
                <w:b/>
                <w:bCs/>
                <w:color w:val="000000" w:themeColor="text1"/>
                <w:sz w:val="17"/>
                <w:lang w:val="bg-BG"/>
              </w:rPr>
              <w:t>.</w:t>
            </w:r>
            <w:r w:rsidRPr="00B32F12">
              <w:rPr>
                <w:b/>
                <w:bCs/>
                <w:color w:val="000000" w:themeColor="text1"/>
                <w:sz w:val="17"/>
                <w:lang w:val="ru-RU"/>
              </w:rPr>
              <w:t xml:space="preserve"> </w:t>
            </w:r>
          </w:p>
          <w:p w14:paraId="4D872446" w14:textId="77777777" w:rsidR="009004C2" w:rsidRDefault="009004C2" w:rsidP="009004C2">
            <w:pPr>
              <w:pStyle w:val="CommentText"/>
              <w:rPr>
                <w:bCs/>
                <w:color w:val="000000" w:themeColor="text1"/>
                <w:sz w:val="17"/>
                <w:lang w:val="bg-BG"/>
              </w:rPr>
            </w:pPr>
            <w:r w:rsidRPr="00B32F12">
              <w:rPr>
                <w:b/>
                <w:bCs/>
                <w:color w:val="000000" w:themeColor="text1"/>
                <w:sz w:val="17"/>
                <w:lang w:val="ru-RU"/>
              </w:rPr>
              <w:t xml:space="preserve">Да продължат текущите инициативи за икономическа и социална трансформация на </w:t>
            </w:r>
            <w:r w:rsidRPr="00B32F12">
              <w:rPr>
                <w:b/>
                <w:bCs/>
                <w:color w:val="000000" w:themeColor="text1"/>
                <w:sz w:val="17"/>
                <w:lang w:val="bg-BG"/>
              </w:rPr>
              <w:t>засегнатите въглищни региони</w:t>
            </w:r>
            <w:r w:rsidRPr="009004C2">
              <w:rPr>
                <w:bCs/>
                <w:color w:val="000000" w:themeColor="text1"/>
                <w:sz w:val="17"/>
                <w:lang w:val="bg-BG"/>
              </w:rPr>
              <w:t>.</w:t>
            </w:r>
          </w:p>
          <w:p w14:paraId="54877B27" w14:textId="77777777" w:rsidR="00E15459" w:rsidRPr="00E15459" w:rsidRDefault="002C5EAC" w:rsidP="00E15459">
            <w:pPr>
              <w:pStyle w:val="CommentText"/>
              <w:rPr>
                <w:bCs/>
                <w:color w:val="000000" w:themeColor="text1"/>
                <w:sz w:val="17"/>
                <w:lang w:val="bg-BG"/>
              </w:rPr>
            </w:pPr>
            <w:r w:rsidRPr="009E25EC">
              <w:rPr>
                <w:b/>
                <w:i/>
                <w:sz w:val="17"/>
                <w:szCs w:val="17"/>
                <w:u w:val="single"/>
                <w:lang w:val="bg-BG"/>
              </w:rPr>
              <w:t>Мотиви</w:t>
            </w:r>
            <w:r w:rsidR="009C1663" w:rsidRPr="009E25EC">
              <w:rPr>
                <w:b/>
                <w:bCs/>
                <w:i/>
                <w:color w:val="000000" w:themeColor="text1"/>
                <w:sz w:val="17"/>
                <w:u w:val="single"/>
                <w:lang w:val="bg-BG"/>
              </w:rPr>
              <w:t>:</w:t>
            </w:r>
            <w:r w:rsidR="009C1663">
              <w:rPr>
                <w:bCs/>
                <w:color w:val="000000" w:themeColor="text1"/>
                <w:sz w:val="17"/>
                <w:lang w:val="bg-BG"/>
              </w:rPr>
              <w:t xml:space="preserve"> </w:t>
            </w:r>
            <w:r w:rsidR="00E15459" w:rsidRPr="00E15459">
              <w:rPr>
                <w:lang w:val="bg-BG"/>
              </w:rPr>
              <w:t xml:space="preserve"> </w:t>
            </w:r>
            <w:r w:rsidR="00E15459" w:rsidRPr="00E15459">
              <w:rPr>
                <w:bCs/>
                <w:color w:val="000000" w:themeColor="text1"/>
                <w:sz w:val="17"/>
                <w:lang w:val="bg-BG"/>
              </w:rPr>
              <w:t xml:space="preserve">Приетата с решение на Министерския съвет на Р България последна версия на Пътната карта за климатична неутралност очертава ясно рамката за постепенно прекратяване на използването на въглища при производство на електрическа енергия, при запазване на сигурността и стабилността на системата. Пътната карта е разработена от Комисия за енергиен преход,  включваща  представители от широк кръг заинтересовани страни – институции, научни среди, бизнес и браншови организации, неправителствен сектор, въз основа на прозрачни и недискриминационни правила и процедури. Нейната работа се основава на принципите на независимост и плурализъм, като гарантира балансирано участие и обоснованост на взетите решения. Докладът със сценарии и препоръки беше разработен въз основа на интегрирани модели за енергийна и икономическа трансформация, с публично оповестени резултати. </w:t>
            </w:r>
          </w:p>
          <w:p w14:paraId="6C8C6C52" w14:textId="77777777" w:rsidR="00E15459" w:rsidRPr="00E15459" w:rsidRDefault="00E15459" w:rsidP="00E15459">
            <w:pPr>
              <w:pStyle w:val="CommentText"/>
              <w:rPr>
                <w:bCs/>
                <w:color w:val="000000" w:themeColor="text1"/>
                <w:sz w:val="17"/>
                <w:lang w:val="bg-BG"/>
              </w:rPr>
            </w:pPr>
            <w:r w:rsidRPr="00E15459">
              <w:rPr>
                <w:bCs/>
                <w:color w:val="000000" w:themeColor="text1"/>
                <w:sz w:val="17"/>
                <w:lang w:val="bg-BG"/>
              </w:rPr>
              <w:t xml:space="preserve">Аналогично, Интегрираният план в областта на енергетиката и климата премина през обществени консултации, бе представян и обсъждан в различни формати като форуми, кръгли маси, семинари и конференции, </w:t>
            </w:r>
            <w:r w:rsidRPr="00E15459">
              <w:rPr>
                <w:bCs/>
                <w:color w:val="000000" w:themeColor="text1"/>
                <w:sz w:val="17"/>
                <w:lang w:val="bg-BG"/>
              </w:rPr>
              <w:lastRenderedPageBreak/>
              <w:t xml:space="preserve">както на национално, така и на европейско ниво. </w:t>
            </w:r>
          </w:p>
          <w:p w14:paraId="622467DE" w14:textId="77777777" w:rsidR="00E15459" w:rsidRPr="00E15459" w:rsidRDefault="00E15459" w:rsidP="00E15459">
            <w:pPr>
              <w:pStyle w:val="CommentText"/>
              <w:rPr>
                <w:bCs/>
                <w:color w:val="000000" w:themeColor="text1"/>
                <w:sz w:val="17"/>
                <w:lang w:val="bg-BG"/>
              </w:rPr>
            </w:pPr>
            <w:r w:rsidRPr="00E15459">
              <w:rPr>
                <w:bCs/>
                <w:color w:val="000000" w:themeColor="text1"/>
                <w:sz w:val="17"/>
                <w:lang w:val="bg-BG"/>
              </w:rPr>
              <w:t>Стратегическите документи включително и  Интегрираният план в областта на енергетиката и климата  включват ясни срокове, сценарии и етапи за постигане на климатична неутралност и за постепенното  прекратяване на използването на въглища за производство на електрическа и топлинна енергия. Тези действия имат за цел да осигурят не само технологична и икономическа трансформация, но и да бъдат социално справедливи и да сведат до минимум възможните негативни въздействия върху гражданите и общностите.</w:t>
            </w:r>
          </w:p>
          <w:p w14:paraId="29B1A703" w14:textId="77777777" w:rsidR="00E15459" w:rsidRPr="00E15459" w:rsidRDefault="00E15459" w:rsidP="00E15459">
            <w:pPr>
              <w:pStyle w:val="CommentText"/>
              <w:rPr>
                <w:bCs/>
                <w:color w:val="000000" w:themeColor="text1"/>
                <w:sz w:val="17"/>
                <w:lang w:val="bg-BG"/>
              </w:rPr>
            </w:pPr>
            <w:r w:rsidRPr="00E15459">
              <w:rPr>
                <w:bCs/>
                <w:color w:val="000000" w:themeColor="text1"/>
                <w:sz w:val="17"/>
                <w:lang w:val="bg-BG"/>
              </w:rPr>
              <w:t xml:space="preserve">В този контекст Министерството на енергетиката прилага подход, основан на информираност, отворен диалог и отговорност в рамките на устойчивия енергиен преход, като гарантира, че приетите политики са съобразени с интересите на обществото и насочени към опазване на околната среда и човешкото благосъстояние. </w:t>
            </w:r>
          </w:p>
          <w:p w14:paraId="1F60DF21" w14:textId="77777777" w:rsidR="00E15459" w:rsidRPr="00E15459" w:rsidRDefault="00E15459" w:rsidP="00E15459">
            <w:pPr>
              <w:pStyle w:val="CommentText"/>
              <w:rPr>
                <w:bCs/>
                <w:color w:val="000000" w:themeColor="text1"/>
                <w:sz w:val="17"/>
                <w:lang w:val="bg-BG"/>
              </w:rPr>
            </w:pPr>
            <w:r w:rsidRPr="00E15459">
              <w:rPr>
                <w:bCs/>
                <w:color w:val="000000" w:themeColor="text1"/>
                <w:sz w:val="17"/>
                <w:lang w:val="bg-BG"/>
              </w:rPr>
              <w:t xml:space="preserve">В допълнение, през м. юни 2025 г. между Република България, чрез министъра на енергетиката и Европейската инвестиционна банка (ЕИБ) е подписано споразумение за предоставяне на консултантски услуги във връзка с разработването на мащабни инвестиционни проекти за нови икономически дейности с висока добавена стойност в един от най-големите въглищни енергийни комплекси в Европа - „Марица изток“. Подобно споразумение е сключено и между БЕХ ЕАД и банката с цел разработване на План за </w:t>
            </w:r>
            <w:proofErr w:type="spellStart"/>
            <w:r w:rsidRPr="00E15459">
              <w:rPr>
                <w:bCs/>
                <w:color w:val="000000" w:themeColor="text1"/>
                <w:sz w:val="17"/>
                <w:lang w:val="bg-BG"/>
              </w:rPr>
              <w:t>декарбонизация</w:t>
            </w:r>
            <w:proofErr w:type="spellEnd"/>
            <w:r w:rsidRPr="00E15459">
              <w:rPr>
                <w:bCs/>
                <w:color w:val="000000" w:themeColor="text1"/>
                <w:sz w:val="17"/>
                <w:lang w:val="bg-BG"/>
              </w:rPr>
              <w:t>. Към момента дейностите по споразумението са в процес на изпълнение.</w:t>
            </w:r>
          </w:p>
          <w:p w14:paraId="625CC1F0" w14:textId="77777777" w:rsidR="003025A7" w:rsidRPr="00C206E6" w:rsidRDefault="00E15459" w:rsidP="009004C2">
            <w:pPr>
              <w:pStyle w:val="CommentText"/>
              <w:rPr>
                <w:bCs/>
                <w:color w:val="000000" w:themeColor="text1"/>
                <w:sz w:val="17"/>
                <w:lang w:val="bg-BG"/>
              </w:rPr>
            </w:pPr>
            <w:r w:rsidRPr="00E15459">
              <w:rPr>
                <w:bCs/>
                <w:color w:val="000000" w:themeColor="text1"/>
                <w:sz w:val="17"/>
                <w:lang w:val="bg-BG"/>
              </w:rPr>
              <w:t>Напредва, също така, провеждането на  процедури за финансиране по  Приоритет 4 „Справедлив преход“ на Програма „Развитие на регионите“ (ПРР) 2021-2027.  Програмата Развитие на Регионите на проекти  с висока степен на готовност и съответстващи на Териториалните планове за справедлив преход.  Изпълнението на тези инвестиции ще допринесе за икономическата и социална трансформация на засегнатите във въглищните региони.</w:t>
            </w:r>
          </w:p>
        </w:tc>
      </w:tr>
      <w:tr w:rsidR="003025A7" w:rsidRPr="00005C86" w14:paraId="5ED76C29" w14:textId="77777777" w:rsidTr="00F70B75">
        <w:tc>
          <w:tcPr>
            <w:tcW w:w="1567" w:type="pct"/>
            <w:tcBorders>
              <w:bottom w:val="single" w:sz="4" w:space="0" w:color="5B9BD5" w:themeColor="accent1"/>
            </w:tcBorders>
          </w:tcPr>
          <w:p w14:paraId="72425021" w14:textId="77777777" w:rsidR="003025A7" w:rsidRPr="006C3504" w:rsidRDefault="007873E2" w:rsidP="00522C50">
            <w:pPr>
              <w:pStyle w:val="TableRow"/>
              <w:rPr>
                <w:lang w:val="bg-BG"/>
              </w:rPr>
            </w:pPr>
            <w:r w:rsidRPr="006C3504">
              <w:rPr>
                <w:lang w:val="bg-BG"/>
              </w:rPr>
              <w:lastRenderedPageBreak/>
              <w:t>Инвестициите в производството на енергия от възобновяеми източници трябва да се увеличат</w:t>
            </w:r>
            <w:r w:rsidR="00522C50">
              <w:rPr>
                <w:lang w:val="bg-BG"/>
              </w:rPr>
              <w:t xml:space="preserve"> допълнително</w:t>
            </w:r>
            <w:r w:rsidRPr="006C3504">
              <w:rPr>
                <w:lang w:val="bg-BG"/>
              </w:rPr>
              <w:t>, за да заменят енергията от въглища без да се застрашава енергийната сигурност.</w:t>
            </w:r>
          </w:p>
        </w:tc>
        <w:tc>
          <w:tcPr>
            <w:tcW w:w="1717" w:type="pct"/>
            <w:tcBorders>
              <w:bottom w:val="single" w:sz="4" w:space="0" w:color="5B9BD5" w:themeColor="accent1"/>
            </w:tcBorders>
          </w:tcPr>
          <w:p w14:paraId="750902DD" w14:textId="77777777" w:rsidR="007873E2" w:rsidRPr="006C3504" w:rsidRDefault="00522C50" w:rsidP="00BA77A9">
            <w:pPr>
              <w:pStyle w:val="TableCell"/>
              <w:jc w:val="both"/>
              <w:rPr>
                <w:lang w:val="bg-BG"/>
              </w:rPr>
            </w:pPr>
            <w:r>
              <w:rPr>
                <w:lang w:val="bg-BG"/>
              </w:rPr>
              <w:t>Да се о</w:t>
            </w:r>
            <w:r w:rsidR="009034F9">
              <w:rPr>
                <w:lang w:val="bg-BG"/>
              </w:rPr>
              <w:t>бмисли въвеждането на</w:t>
            </w:r>
            <w:r w:rsidR="007873E2" w:rsidRPr="006C3504">
              <w:rPr>
                <w:lang w:val="bg-BG"/>
              </w:rPr>
              <w:t xml:space="preserve"> </w:t>
            </w:r>
            <w:r>
              <w:rPr>
                <w:lang w:val="bg-BG"/>
              </w:rPr>
              <w:t>С</w:t>
            </w:r>
            <w:r w:rsidR="007873E2" w:rsidRPr="006C3504">
              <w:rPr>
                <w:lang w:val="bg-BG"/>
              </w:rPr>
              <w:t>хеми за дого</w:t>
            </w:r>
            <w:r w:rsidR="00425438">
              <w:rPr>
                <w:lang w:val="bg-BG"/>
              </w:rPr>
              <w:t>вори за разлика за насърчаване на</w:t>
            </w:r>
            <w:r w:rsidR="009034F9">
              <w:rPr>
                <w:lang w:val="bg-BG"/>
              </w:rPr>
              <w:t xml:space="preserve"> повече</w:t>
            </w:r>
            <w:r w:rsidR="007873E2" w:rsidRPr="006C3504">
              <w:rPr>
                <w:lang w:val="bg-BG"/>
              </w:rPr>
              <w:t xml:space="preserve"> и по-бързо разгръщане на възобновяемите енергийни източници.</w:t>
            </w:r>
          </w:p>
          <w:p w14:paraId="75BFC24E" w14:textId="77777777" w:rsidR="003025A7" w:rsidRPr="006C3504" w:rsidRDefault="00B32C3F" w:rsidP="00B32C3F">
            <w:pPr>
              <w:pStyle w:val="TableCell"/>
              <w:jc w:val="both"/>
              <w:rPr>
                <w:lang w:val="bg-BG"/>
              </w:rPr>
            </w:pPr>
            <w:r>
              <w:rPr>
                <w:lang w:val="bg-BG"/>
              </w:rPr>
              <w:t>Да се в</w:t>
            </w:r>
            <w:r w:rsidR="00B30B3F">
              <w:rPr>
                <w:lang w:val="bg-BG"/>
              </w:rPr>
              <w:t>ъвед</w:t>
            </w:r>
            <w:r>
              <w:rPr>
                <w:lang w:val="bg-BG"/>
              </w:rPr>
              <w:t>е</w:t>
            </w:r>
            <w:r w:rsidR="007873E2" w:rsidRPr="006C3504">
              <w:rPr>
                <w:lang w:val="bg-BG"/>
              </w:rPr>
              <w:t xml:space="preserve"> специално законодателство за </w:t>
            </w:r>
            <w:r w:rsidR="00651109">
              <w:rPr>
                <w:lang w:val="bg-BG"/>
              </w:rPr>
              <w:t xml:space="preserve">офшорна </w:t>
            </w:r>
            <w:r w:rsidR="007873E2" w:rsidRPr="006C3504">
              <w:rPr>
                <w:lang w:val="bg-BG"/>
              </w:rPr>
              <w:t>възобновяема енергия заедно с</w:t>
            </w:r>
            <w:r w:rsidR="00651109" w:rsidRPr="006C3504">
              <w:rPr>
                <w:lang w:val="bg-BG"/>
              </w:rPr>
              <w:t xml:space="preserve"> планиране </w:t>
            </w:r>
            <w:r w:rsidR="00651109">
              <w:rPr>
                <w:lang w:val="bg-BG"/>
              </w:rPr>
              <w:t xml:space="preserve">на </w:t>
            </w:r>
            <w:r w:rsidR="007873E2" w:rsidRPr="006C3504">
              <w:rPr>
                <w:lang w:val="bg-BG"/>
              </w:rPr>
              <w:t>морск</w:t>
            </w:r>
            <w:r w:rsidR="00651109">
              <w:rPr>
                <w:lang w:val="bg-BG"/>
              </w:rPr>
              <w:t>ите/крайбрежните</w:t>
            </w:r>
            <w:r w:rsidR="007873E2" w:rsidRPr="006C3504">
              <w:rPr>
                <w:lang w:val="bg-BG"/>
              </w:rPr>
              <w:t xml:space="preserve"> пространств</w:t>
            </w:r>
            <w:r w:rsidR="00651109">
              <w:rPr>
                <w:lang w:val="bg-BG"/>
              </w:rPr>
              <w:t>а</w:t>
            </w:r>
            <w:r w:rsidR="007873E2" w:rsidRPr="006C3504">
              <w:rPr>
                <w:lang w:val="bg-BG"/>
              </w:rPr>
              <w:t>, за да се ускори разгръщането.</w:t>
            </w:r>
          </w:p>
        </w:tc>
        <w:tc>
          <w:tcPr>
            <w:tcW w:w="1716" w:type="pct"/>
            <w:tcBorders>
              <w:bottom w:val="single" w:sz="4" w:space="0" w:color="5B9BD5" w:themeColor="accent1"/>
            </w:tcBorders>
          </w:tcPr>
          <w:p w14:paraId="588E2B70" w14:textId="77777777" w:rsidR="00527EF8" w:rsidRDefault="0028455A" w:rsidP="00970270">
            <w:pPr>
              <w:pStyle w:val="TableCell"/>
              <w:jc w:val="both"/>
              <w:rPr>
                <w:b/>
                <w:lang w:val="bg-BG"/>
              </w:rPr>
            </w:pPr>
            <w:r w:rsidRPr="0028455A">
              <w:rPr>
                <w:b/>
                <w:lang w:val="bg-BG"/>
              </w:rPr>
              <w:t>Република България изразява несъгласие с препоръката, в частта на  Схеми за договори за разлика</w:t>
            </w:r>
            <w:r w:rsidR="00527EF8">
              <w:rPr>
                <w:b/>
                <w:lang w:val="bg-BG"/>
              </w:rPr>
              <w:t xml:space="preserve">, като предлага </w:t>
            </w:r>
            <w:r w:rsidR="00BB410E">
              <w:rPr>
                <w:b/>
                <w:lang w:val="bg-BG"/>
              </w:rPr>
              <w:t xml:space="preserve">следната </w:t>
            </w:r>
            <w:r w:rsidR="00527EF8">
              <w:rPr>
                <w:b/>
                <w:lang w:val="bg-BG"/>
              </w:rPr>
              <w:t>редакция:</w:t>
            </w:r>
          </w:p>
          <w:p w14:paraId="61254053" w14:textId="77777777" w:rsidR="00293569" w:rsidRDefault="00940BF6" w:rsidP="00970270">
            <w:pPr>
              <w:pStyle w:val="TableCell"/>
              <w:jc w:val="both"/>
              <w:rPr>
                <w:lang w:val="bg-BG"/>
              </w:rPr>
            </w:pPr>
            <w:r w:rsidRPr="009E25EC">
              <w:rPr>
                <w:b/>
                <w:i/>
                <w:u w:val="single"/>
                <w:lang w:val="bg-BG"/>
              </w:rPr>
              <w:t>Предложение за редакция:</w:t>
            </w:r>
            <w:r>
              <w:rPr>
                <w:lang w:val="bg-BG"/>
              </w:rPr>
              <w:t xml:space="preserve"> </w:t>
            </w:r>
            <w:r w:rsidR="00293569" w:rsidRPr="00293569">
              <w:rPr>
                <w:lang w:val="bg-BG"/>
              </w:rPr>
              <w:t xml:space="preserve"> </w:t>
            </w:r>
            <w:r w:rsidR="00293569" w:rsidRPr="00293569">
              <w:rPr>
                <w:strike/>
                <w:lang w:val="bg-BG"/>
              </w:rPr>
              <w:t>Да се обмисли въвеждането на Схеми за договори за разлика за насърчаване на повече и по-бързо разгръщане на възобновяемите енергийни източници.</w:t>
            </w:r>
          </w:p>
          <w:p w14:paraId="6D21ABC8" w14:textId="77777777" w:rsidR="00527EF8" w:rsidRPr="007F53DE" w:rsidRDefault="00527EF8" w:rsidP="00970270">
            <w:pPr>
              <w:pStyle w:val="TableCell"/>
              <w:jc w:val="both"/>
              <w:rPr>
                <w:b/>
                <w:lang w:val="bg-BG"/>
              </w:rPr>
            </w:pPr>
            <w:r w:rsidRPr="00293569">
              <w:rPr>
                <w:b/>
                <w:lang w:val="bg-BG"/>
              </w:rPr>
              <w:t>Да се обмисли възможността за подобряване на регулаторната рамка с оглед насърчаване сключването на дългосрочни договори с производит</w:t>
            </w:r>
            <w:r w:rsidR="00820F57">
              <w:rPr>
                <w:b/>
                <w:lang w:val="bg-BG"/>
              </w:rPr>
              <w:t>ели на електрическа ен</w:t>
            </w:r>
            <w:r w:rsidR="00F57D17">
              <w:rPr>
                <w:b/>
                <w:lang w:val="bg-BG"/>
              </w:rPr>
              <w:t>ергия от възобновяеми източници</w:t>
            </w:r>
            <w:r w:rsidRPr="00293569">
              <w:rPr>
                <w:b/>
                <w:lang w:val="bg-BG"/>
              </w:rPr>
              <w:t>.</w:t>
            </w:r>
          </w:p>
          <w:p w14:paraId="3FC80C9F" w14:textId="77777777" w:rsidR="003025A7" w:rsidRDefault="00527EF8" w:rsidP="00970270">
            <w:pPr>
              <w:pStyle w:val="TableCell"/>
              <w:jc w:val="both"/>
              <w:rPr>
                <w:b/>
                <w:lang w:val="bg-BG"/>
              </w:rPr>
            </w:pPr>
            <w:r w:rsidRPr="00527EF8">
              <w:rPr>
                <w:b/>
                <w:lang w:val="bg-BG"/>
              </w:rPr>
              <w:t xml:space="preserve">Република България изразява несъгласие с препоръката </w:t>
            </w:r>
            <w:r w:rsidR="0028455A">
              <w:rPr>
                <w:b/>
                <w:lang w:val="bg-BG"/>
              </w:rPr>
              <w:t>в частта</w:t>
            </w:r>
            <w:r w:rsidR="0028455A" w:rsidRPr="0028455A">
              <w:rPr>
                <w:lang w:val="bg-BG"/>
              </w:rPr>
              <w:t xml:space="preserve"> </w:t>
            </w:r>
            <w:r w:rsidR="0028455A">
              <w:rPr>
                <w:b/>
                <w:lang w:val="bg-BG"/>
              </w:rPr>
              <w:t>офшорна възобновяема енергия</w:t>
            </w:r>
            <w:r>
              <w:rPr>
                <w:b/>
                <w:lang w:val="bg-BG"/>
              </w:rPr>
              <w:t xml:space="preserve"> и </w:t>
            </w:r>
            <w:r>
              <w:rPr>
                <w:b/>
                <w:lang w:val="bg-BG"/>
              </w:rPr>
              <w:lastRenderedPageBreak/>
              <w:t>предлага да отпадне</w:t>
            </w:r>
            <w:r w:rsidR="0028455A" w:rsidRPr="0028455A">
              <w:rPr>
                <w:b/>
                <w:lang w:val="bg-BG"/>
              </w:rPr>
              <w:t>.</w:t>
            </w:r>
          </w:p>
          <w:p w14:paraId="7898F810" w14:textId="77777777" w:rsidR="00527EF8" w:rsidRDefault="002C5EAC" w:rsidP="00527EF8">
            <w:pPr>
              <w:pStyle w:val="TableCell"/>
              <w:jc w:val="both"/>
              <w:rPr>
                <w:lang w:val="bg-BG"/>
              </w:rPr>
            </w:pPr>
            <w:r w:rsidRPr="00846FCB">
              <w:rPr>
                <w:b/>
                <w:i/>
                <w:szCs w:val="17"/>
                <w:u w:val="single"/>
                <w:lang w:val="bg-BG"/>
              </w:rPr>
              <w:t>Мотиви</w:t>
            </w:r>
            <w:r w:rsidR="0028455A" w:rsidRPr="009E25EC">
              <w:rPr>
                <w:b/>
                <w:i/>
                <w:u w:val="single"/>
                <w:lang w:val="bg-BG"/>
              </w:rPr>
              <w:t>:</w:t>
            </w:r>
            <w:r w:rsidR="0028455A">
              <w:rPr>
                <w:lang w:val="bg-BG"/>
              </w:rPr>
              <w:t xml:space="preserve"> </w:t>
            </w:r>
            <w:r w:rsidR="00527EF8" w:rsidRPr="00527EF8">
              <w:rPr>
                <w:lang w:val="bg-BG"/>
              </w:rPr>
              <w:t xml:space="preserve">Създаването на законодателство регламентиращо изграждането на </w:t>
            </w:r>
            <w:proofErr w:type="spellStart"/>
            <w:r w:rsidR="00527EF8" w:rsidRPr="00527EF8">
              <w:rPr>
                <w:lang w:val="bg-BG"/>
              </w:rPr>
              <w:t>ВтЕЦ</w:t>
            </w:r>
            <w:proofErr w:type="spellEnd"/>
            <w:r w:rsidR="00527EF8" w:rsidRPr="00527EF8">
              <w:rPr>
                <w:lang w:val="bg-BG"/>
              </w:rPr>
              <w:t xml:space="preserve"> в морето е част от Реформа 6 (М96), Компонент 4 от ПВУ. Постигнато е съгласие на ЕК за отпадане разработването на посоченото законодателство</w:t>
            </w:r>
            <w:r w:rsidR="00E15459">
              <w:rPr>
                <w:lang w:val="bg-BG"/>
              </w:rPr>
              <w:t>.</w:t>
            </w:r>
          </w:p>
          <w:p w14:paraId="1F7188E2" w14:textId="77777777" w:rsidR="00E15459" w:rsidRPr="00E15459" w:rsidRDefault="00E15459" w:rsidP="00E15459">
            <w:pPr>
              <w:pStyle w:val="TableCell"/>
              <w:jc w:val="both"/>
              <w:rPr>
                <w:lang w:val="bg-BG"/>
              </w:rPr>
            </w:pPr>
            <w:r w:rsidRPr="00E15459">
              <w:rPr>
                <w:lang w:val="bg-BG"/>
              </w:rPr>
              <w:t>В България има засилен инвеститорски интерес към реализирането на инвестиционни намерения за изграждане на енергийни обекти за производство на електрическа  енергия от ВИ. Проектите се реализират на пазарен принцип и в значителна степен без предоставянето на финансова подкрепа. По НПВУ се подпомага изграждането на енергийни обекти за производство на електрическа енергия за собствено потребление в комбинация със системи за съхранение на енергия  (МИР: ВИ + системи за съхранение), а така също комбинирани проекти за възобновяема енергия и системи за съхранение на енергия и проекти само системи за съхранение (МЕ: Инвестиция C4.I6: „Подкрепа за нови мощности за производство на електроенергия от възобновяеми източници и съхранение на електроенергия“ и Инвестиция 8 "Национална инфраструктура за съхранение на електрическа енергия от възобновяеми източници (RESTORE).</w:t>
            </w:r>
          </w:p>
          <w:p w14:paraId="619CFE5F" w14:textId="77777777" w:rsidR="0028455A" w:rsidRPr="0028455A" w:rsidRDefault="00E15459" w:rsidP="00970270">
            <w:pPr>
              <w:pStyle w:val="TableCell"/>
              <w:jc w:val="both"/>
              <w:rPr>
                <w:lang w:val="bg-BG"/>
              </w:rPr>
            </w:pPr>
            <w:r w:rsidRPr="00E15459">
              <w:rPr>
                <w:lang w:val="bg-BG"/>
              </w:rPr>
              <w:t>Разработването и въвеждането на регулаторна уредба и рамка за подкрепа на инвестициите в енергия от възобновяеми източници в морето е част от Реформа 6 (C4.R6) „Стимулиране на производството на електроенергия от възобновяеми източници“ (Реформа 6), която е в процес на предоговаряне с ЕК.</w:t>
            </w:r>
          </w:p>
        </w:tc>
      </w:tr>
      <w:tr w:rsidR="00561250" w:rsidRPr="00005C86" w14:paraId="50AECAC5" w14:textId="77777777" w:rsidTr="00F70B75">
        <w:tc>
          <w:tcPr>
            <w:tcW w:w="1567" w:type="pct"/>
            <w:tcBorders>
              <w:bottom w:val="single" w:sz="4" w:space="0" w:color="5B9BD5" w:themeColor="accent1"/>
            </w:tcBorders>
          </w:tcPr>
          <w:p w14:paraId="095D3F15" w14:textId="77777777" w:rsidR="00561250" w:rsidRPr="006C3504" w:rsidRDefault="00561250" w:rsidP="00522C50">
            <w:pPr>
              <w:pStyle w:val="TableRow"/>
              <w:rPr>
                <w:lang w:val="bg-BG"/>
              </w:rPr>
            </w:pPr>
            <w:r w:rsidRPr="006C3504">
              <w:rPr>
                <w:lang w:val="bg-BG"/>
              </w:rPr>
              <w:lastRenderedPageBreak/>
              <w:t xml:space="preserve">Регулираните тарифи и удължените бизнес субсидии изкривяват </w:t>
            </w:r>
            <w:r w:rsidR="00522C50" w:rsidRPr="006C3504">
              <w:rPr>
                <w:lang w:val="bg-BG"/>
              </w:rPr>
              <w:t>пазарни</w:t>
            </w:r>
            <w:r w:rsidR="00522C50">
              <w:rPr>
                <w:lang w:val="bg-BG"/>
              </w:rPr>
              <w:t>те</w:t>
            </w:r>
            <w:r w:rsidR="00522C50" w:rsidRPr="006C3504">
              <w:rPr>
                <w:lang w:val="bg-BG"/>
              </w:rPr>
              <w:t xml:space="preserve"> сигнали</w:t>
            </w:r>
            <w:r w:rsidR="00522C50">
              <w:rPr>
                <w:lang w:val="bg-BG"/>
              </w:rPr>
              <w:t>, които са от критично значение</w:t>
            </w:r>
            <w:r w:rsidRPr="006C3504">
              <w:rPr>
                <w:lang w:val="bg-BG"/>
              </w:rPr>
              <w:t xml:space="preserve"> за ефективно</w:t>
            </w:r>
            <w:r w:rsidR="00B32C3F">
              <w:rPr>
                <w:lang w:val="bg-BG"/>
              </w:rPr>
              <w:t>то</w:t>
            </w:r>
            <w:r w:rsidRPr="006C3504">
              <w:rPr>
                <w:lang w:val="bg-BG"/>
              </w:rPr>
              <w:t xml:space="preserve"> използване на енергия и гъвкавост на търсенето.</w:t>
            </w:r>
          </w:p>
        </w:tc>
        <w:tc>
          <w:tcPr>
            <w:tcW w:w="1717" w:type="pct"/>
            <w:tcBorders>
              <w:bottom w:val="single" w:sz="4" w:space="0" w:color="5B9BD5" w:themeColor="accent1"/>
            </w:tcBorders>
          </w:tcPr>
          <w:p w14:paraId="5949C877" w14:textId="77777777" w:rsidR="00561250" w:rsidRPr="006C3504" w:rsidRDefault="00C80086" w:rsidP="00BA77A9">
            <w:pPr>
              <w:pStyle w:val="TableCell"/>
              <w:jc w:val="both"/>
              <w:rPr>
                <w:lang w:val="bg-BG"/>
              </w:rPr>
            </w:pPr>
            <w:r>
              <w:rPr>
                <w:lang w:val="bg-BG"/>
              </w:rPr>
              <w:t>П</w:t>
            </w:r>
            <w:r w:rsidRPr="006C3504">
              <w:rPr>
                <w:lang w:val="bg-BG"/>
              </w:rPr>
              <w:t>азара на електроенергия</w:t>
            </w:r>
            <w:r>
              <w:rPr>
                <w:lang w:val="bg-BG"/>
              </w:rPr>
              <w:t xml:space="preserve"> да се либерализ</w:t>
            </w:r>
            <w:r w:rsidRPr="006C3504">
              <w:rPr>
                <w:lang w:val="bg-BG"/>
              </w:rPr>
              <w:t>и</w:t>
            </w:r>
            <w:r>
              <w:rPr>
                <w:lang w:val="bg-BG"/>
              </w:rPr>
              <w:t>ра</w:t>
            </w:r>
            <w:r w:rsidRPr="006C3504">
              <w:rPr>
                <w:lang w:val="bg-BG"/>
              </w:rPr>
              <w:t xml:space="preserve"> </w:t>
            </w:r>
            <w:r>
              <w:rPr>
                <w:lang w:val="bg-BG"/>
              </w:rPr>
              <w:t>напълно</w:t>
            </w:r>
            <w:r w:rsidR="00561250" w:rsidRPr="006C3504">
              <w:rPr>
                <w:lang w:val="bg-BG"/>
              </w:rPr>
              <w:t xml:space="preserve"> и </w:t>
            </w:r>
            <w:r>
              <w:rPr>
                <w:lang w:val="bg-BG"/>
              </w:rPr>
              <w:t>да се п</w:t>
            </w:r>
            <w:r w:rsidR="00561250" w:rsidRPr="006C3504">
              <w:rPr>
                <w:lang w:val="bg-BG"/>
              </w:rPr>
              <w:t>ремах</w:t>
            </w:r>
            <w:r>
              <w:rPr>
                <w:lang w:val="bg-BG"/>
              </w:rPr>
              <w:t>нат</w:t>
            </w:r>
            <w:r w:rsidR="00561250" w:rsidRPr="006C3504">
              <w:rPr>
                <w:lang w:val="bg-BG"/>
              </w:rPr>
              <w:t xml:space="preserve"> субсидиите за бизнеса, като същевременно се гарантира подкрепа за уязвимите домакинства.</w:t>
            </w:r>
          </w:p>
          <w:p w14:paraId="7E9C7423" w14:textId="77777777" w:rsidR="00561250" w:rsidRPr="006C3504" w:rsidRDefault="00C80086" w:rsidP="00C80086">
            <w:pPr>
              <w:pStyle w:val="TableCell"/>
              <w:jc w:val="both"/>
              <w:rPr>
                <w:lang w:val="bg-BG"/>
              </w:rPr>
            </w:pPr>
            <w:r>
              <w:rPr>
                <w:lang w:val="bg-BG"/>
              </w:rPr>
              <w:t>Да се въве</w:t>
            </w:r>
            <w:r w:rsidR="00425438">
              <w:rPr>
                <w:lang w:val="bg-BG"/>
              </w:rPr>
              <w:t>да</w:t>
            </w:r>
            <w:r>
              <w:rPr>
                <w:lang w:val="bg-BG"/>
              </w:rPr>
              <w:t>т</w:t>
            </w:r>
            <w:r w:rsidR="00561250" w:rsidRPr="006C3504">
              <w:rPr>
                <w:lang w:val="bg-BG"/>
              </w:rPr>
              <w:t xml:space="preserve"> договори с динамични цени и </w:t>
            </w:r>
            <w:r>
              <w:rPr>
                <w:lang w:val="bg-BG"/>
              </w:rPr>
              <w:t xml:space="preserve">да се </w:t>
            </w:r>
            <w:r w:rsidR="00561250" w:rsidRPr="006C3504">
              <w:rPr>
                <w:lang w:val="bg-BG"/>
              </w:rPr>
              <w:t>ускор</w:t>
            </w:r>
            <w:r>
              <w:rPr>
                <w:lang w:val="bg-BG"/>
              </w:rPr>
              <w:t>и</w:t>
            </w:r>
            <w:r w:rsidR="00561250" w:rsidRPr="006C3504">
              <w:rPr>
                <w:lang w:val="bg-BG"/>
              </w:rPr>
              <w:t xml:space="preserve"> </w:t>
            </w:r>
            <w:r w:rsidR="00522C50">
              <w:rPr>
                <w:lang w:val="bg-BG"/>
              </w:rPr>
              <w:t>внедряването</w:t>
            </w:r>
            <w:r w:rsidR="00561250" w:rsidRPr="006C3504">
              <w:rPr>
                <w:lang w:val="bg-BG"/>
              </w:rPr>
              <w:t xml:space="preserve"> на интелигентните измервателни уреди.</w:t>
            </w:r>
          </w:p>
        </w:tc>
        <w:tc>
          <w:tcPr>
            <w:tcW w:w="1716" w:type="pct"/>
            <w:tcBorders>
              <w:bottom w:val="single" w:sz="4" w:space="0" w:color="5B9BD5" w:themeColor="accent1"/>
            </w:tcBorders>
          </w:tcPr>
          <w:p w14:paraId="53206D08" w14:textId="77777777" w:rsidR="0028455A" w:rsidRPr="0028455A" w:rsidRDefault="0028455A" w:rsidP="0028455A">
            <w:pPr>
              <w:pStyle w:val="TableCell"/>
              <w:jc w:val="both"/>
              <w:rPr>
                <w:b/>
                <w:lang w:val="bg-BG"/>
              </w:rPr>
            </w:pPr>
            <w:r w:rsidRPr="0028455A">
              <w:rPr>
                <w:b/>
                <w:lang w:val="bg-BG"/>
              </w:rPr>
              <w:t>Република България изразява съгласие  с препоръката в частта за прилагане на фокусирана подкрепа за енергийно бедните домакинства и уязвимите клиенти за снабдяване с електрическа енергия.</w:t>
            </w:r>
          </w:p>
          <w:p w14:paraId="1E03B1BC" w14:textId="77777777" w:rsidR="00561250" w:rsidRDefault="0028455A" w:rsidP="0028455A">
            <w:pPr>
              <w:pStyle w:val="TableCell"/>
              <w:jc w:val="both"/>
              <w:rPr>
                <w:b/>
                <w:lang w:val="bg-BG"/>
              </w:rPr>
            </w:pPr>
            <w:r>
              <w:rPr>
                <w:b/>
                <w:lang w:val="bg-BG"/>
              </w:rPr>
              <w:t xml:space="preserve">Република България </w:t>
            </w:r>
            <w:r w:rsidRPr="0028455A">
              <w:rPr>
                <w:b/>
                <w:lang w:val="bg-BG"/>
              </w:rPr>
              <w:t>изразява несъгласие с препоръката</w:t>
            </w:r>
            <w:r w:rsidR="00436B26" w:rsidRPr="00436B26">
              <w:rPr>
                <w:b/>
                <w:lang w:val="bg-BG"/>
              </w:rPr>
              <w:t xml:space="preserve"> за</w:t>
            </w:r>
            <w:r w:rsidR="00436B26">
              <w:rPr>
                <w:lang w:val="bg-BG"/>
              </w:rPr>
              <w:t xml:space="preserve"> </w:t>
            </w:r>
            <w:r w:rsidR="00436B26" w:rsidRPr="00436B26">
              <w:rPr>
                <w:b/>
                <w:lang w:val="bg-BG"/>
              </w:rPr>
              <w:t xml:space="preserve">договори с динамични цени </w:t>
            </w:r>
            <w:r w:rsidR="002702A7">
              <w:rPr>
                <w:b/>
                <w:lang w:val="bg-BG"/>
              </w:rPr>
              <w:t xml:space="preserve">и предлага </w:t>
            </w:r>
            <w:r w:rsidR="00BB410E">
              <w:rPr>
                <w:b/>
                <w:lang w:val="bg-BG"/>
              </w:rPr>
              <w:t xml:space="preserve">следната </w:t>
            </w:r>
            <w:r w:rsidR="002702A7">
              <w:rPr>
                <w:b/>
                <w:lang w:val="bg-BG"/>
              </w:rPr>
              <w:t>редакция:</w:t>
            </w:r>
          </w:p>
          <w:p w14:paraId="0EC64D5F" w14:textId="77777777" w:rsidR="00436B26" w:rsidRDefault="00940BF6" w:rsidP="002702A7">
            <w:pPr>
              <w:pStyle w:val="CommentText"/>
              <w:rPr>
                <w:rFonts w:eastAsiaTheme="minorHAnsi"/>
                <w:b/>
                <w:color w:val="000000" w:themeColor="text1"/>
                <w:sz w:val="17"/>
                <w:lang w:val="bg-BG"/>
              </w:rPr>
            </w:pPr>
            <w:r w:rsidRPr="009E25EC">
              <w:rPr>
                <w:rFonts w:eastAsiaTheme="minorHAnsi"/>
                <w:b/>
                <w:i/>
                <w:color w:val="000000" w:themeColor="text1"/>
                <w:sz w:val="17"/>
                <w:u w:val="single"/>
                <w:lang w:val="bg-BG"/>
              </w:rPr>
              <w:t>Предложение за редакция:</w:t>
            </w:r>
            <w:r>
              <w:rPr>
                <w:rFonts w:eastAsiaTheme="minorHAnsi"/>
                <w:b/>
                <w:color w:val="000000" w:themeColor="text1"/>
                <w:sz w:val="17"/>
                <w:lang w:val="bg-BG"/>
              </w:rPr>
              <w:t xml:space="preserve"> </w:t>
            </w:r>
            <w:r w:rsidR="00436B26" w:rsidRPr="00436B26">
              <w:rPr>
                <w:lang w:val="bg-BG"/>
              </w:rPr>
              <w:t xml:space="preserve"> </w:t>
            </w:r>
            <w:r w:rsidR="00436B26" w:rsidRPr="00436B26">
              <w:rPr>
                <w:rFonts w:eastAsiaTheme="minorHAnsi"/>
                <w:strike/>
                <w:color w:val="000000" w:themeColor="text1"/>
                <w:sz w:val="17"/>
                <w:lang w:val="bg-BG"/>
              </w:rPr>
              <w:t>Да се въведат договори с динамични цени и да се ускори внедряването на интелигентните измервателни уреди.</w:t>
            </w:r>
          </w:p>
          <w:p w14:paraId="6892E158" w14:textId="77777777" w:rsidR="002702A7" w:rsidRPr="00436B26" w:rsidRDefault="002702A7" w:rsidP="002702A7">
            <w:pPr>
              <w:pStyle w:val="CommentText"/>
              <w:rPr>
                <w:rFonts w:eastAsiaTheme="minorHAnsi"/>
                <w:b/>
                <w:color w:val="000000" w:themeColor="text1"/>
                <w:sz w:val="17"/>
                <w:lang w:val="bg-BG"/>
              </w:rPr>
            </w:pPr>
            <w:r w:rsidRPr="00436B26">
              <w:rPr>
                <w:rFonts w:eastAsiaTheme="minorHAnsi"/>
                <w:b/>
                <w:color w:val="000000" w:themeColor="text1"/>
                <w:sz w:val="17"/>
                <w:lang w:val="bg-BG"/>
              </w:rPr>
              <w:t xml:space="preserve">Да се подкрепи конкурентоспособността на бизнеса чрез фокусирана/справедлива подкрепа (в т.ч. и чрез прилагане на временна схема за субсидиране на цената на електрическата енергия) при ангажимент за инвестиции в модернизация, енергийна ефективност, ВИ за собствено потребление и т.н. </w:t>
            </w:r>
          </w:p>
          <w:p w14:paraId="65DBD0C5" w14:textId="77777777" w:rsidR="00861EFC" w:rsidRPr="00861EFC" w:rsidRDefault="002C5EAC" w:rsidP="00861EFC">
            <w:pPr>
              <w:pStyle w:val="CommentText"/>
              <w:rPr>
                <w:rFonts w:eastAsiaTheme="minorHAnsi"/>
                <w:color w:val="000000" w:themeColor="text1"/>
                <w:sz w:val="17"/>
                <w:lang w:val="bg-BG"/>
              </w:rPr>
            </w:pPr>
            <w:r w:rsidRPr="00846FCB">
              <w:rPr>
                <w:b/>
                <w:i/>
                <w:sz w:val="17"/>
                <w:szCs w:val="17"/>
                <w:u w:val="single"/>
                <w:lang w:val="bg-BG"/>
              </w:rPr>
              <w:t>Мотиви</w:t>
            </w:r>
            <w:r w:rsidR="00861EFC" w:rsidRPr="009E25EC">
              <w:rPr>
                <w:rFonts w:eastAsiaTheme="minorHAnsi"/>
                <w:b/>
                <w:i/>
                <w:color w:val="000000" w:themeColor="text1"/>
                <w:sz w:val="17"/>
                <w:u w:val="single"/>
                <w:lang w:val="bg-BG"/>
              </w:rPr>
              <w:t>:</w:t>
            </w:r>
            <w:r w:rsidR="00861EFC" w:rsidRPr="00861EFC">
              <w:rPr>
                <w:rFonts w:eastAsiaTheme="minorHAnsi"/>
                <w:color w:val="000000" w:themeColor="text1"/>
                <w:sz w:val="17"/>
                <w:lang w:val="bg-BG"/>
              </w:rPr>
              <w:t xml:space="preserve"> Към настоящия момент се полагат системни усилия за създаването на рамка за управление/координационен механизъм за адресиране на енергийната бедност и разработването/прилагането на подходящи мерки, а в останалата част на препоръката изразява следните съображения:</w:t>
            </w:r>
          </w:p>
          <w:p w14:paraId="3CE513AC" w14:textId="77777777" w:rsidR="00861EFC" w:rsidRPr="00861EFC" w:rsidRDefault="00861EFC" w:rsidP="00861EFC">
            <w:pPr>
              <w:pStyle w:val="CommentText"/>
              <w:rPr>
                <w:rFonts w:eastAsiaTheme="minorHAnsi"/>
                <w:color w:val="000000" w:themeColor="text1"/>
                <w:sz w:val="17"/>
                <w:lang w:val="bg-BG"/>
              </w:rPr>
            </w:pPr>
            <w:r w:rsidRPr="00861EFC">
              <w:rPr>
                <w:rFonts w:eastAsiaTheme="minorHAnsi"/>
                <w:color w:val="000000" w:themeColor="text1"/>
                <w:sz w:val="17"/>
                <w:lang w:val="bg-BG"/>
              </w:rPr>
              <w:t xml:space="preserve">Подкрепата за бизнеса, свързана с </w:t>
            </w:r>
            <w:r w:rsidRPr="00861EFC">
              <w:rPr>
                <w:rFonts w:eastAsiaTheme="minorHAnsi"/>
                <w:color w:val="000000" w:themeColor="text1"/>
                <w:sz w:val="17"/>
                <w:lang w:val="bg-BG"/>
              </w:rPr>
              <w:lastRenderedPageBreak/>
              <w:t xml:space="preserve">разходите за електрическа енергия, продължава на ниво ЕК: https://eur-lex.europa.eu/eli/C/2025/3602/oj </w:t>
            </w:r>
          </w:p>
          <w:p w14:paraId="3B307BDC" w14:textId="77777777" w:rsidR="00861EFC" w:rsidRPr="00861EFC" w:rsidRDefault="00861EFC" w:rsidP="00861EFC">
            <w:pPr>
              <w:pStyle w:val="CommentText"/>
              <w:rPr>
                <w:rFonts w:eastAsiaTheme="minorHAnsi"/>
                <w:color w:val="000000" w:themeColor="text1"/>
                <w:sz w:val="17"/>
                <w:lang w:val="bg-BG"/>
              </w:rPr>
            </w:pPr>
            <w:r w:rsidRPr="00861EFC">
              <w:rPr>
                <w:rFonts w:eastAsiaTheme="minorHAnsi"/>
                <w:color w:val="000000" w:themeColor="text1"/>
                <w:sz w:val="17"/>
                <w:lang w:val="bg-BG"/>
              </w:rPr>
              <w:t>Съгласно CISAF е предвидена възможност за разработването и прилагането на схеми за енергоинтензивните предприятия (с краен срок за прилагане – до 2030 г., за не повече от три последователни години) за компенсиране на до 50% от цената на до 50% потребеното количество електрическа енергия, като след намаление крайната цена за предприятията не може да бъде по-ниска от 50EUR/</w:t>
            </w:r>
            <w:proofErr w:type="spellStart"/>
            <w:r w:rsidRPr="00861EFC">
              <w:rPr>
                <w:rFonts w:eastAsiaTheme="minorHAnsi"/>
                <w:color w:val="000000" w:themeColor="text1"/>
                <w:sz w:val="17"/>
                <w:lang w:val="bg-BG"/>
              </w:rPr>
              <w:t>MWh</w:t>
            </w:r>
            <w:proofErr w:type="spellEnd"/>
            <w:r w:rsidRPr="00861EFC">
              <w:rPr>
                <w:rFonts w:eastAsiaTheme="minorHAnsi"/>
                <w:color w:val="000000" w:themeColor="text1"/>
                <w:sz w:val="17"/>
                <w:lang w:val="bg-BG"/>
              </w:rPr>
              <w:t xml:space="preserve">. Поне 50% от изплатените компенсации следва да бъдат реинвестирани от предприятията в гъвкавост, ВИ за собствено потребление, електрификация на процесите и т.н. (изброени в т. (121), раздел 4.5.4 Принос за </w:t>
            </w:r>
            <w:proofErr w:type="spellStart"/>
            <w:r w:rsidRPr="00861EFC">
              <w:rPr>
                <w:rFonts w:eastAsiaTheme="minorHAnsi"/>
                <w:color w:val="000000" w:themeColor="text1"/>
                <w:sz w:val="17"/>
                <w:lang w:val="bg-BG"/>
              </w:rPr>
              <w:t>декарбонизация</w:t>
            </w:r>
            <w:proofErr w:type="spellEnd"/>
            <w:r w:rsidRPr="00861EFC">
              <w:rPr>
                <w:rFonts w:eastAsiaTheme="minorHAnsi"/>
                <w:color w:val="000000" w:themeColor="text1"/>
                <w:sz w:val="17"/>
                <w:lang w:val="bg-BG"/>
              </w:rPr>
              <w:t xml:space="preserve">). Съответно – схеми за подкрепа на бизнеса продължават да се разработват, насърчават и прилагат – при определени условия, на ниво ЕК, като част от мерките за насърчаване на конкурентоспособността на европейската икономика и усилията за </w:t>
            </w:r>
            <w:proofErr w:type="spellStart"/>
            <w:r w:rsidRPr="00861EFC">
              <w:rPr>
                <w:rFonts w:eastAsiaTheme="minorHAnsi"/>
                <w:color w:val="000000" w:themeColor="text1"/>
                <w:sz w:val="17"/>
                <w:lang w:val="bg-BG"/>
              </w:rPr>
              <w:t>декарбонизация</w:t>
            </w:r>
            <w:proofErr w:type="spellEnd"/>
            <w:r w:rsidRPr="00861EFC">
              <w:rPr>
                <w:rFonts w:eastAsiaTheme="minorHAnsi"/>
                <w:color w:val="000000" w:themeColor="text1"/>
                <w:sz w:val="17"/>
                <w:lang w:val="bg-BG"/>
              </w:rPr>
              <w:t xml:space="preserve">.   </w:t>
            </w:r>
          </w:p>
          <w:p w14:paraId="4E0C809C" w14:textId="77777777" w:rsidR="0028455A" w:rsidRPr="00436B26" w:rsidRDefault="00861EFC" w:rsidP="00436B26">
            <w:pPr>
              <w:pStyle w:val="CommentText"/>
              <w:rPr>
                <w:rFonts w:eastAsiaTheme="minorHAnsi"/>
                <w:color w:val="000000" w:themeColor="text1"/>
                <w:sz w:val="17"/>
                <w:lang w:val="bg-BG"/>
              </w:rPr>
            </w:pPr>
            <w:r w:rsidRPr="00861EFC">
              <w:rPr>
                <w:rFonts w:eastAsiaTheme="minorHAnsi"/>
                <w:color w:val="000000" w:themeColor="text1"/>
                <w:sz w:val="17"/>
                <w:lang w:val="bg-BG"/>
              </w:rPr>
              <w:t>Договори с фиксиран срок и на фиксирана цена, както и договори с динамична цена за снабдяване с електрическа енергия, са предвидени като възможност в Закона за енергетиката (напр. чл. 38а, 38б, 38и), т.е. – съществува нормативна рамка и е осигурена възможност крайните клиенти да сключват подобни договори с енергийните предприятия.</w:t>
            </w:r>
          </w:p>
        </w:tc>
      </w:tr>
      <w:tr w:rsidR="00561250" w:rsidRPr="00005C86" w14:paraId="15BD4D32" w14:textId="77777777" w:rsidTr="00F70B75">
        <w:tc>
          <w:tcPr>
            <w:tcW w:w="1567" w:type="pct"/>
            <w:tcBorders>
              <w:bottom w:val="single" w:sz="4" w:space="0" w:color="5B9BD5" w:themeColor="accent1"/>
            </w:tcBorders>
          </w:tcPr>
          <w:p w14:paraId="5CA5C932" w14:textId="77777777" w:rsidR="00561250" w:rsidRPr="009355B0" w:rsidRDefault="00386F93" w:rsidP="00522C50">
            <w:pPr>
              <w:pStyle w:val="TableRow"/>
              <w:rPr>
                <w:lang w:val="bg-BG"/>
              </w:rPr>
            </w:pPr>
            <w:r w:rsidRPr="009355B0">
              <w:rPr>
                <w:lang w:val="bg-BG"/>
              </w:rPr>
              <w:lastRenderedPageBreak/>
              <w:t xml:space="preserve">Дългите и сложни процедури за издаване на разрешителни забавят инсталирането на </w:t>
            </w:r>
            <w:r w:rsidR="00522C50" w:rsidRPr="009355B0">
              <w:rPr>
                <w:lang w:val="bg-BG"/>
              </w:rPr>
              <w:t>възобновяеми източници на е</w:t>
            </w:r>
            <w:r w:rsidRPr="009355B0">
              <w:rPr>
                <w:lang w:val="bg-BG"/>
              </w:rPr>
              <w:t>нергия.</w:t>
            </w:r>
          </w:p>
        </w:tc>
        <w:tc>
          <w:tcPr>
            <w:tcW w:w="1717" w:type="pct"/>
            <w:tcBorders>
              <w:bottom w:val="single" w:sz="4" w:space="0" w:color="5B9BD5" w:themeColor="accent1"/>
            </w:tcBorders>
          </w:tcPr>
          <w:p w14:paraId="5F247700" w14:textId="77777777" w:rsidR="00561250" w:rsidRPr="009355B0" w:rsidRDefault="00C80086" w:rsidP="00C80086">
            <w:pPr>
              <w:pStyle w:val="TableCell"/>
              <w:jc w:val="both"/>
              <w:rPr>
                <w:lang w:val="bg-BG"/>
              </w:rPr>
            </w:pPr>
            <w:r w:rsidRPr="009355B0">
              <w:rPr>
                <w:lang w:val="bg-BG"/>
              </w:rPr>
              <w:t>Да се р</w:t>
            </w:r>
            <w:r w:rsidR="00425438" w:rsidRPr="009355B0">
              <w:rPr>
                <w:lang w:val="bg-BG"/>
              </w:rPr>
              <w:t>ационализира</w:t>
            </w:r>
            <w:r w:rsidRPr="009355B0">
              <w:rPr>
                <w:lang w:val="bg-BG"/>
              </w:rPr>
              <w:t>т</w:t>
            </w:r>
            <w:r w:rsidR="00425438" w:rsidRPr="009355B0">
              <w:rPr>
                <w:lang w:val="bg-BG"/>
              </w:rPr>
              <w:t xml:space="preserve"> и </w:t>
            </w:r>
            <w:r w:rsidR="00522C50" w:rsidRPr="009355B0">
              <w:rPr>
                <w:lang w:val="bg-BG"/>
              </w:rPr>
              <w:t>дигитализ</w:t>
            </w:r>
            <w:r w:rsidRPr="009355B0">
              <w:rPr>
                <w:lang w:val="bg-BG"/>
              </w:rPr>
              <w:t>ират</w:t>
            </w:r>
            <w:r w:rsidR="00425438" w:rsidRPr="009355B0">
              <w:rPr>
                <w:lang w:val="bg-BG"/>
              </w:rPr>
              <w:t xml:space="preserve"> </w:t>
            </w:r>
            <w:r w:rsidR="00386F93" w:rsidRPr="009355B0">
              <w:rPr>
                <w:lang w:val="bg-BG"/>
              </w:rPr>
              <w:t xml:space="preserve">процедурите за издаване на разрешителни в единен </w:t>
            </w:r>
            <w:r w:rsidR="00522C50" w:rsidRPr="009355B0">
              <w:rPr>
                <w:lang w:val="bg-BG"/>
              </w:rPr>
              <w:t xml:space="preserve">цифров </w:t>
            </w:r>
            <w:r w:rsidR="00386F93" w:rsidRPr="009355B0">
              <w:rPr>
                <w:lang w:val="bg-BG"/>
              </w:rPr>
              <w:t>информационен портал, включително механизм</w:t>
            </w:r>
            <w:r w:rsidR="0008344A" w:rsidRPr="009355B0">
              <w:rPr>
                <w:lang w:val="bg-BG"/>
              </w:rPr>
              <w:t>а</w:t>
            </w:r>
            <w:r w:rsidR="00386F93" w:rsidRPr="009355B0">
              <w:rPr>
                <w:lang w:val="bg-BG"/>
              </w:rPr>
              <w:t xml:space="preserve"> за „мълча</w:t>
            </w:r>
            <w:r w:rsidR="00522C50" w:rsidRPr="009355B0">
              <w:rPr>
                <w:lang w:val="bg-BG"/>
              </w:rPr>
              <w:t>ливо</w:t>
            </w:r>
            <w:r w:rsidR="00386F93" w:rsidRPr="009355B0">
              <w:rPr>
                <w:lang w:val="bg-BG"/>
              </w:rPr>
              <w:t xml:space="preserve"> съгласие“.</w:t>
            </w:r>
          </w:p>
        </w:tc>
        <w:tc>
          <w:tcPr>
            <w:tcW w:w="1716" w:type="pct"/>
            <w:tcBorders>
              <w:bottom w:val="single" w:sz="4" w:space="0" w:color="5B9BD5" w:themeColor="accent1"/>
            </w:tcBorders>
          </w:tcPr>
          <w:p w14:paraId="14F63429" w14:textId="77777777" w:rsidR="00881022" w:rsidRDefault="00881022" w:rsidP="00046FCD">
            <w:pPr>
              <w:pStyle w:val="TableCell"/>
              <w:jc w:val="both"/>
              <w:rPr>
                <w:b/>
                <w:lang w:val="bg-BG"/>
              </w:rPr>
            </w:pPr>
            <w:r w:rsidRPr="009355B0">
              <w:rPr>
                <w:b/>
                <w:lang w:val="bg-BG"/>
              </w:rPr>
              <w:t xml:space="preserve">Република България изразява </w:t>
            </w:r>
            <w:r w:rsidR="009355B0">
              <w:rPr>
                <w:b/>
                <w:lang w:val="bg-BG"/>
              </w:rPr>
              <w:t>не</w:t>
            </w:r>
            <w:r w:rsidR="00046FCD" w:rsidRPr="009355B0">
              <w:rPr>
                <w:b/>
                <w:lang w:val="bg-BG"/>
              </w:rPr>
              <w:t>съгласие с препоръката</w:t>
            </w:r>
            <w:r w:rsidR="00071668">
              <w:rPr>
                <w:b/>
                <w:lang w:val="bg-BG"/>
              </w:rPr>
              <w:t xml:space="preserve"> и предлага да отпадне</w:t>
            </w:r>
            <w:r w:rsidR="00046FCD" w:rsidRPr="009355B0">
              <w:rPr>
                <w:b/>
                <w:lang w:val="bg-BG"/>
              </w:rPr>
              <w:t>.</w:t>
            </w:r>
          </w:p>
          <w:p w14:paraId="443BD7B8" w14:textId="77777777" w:rsidR="00B57CBB" w:rsidRPr="00B57CBB" w:rsidRDefault="002C5EAC" w:rsidP="00B57CBB">
            <w:pPr>
              <w:pStyle w:val="TableCell"/>
              <w:jc w:val="both"/>
              <w:rPr>
                <w:lang w:val="bg-BG"/>
              </w:rPr>
            </w:pPr>
            <w:r w:rsidRPr="00846FCB">
              <w:rPr>
                <w:b/>
                <w:i/>
                <w:szCs w:val="17"/>
                <w:u w:val="single"/>
                <w:lang w:val="bg-BG"/>
              </w:rPr>
              <w:t>Мотиви</w:t>
            </w:r>
            <w:r w:rsidR="009355B0" w:rsidRPr="009E25EC">
              <w:rPr>
                <w:b/>
                <w:i/>
                <w:u w:val="single"/>
                <w:lang w:val="bg-BG"/>
              </w:rPr>
              <w:t>:</w:t>
            </w:r>
            <w:r w:rsidR="009355B0" w:rsidRPr="009355B0">
              <w:rPr>
                <w:lang w:val="bg-BG"/>
              </w:rPr>
              <w:t xml:space="preserve">  </w:t>
            </w:r>
            <w:r w:rsidR="00B57CBB" w:rsidRPr="00B57CBB">
              <w:rPr>
                <w:lang w:val="bg-BG"/>
              </w:rPr>
              <w:t xml:space="preserve"> В националното законодателство, касаещо сроковете за издаване на разрешение за строеж съществуват следните хипотези:  </w:t>
            </w:r>
          </w:p>
          <w:p w14:paraId="46CF8AFB" w14:textId="77777777" w:rsidR="00B57CBB" w:rsidRPr="00B57CBB" w:rsidRDefault="00B57CBB" w:rsidP="00B57CBB">
            <w:pPr>
              <w:pStyle w:val="TableCell"/>
              <w:jc w:val="both"/>
              <w:rPr>
                <w:lang w:val="bg-BG"/>
              </w:rPr>
            </w:pPr>
            <w:r w:rsidRPr="00B57CBB">
              <w:rPr>
                <w:lang w:val="bg-BG"/>
              </w:rPr>
              <w:t xml:space="preserve">1. При спазване на общите изисквания на Закона за устройство на територията (ЗУТ): </w:t>
            </w:r>
          </w:p>
          <w:p w14:paraId="2313908F" w14:textId="77777777" w:rsidR="00B57CBB" w:rsidRPr="00B57CBB" w:rsidRDefault="00B57CBB" w:rsidP="00B57CBB">
            <w:pPr>
              <w:pStyle w:val="TableCell"/>
              <w:jc w:val="both"/>
              <w:rPr>
                <w:lang w:val="bg-BG"/>
              </w:rPr>
            </w:pPr>
            <w:r w:rsidRPr="00B57CBB">
              <w:rPr>
                <w:lang w:val="bg-BG"/>
              </w:rPr>
              <w:t>Съгласно действащото законодателство, инвестиционни намерения за изграждане на електроцентрали за производство на енергия от възобновяеми източници, без ограничение на мощността могат да бъдат реализирани по общия ред на ЗУТ в съответствие с предвижданията на действащ подробен устройствен план в поземлени имоти с предназначение за производствени и складови дейности.</w:t>
            </w:r>
          </w:p>
          <w:p w14:paraId="409D7B77" w14:textId="77777777" w:rsidR="00B57CBB" w:rsidRPr="00B57CBB" w:rsidRDefault="00B57CBB" w:rsidP="00B57CBB">
            <w:pPr>
              <w:pStyle w:val="TableCell"/>
              <w:jc w:val="both"/>
              <w:rPr>
                <w:lang w:val="bg-BG"/>
              </w:rPr>
            </w:pPr>
            <w:r w:rsidRPr="00B57CBB">
              <w:rPr>
                <w:lang w:val="bg-BG"/>
              </w:rPr>
              <w:t>Енергийните обекти, вкл. за производство на енергия от възобновяеми източници, в зависимост от мощността попадат в първа до трета категория по чл. 137, ал. 1, т. 1, буква „з“, т. 2, буква „ж“, т. 3 буква „д" от ЗУТ, и подлежат на въвеждане в експлоатация с разрешение за ползване, издадено от органите на Дирекцията за национален строителен контрол, след проведена Държавна приемателна комисия.</w:t>
            </w:r>
          </w:p>
          <w:p w14:paraId="749662F0" w14:textId="77777777" w:rsidR="00B57CBB" w:rsidRPr="00B57CBB" w:rsidRDefault="00B57CBB" w:rsidP="00B57CBB">
            <w:pPr>
              <w:pStyle w:val="TableCell"/>
              <w:jc w:val="both"/>
              <w:rPr>
                <w:lang w:val="bg-BG"/>
              </w:rPr>
            </w:pPr>
            <w:r w:rsidRPr="00B57CBB">
              <w:rPr>
                <w:lang w:val="bg-BG"/>
              </w:rPr>
              <w:t xml:space="preserve">За горепосочените обекти от първа до трета категория се издава разрешение за строеж въз основа на одобрен инвестиционен проект, на който е извършена оценка за съответствие с основните изисквания към строежите с комплексен доклад, съставен от </w:t>
            </w:r>
            <w:r w:rsidRPr="00B57CBB">
              <w:rPr>
                <w:lang w:val="bg-BG"/>
              </w:rPr>
              <w:lastRenderedPageBreak/>
              <w:t>регистрирана фирма – консултант. Срокът за одобряването на инвестиционния проект е 14 дни от внасянето на проекта, съгласно чл. 144, ал. 3, т. 1 от ЗУТ. С разпоредбата на чл. 148, ал. 4 от ЗУТ е предоставена възможност, разрешението за строеж да се издава едновременно с одобряването на инвестиционния проект, когато това е поискано в заявлението. В случаите, когато има одобрен инвестиционен проект, разрешението за строеж се издава в 7-дневен срок.</w:t>
            </w:r>
          </w:p>
          <w:p w14:paraId="485E81CE" w14:textId="77777777" w:rsidR="00B57CBB" w:rsidRPr="00B57CBB" w:rsidRDefault="00B57CBB" w:rsidP="00B57CBB">
            <w:pPr>
              <w:pStyle w:val="TableCell"/>
              <w:jc w:val="both"/>
              <w:rPr>
                <w:lang w:val="bg-BG"/>
              </w:rPr>
            </w:pPr>
            <w:r w:rsidRPr="00B57CBB">
              <w:rPr>
                <w:lang w:val="bg-BG"/>
              </w:rPr>
              <w:t xml:space="preserve">2. При облекчени изисквания на ЗУТ: </w:t>
            </w:r>
          </w:p>
          <w:p w14:paraId="6CA695F9" w14:textId="77777777" w:rsidR="00B57CBB" w:rsidRPr="00B57CBB" w:rsidRDefault="00B57CBB" w:rsidP="00B57CBB">
            <w:pPr>
              <w:pStyle w:val="TableCell"/>
              <w:jc w:val="both"/>
              <w:rPr>
                <w:lang w:val="bg-BG"/>
              </w:rPr>
            </w:pPr>
            <w:r w:rsidRPr="00B57CBB">
              <w:rPr>
                <w:lang w:val="bg-BG"/>
              </w:rPr>
              <w:t>С разпоредбите на чл. 147, ал. 1 от ЗУТ законодателят е предвидил облекчен ред за издаване на разрешения за строеж, като не се изисква одобряване на инвестиционен проект, съответно не се изисква и оценка за съответствие с основните изисквания към строежите по чл. 142, ал. 6 от ЗУТ. Срокът за издаване на разрешение за строеж по чл. 147, ал. 1 от ЗУТ е 7-дневен, съгласно разпоредбата на чл. 148, ал. 4 от ЗУТ. Строежите по чл. 147, ал. 1 от ЗУТ се квалифицират като строежи от шеста категория, които не подлежат на строителен надзор по време на монтажа, както и не подлежат на въвеждане в експлоатация, съгласно чл. 178, ал. 2 от ЗУТ.</w:t>
            </w:r>
          </w:p>
          <w:p w14:paraId="4DD45F00" w14:textId="77777777" w:rsidR="00B57CBB" w:rsidRPr="00B57CBB" w:rsidRDefault="00B57CBB" w:rsidP="00B57CBB">
            <w:pPr>
              <w:pStyle w:val="TableCell"/>
              <w:jc w:val="both"/>
              <w:rPr>
                <w:lang w:val="bg-BG"/>
              </w:rPr>
            </w:pPr>
            <w:r w:rsidRPr="00B57CBB">
              <w:rPr>
                <w:lang w:val="bg-BG"/>
              </w:rPr>
              <w:t xml:space="preserve">Конкретните видове технологии и проекти за енергия от възобновяеми източници, попадащи в хипотезата на чл. 147, ал. 1 от ЗУТ са: изграждане на геотермална система за експлоатация на плитки геотермални ресурси по смисъла на Закона за енергията от възобновяеми източници (нова т. 8 – ДВ, бр. 86 от 2023 г., в сила от 13.10.2023 г.), монтаж на инсталации за производство на електрическа енергия, включително съоръженията за присъединяването им към електроразпределителната мрежа, топлинна енергия и/или енергия за охлаждане от възобновяеми източници с обща инсталирана мощност до 1 МW включително към съществуващите сгради и постройки, в т.ч. върху покривните и фасадните им конструкции и в прилежащите им поземлени имоти, както и изграждане на енергиен обект по чл. 25а, ал. 1 от Закона за енергията от възобновяеми източници с обща инсталирана мощност до 5 МW; </w:t>
            </w:r>
          </w:p>
          <w:p w14:paraId="674D726B" w14:textId="77777777" w:rsidR="00B57CBB" w:rsidRPr="00B57CBB" w:rsidRDefault="00B57CBB" w:rsidP="00B57CBB">
            <w:pPr>
              <w:pStyle w:val="TableCell"/>
              <w:jc w:val="both"/>
              <w:rPr>
                <w:lang w:val="bg-BG"/>
              </w:rPr>
            </w:pPr>
            <w:r w:rsidRPr="00B57CBB">
              <w:rPr>
                <w:lang w:val="bg-BG"/>
              </w:rPr>
              <w:t xml:space="preserve">3. Без разрешение за строеж: Съгласно чл. 151, ал. 1, т. 19 от ЗУТ не се изисква разрешение за строеж за изграждане, основен ремонт и подмяна на инсталации за производство на електрическа енергия, топлинна енергия и/или енергия за охлаждане от възобновяеми източници, а в случаите на геотермални системи - до дълбочина от 10 метра включително към съществуващите еднофамилни жилищни и вилни сгради и в прилежащите им поземлени имоти, енергията от които ще се използва само за собствено потребление, ако общата им инсталирана мощност не надхвърля до 20 </w:t>
            </w:r>
            <w:proofErr w:type="spellStart"/>
            <w:r w:rsidRPr="00B57CBB">
              <w:rPr>
                <w:lang w:val="bg-BG"/>
              </w:rPr>
              <w:t>kW</w:t>
            </w:r>
            <w:proofErr w:type="spellEnd"/>
            <w:r w:rsidRPr="00B57CBB">
              <w:rPr>
                <w:lang w:val="bg-BG"/>
              </w:rPr>
              <w:t xml:space="preserve">. </w:t>
            </w:r>
          </w:p>
          <w:p w14:paraId="212B5089" w14:textId="77777777" w:rsidR="009355B0" w:rsidRPr="009355B0" w:rsidRDefault="00B57CBB" w:rsidP="009355B0">
            <w:pPr>
              <w:pStyle w:val="TableCell"/>
              <w:jc w:val="both"/>
              <w:rPr>
                <w:b/>
                <w:lang w:val="bg-BG"/>
              </w:rPr>
            </w:pPr>
            <w:r w:rsidRPr="00B57CBB">
              <w:rPr>
                <w:lang w:val="bg-BG"/>
              </w:rPr>
              <w:t>По</w:t>
            </w:r>
            <w:r w:rsidR="00714F31">
              <w:rPr>
                <w:lang w:val="bg-BG"/>
              </w:rPr>
              <w:t xml:space="preserve"> </w:t>
            </w:r>
            <w:r w:rsidRPr="00B57CBB">
              <w:rPr>
                <w:lang w:val="bg-BG"/>
              </w:rPr>
              <w:t xml:space="preserve">Националния план за възстановяване и устойчивост на Република България, МРРБ изпълнява проект, чиято цел е </w:t>
            </w:r>
            <w:r w:rsidRPr="00B57CBB">
              <w:rPr>
                <w:lang w:val="bg-BG"/>
              </w:rPr>
              <w:lastRenderedPageBreak/>
              <w:t>администриране по електронен път на режимите в устройственото планиране, инвестиционните проекти и разрешаване на строителството и ускоряване на процесите и намаляване административната тежест за граждани и бизнес.</w:t>
            </w:r>
          </w:p>
        </w:tc>
      </w:tr>
      <w:tr w:rsidR="00561250" w:rsidRPr="00005C86" w14:paraId="7F11ADF8" w14:textId="77777777" w:rsidTr="00F70B75">
        <w:tc>
          <w:tcPr>
            <w:tcW w:w="1567" w:type="pct"/>
            <w:tcBorders>
              <w:bottom w:val="single" w:sz="4" w:space="0" w:color="5B9BD5" w:themeColor="accent1"/>
            </w:tcBorders>
          </w:tcPr>
          <w:p w14:paraId="1A473E33" w14:textId="77777777" w:rsidR="00561250" w:rsidRPr="006C3504" w:rsidRDefault="00D83780" w:rsidP="00355649">
            <w:pPr>
              <w:pStyle w:val="TableRow"/>
              <w:rPr>
                <w:lang w:val="bg-BG"/>
              </w:rPr>
            </w:pPr>
            <w:r>
              <w:rPr>
                <w:lang w:val="bg-BG"/>
              </w:rPr>
              <w:lastRenderedPageBreak/>
              <w:t>Недостатъчна</w:t>
            </w:r>
            <w:r w:rsidR="00294B55" w:rsidRPr="006C3504">
              <w:rPr>
                <w:lang w:val="bg-BG"/>
              </w:rPr>
              <w:t xml:space="preserve"> преносна мрежа за свързване на разпръснат</w:t>
            </w:r>
            <w:r w:rsidR="00355649">
              <w:rPr>
                <w:lang w:val="bg-BG"/>
              </w:rPr>
              <w:t>о</w:t>
            </w:r>
            <w:r w:rsidR="00294B55" w:rsidRPr="006C3504">
              <w:rPr>
                <w:lang w:val="bg-BG"/>
              </w:rPr>
              <w:t>т</w:t>
            </w:r>
            <w:r w:rsidR="00355649">
              <w:rPr>
                <w:lang w:val="bg-BG"/>
              </w:rPr>
              <w:t>о</w:t>
            </w:r>
            <w:r w:rsidR="00294B55" w:rsidRPr="006C3504">
              <w:rPr>
                <w:lang w:val="bg-BG"/>
              </w:rPr>
              <w:t xml:space="preserve"> </w:t>
            </w:r>
            <w:r w:rsidR="00355649">
              <w:rPr>
                <w:lang w:val="bg-BG"/>
              </w:rPr>
              <w:t>из</w:t>
            </w:r>
            <w:r w:rsidR="00294B55" w:rsidRPr="006C3504">
              <w:rPr>
                <w:lang w:val="bg-BG"/>
              </w:rPr>
              <w:t xml:space="preserve"> цялата страна нестабилн</w:t>
            </w:r>
            <w:r w:rsidR="00355649">
              <w:rPr>
                <w:lang w:val="bg-BG"/>
              </w:rPr>
              <w:t>о производство на</w:t>
            </w:r>
            <w:r w:rsidR="00294B55" w:rsidRPr="006C3504">
              <w:rPr>
                <w:lang w:val="bg-BG"/>
              </w:rPr>
              <w:t xml:space="preserve"> енергия </w:t>
            </w:r>
            <w:r w:rsidR="00355649">
              <w:rPr>
                <w:lang w:val="bg-BG"/>
              </w:rPr>
              <w:t xml:space="preserve">от възобновяеми източници </w:t>
            </w:r>
            <w:r w:rsidR="00294B55" w:rsidRPr="006C3504">
              <w:rPr>
                <w:lang w:val="bg-BG"/>
              </w:rPr>
              <w:t>може да застраши баланса на системата.</w:t>
            </w:r>
          </w:p>
        </w:tc>
        <w:tc>
          <w:tcPr>
            <w:tcW w:w="1717" w:type="pct"/>
            <w:tcBorders>
              <w:bottom w:val="single" w:sz="4" w:space="0" w:color="5B9BD5" w:themeColor="accent1"/>
            </w:tcBorders>
          </w:tcPr>
          <w:p w14:paraId="3A29E57F" w14:textId="77777777" w:rsidR="00561250" w:rsidRPr="006C3504" w:rsidRDefault="0008344A" w:rsidP="0008344A">
            <w:pPr>
              <w:pStyle w:val="TableCell"/>
              <w:jc w:val="both"/>
              <w:rPr>
                <w:lang w:val="bg-BG"/>
              </w:rPr>
            </w:pPr>
            <w:r>
              <w:rPr>
                <w:lang w:val="bg-BG"/>
              </w:rPr>
              <w:t>Да се у</w:t>
            </w:r>
            <w:r w:rsidR="00294B55" w:rsidRPr="006C3504">
              <w:rPr>
                <w:lang w:val="bg-BG"/>
              </w:rPr>
              <w:t>скор</w:t>
            </w:r>
            <w:r>
              <w:rPr>
                <w:lang w:val="bg-BG"/>
              </w:rPr>
              <w:t>и</w:t>
            </w:r>
            <w:r w:rsidR="00294B55" w:rsidRPr="006C3504">
              <w:rPr>
                <w:lang w:val="bg-BG"/>
              </w:rPr>
              <w:t xml:space="preserve"> разширяването на вътрешната преносн</w:t>
            </w:r>
            <w:r w:rsidR="00522C50">
              <w:rPr>
                <w:lang w:val="bg-BG"/>
              </w:rPr>
              <w:t>а мрежа с по-активно планиране</w:t>
            </w:r>
            <w:r w:rsidR="00D83780" w:rsidRPr="00303576">
              <w:rPr>
                <w:lang w:val="bg-BG"/>
              </w:rPr>
              <w:t>,</w:t>
            </w:r>
            <w:r w:rsidR="00522C50">
              <w:rPr>
                <w:lang w:val="bg-BG"/>
              </w:rPr>
              <w:t xml:space="preserve"> </w:t>
            </w:r>
            <w:r w:rsidR="00294B55" w:rsidRPr="006C3504">
              <w:rPr>
                <w:lang w:val="bg-BG"/>
              </w:rPr>
              <w:t>приоритизира</w:t>
            </w:r>
            <w:r w:rsidR="00522C50">
              <w:rPr>
                <w:lang w:val="bg-BG"/>
              </w:rPr>
              <w:t>що</w:t>
            </w:r>
            <w:r w:rsidR="00294B55" w:rsidRPr="006C3504">
              <w:rPr>
                <w:lang w:val="bg-BG"/>
              </w:rPr>
              <w:t xml:space="preserve"> „области за ускоряване на </w:t>
            </w:r>
            <w:r w:rsidR="00522C50" w:rsidRPr="006C3504">
              <w:rPr>
                <w:lang w:val="bg-BG"/>
              </w:rPr>
              <w:t>енерги</w:t>
            </w:r>
            <w:r w:rsidR="00522C50">
              <w:rPr>
                <w:lang w:val="bg-BG"/>
              </w:rPr>
              <w:t>я от</w:t>
            </w:r>
            <w:r w:rsidR="00522C50" w:rsidRPr="006C3504">
              <w:rPr>
                <w:lang w:val="bg-BG"/>
              </w:rPr>
              <w:t xml:space="preserve"> </w:t>
            </w:r>
            <w:r w:rsidR="00522C50">
              <w:rPr>
                <w:lang w:val="bg-BG"/>
              </w:rPr>
              <w:t>възобновяеми</w:t>
            </w:r>
            <w:r w:rsidR="00294B55" w:rsidRPr="006C3504">
              <w:rPr>
                <w:lang w:val="bg-BG"/>
              </w:rPr>
              <w:t xml:space="preserve"> източници“.</w:t>
            </w:r>
          </w:p>
        </w:tc>
        <w:tc>
          <w:tcPr>
            <w:tcW w:w="1716" w:type="pct"/>
            <w:tcBorders>
              <w:bottom w:val="single" w:sz="4" w:space="0" w:color="5B9BD5" w:themeColor="accent1"/>
            </w:tcBorders>
          </w:tcPr>
          <w:p w14:paraId="7456111A" w14:textId="77777777" w:rsidR="00561250" w:rsidRDefault="00881022" w:rsidP="00970270">
            <w:pPr>
              <w:pStyle w:val="TableCell"/>
              <w:jc w:val="both"/>
              <w:rPr>
                <w:b/>
                <w:lang w:val="bg-BG"/>
              </w:rPr>
            </w:pPr>
            <w:r w:rsidRPr="00881022">
              <w:rPr>
                <w:b/>
                <w:lang w:val="bg-BG"/>
              </w:rPr>
              <w:t>Република България изразява съгласие с препоръката.</w:t>
            </w:r>
          </w:p>
          <w:p w14:paraId="24DAF5BA" w14:textId="77777777" w:rsidR="00881022" w:rsidRPr="00881022" w:rsidRDefault="00881022" w:rsidP="00970270">
            <w:pPr>
              <w:pStyle w:val="TableCell"/>
              <w:jc w:val="both"/>
              <w:rPr>
                <w:b/>
                <w:lang w:val="bg-BG"/>
              </w:rPr>
            </w:pPr>
          </w:p>
        </w:tc>
      </w:tr>
      <w:tr w:rsidR="00561250" w:rsidRPr="00005C86" w14:paraId="6FB941BD" w14:textId="77777777" w:rsidTr="00F70B75">
        <w:tc>
          <w:tcPr>
            <w:tcW w:w="1567" w:type="pct"/>
            <w:tcBorders>
              <w:bottom w:val="single" w:sz="4" w:space="0" w:color="5B9BD5" w:themeColor="accent1"/>
            </w:tcBorders>
          </w:tcPr>
          <w:p w14:paraId="644BF548" w14:textId="77777777" w:rsidR="00561250" w:rsidRPr="006C3504" w:rsidRDefault="00762332" w:rsidP="00355649">
            <w:pPr>
              <w:pStyle w:val="TableRow"/>
              <w:rPr>
                <w:lang w:val="bg-BG"/>
              </w:rPr>
            </w:pPr>
            <w:r w:rsidRPr="006C3504">
              <w:rPr>
                <w:lang w:val="bg-BG"/>
              </w:rPr>
              <w:t xml:space="preserve">Премахването на </w:t>
            </w:r>
            <w:r w:rsidR="00355649">
              <w:rPr>
                <w:lang w:val="bg-BG"/>
              </w:rPr>
              <w:t>традиционното производство на енергия от</w:t>
            </w:r>
            <w:r w:rsidRPr="006C3504">
              <w:rPr>
                <w:lang w:val="bg-BG"/>
              </w:rPr>
              <w:t xml:space="preserve"> въглищ</w:t>
            </w:r>
            <w:r w:rsidR="00355649">
              <w:rPr>
                <w:lang w:val="bg-BG"/>
              </w:rPr>
              <w:t>а</w:t>
            </w:r>
            <w:r w:rsidRPr="006C3504">
              <w:rPr>
                <w:lang w:val="bg-BG"/>
              </w:rPr>
              <w:t xml:space="preserve"> ще изложи на риск гъвкавостта на електропреносната мрежа и ще изисква допълнителни услуги, като контрол на напрежението и честотата.</w:t>
            </w:r>
          </w:p>
        </w:tc>
        <w:tc>
          <w:tcPr>
            <w:tcW w:w="1717" w:type="pct"/>
            <w:tcBorders>
              <w:bottom w:val="single" w:sz="4" w:space="0" w:color="5B9BD5" w:themeColor="accent1"/>
            </w:tcBorders>
          </w:tcPr>
          <w:p w14:paraId="510DC477" w14:textId="77777777" w:rsidR="00561250" w:rsidRPr="006C3504" w:rsidRDefault="00355649" w:rsidP="00D83780">
            <w:pPr>
              <w:pStyle w:val="TableCell"/>
              <w:jc w:val="both"/>
              <w:rPr>
                <w:lang w:val="bg-BG"/>
              </w:rPr>
            </w:pPr>
            <w:r>
              <w:rPr>
                <w:lang w:val="bg-BG"/>
              </w:rPr>
              <w:t>Да п</w:t>
            </w:r>
            <w:r w:rsidR="00F46009">
              <w:rPr>
                <w:lang w:val="bg-BG"/>
              </w:rPr>
              <w:t>родълж</w:t>
            </w:r>
            <w:r>
              <w:rPr>
                <w:lang w:val="bg-BG"/>
              </w:rPr>
              <w:t>и</w:t>
            </w:r>
            <w:r w:rsidR="00F46009">
              <w:rPr>
                <w:lang w:val="bg-BG"/>
              </w:rPr>
              <w:t xml:space="preserve"> разви</w:t>
            </w:r>
            <w:r w:rsidR="00D83780">
              <w:rPr>
                <w:lang w:val="bg-BG"/>
              </w:rPr>
              <w:t>тието</w:t>
            </w:r>
            <w:r w:rsidR="00F46009">
              <w:rPr>
                <w:lang w:val="bg-BG"/>
              </w:rPr>
              <w:t xml:space="preserve"> на</w:t>
            </w:r>
            <w:r w:rsidR="00762332" w:rsidRPr="006C3504">
              <w:rPr>
                <w:lang w:val="bg-BG"/>
              </w:rPr>
              <w:t xml:space="preserve"> съоръжения за съхранение на енергия и </w:t>
            </w:r>
            <w:r w:rsidR="00D83780">
              <w:rPr>
                <w:lang w:val="bg-BG"/>
              </w:rPr>
              <w:t xml:space="preserve">на </w:t>
            </w:r>
            <w:r>
              <w:rPr>
                <w:lang w:val="bg-BG"/>
              </w:rPr>
              <w:t xml:space="preserve">балансиращия </w:t>
            </w:r>
            <w:r w:rsidR="00762332" w:rsidRPr="006C3504">
              <w:rPr>
                <w:lang w:val="bg-BG"/>
              </w:rPr>
              <w:t>пазар.</w:t>
            </w:r>
          </w:p>
        </w:tc>
        <w:tc>
          <w:tcPr>
            <w:tcW w:w="1716" w:type="pct"/>
            <w:tcBorders>
              <w:bottom w:val="single" w:sz="4" w:space="0" w:color="5B9BD5" w:themeColor="accent1"/>
            </w:tcBorders>
          </w:tcPr>
          <w:p w14:paraId="1836E5FF" w14:textId="77777777" w:rsidR="00561250" w:rsidRDefault="00881022" w:rsidP="00970270">
            <w:pPr>
              <w:pStyle w:val="TableCell"/>
              <w:jc w:val="both"/>
              <w:rPr>
                <w:b/>
                <w:lang w:val="bg-BG"/>
              </w:rPr>
            </w:pPr>
            <w:r w:rsidRPr="00881022">
              <w:rPr>
                <w:b/>
                <w:lang w:val="bg-BG"/>
              </w:rPr>
              <w:t>Република България изразява съгласие с препоръката.</w:t>
            </w:r>
          </w:p>
          <w:p w14:paraId="0D22162C" w14:textId="77777777" w:rsidR="00881022" w:rsidRPr="00881022" w:rsidRDefault="00881022" w:rsidP="00881022">
            <w:pPr>
              <w:pStyle w:val="TableCell"/>
              <w:jc w:val="both"/>
              <w:rPr>
                <w:b/>
                <w:lang w:val="bg-BG"/>
              </w:rPr>
            </w:pPr>
          </w:p>
        </w:tc>
      </w:tr>
      <w:tr w:rsidR="00F70B75" w:rsidRPr="00005C86" w14:paraId="06C075E5" w14:textId="77777777" w:rsidTr="00970270">
        <w:trPr>
          <w:trHeight w:val="249"/>
        </w:trPr>
        <w:tc>
          <w:tcPr>
            <w:tcW w:w="3284" w:type="pct"/>
            <w:gridSpan w:val="2"/>
            <w:tcBorders>
              <w:top w:val="single" w:sz="4" w:space="0" w:color="5B9BD5" w:themeColor="accent1"/>
              <w:bottom w:val="single" w:sz="4" w:space="0" w:color="5B9BD5" w:themeColor="accent1"/>
            </w:tcBorders>
          </w:tcPr>
          <w:p w14:paraId="311BF2DC" w14:textId="77777777" w:rsidR="00F70B75" w:rsidRPr="006C3504" w:rsidRDefault="00F42C0C" w:rsidP="00970270">
            <w:pPr>
              <w:pStyle w:val="TableColumn"/>
              <w:rPr>
                <w:b/>
                <w:bCs/>
                <w:lang w:val="bg-BG"/>
              </w:rPr>
            </w:pPr>
            <w:r w:rsidRPr="006C3504">
              <w:rPr>
                <w:b/>
                <w:bCs/>
                <w:lang w:val="bg-BG"/>
              </w:rPr>
              <w:t xml:space="preserve">Политики за </w:t>
            </w:r>
            <w:proofErr w:type="spellStart"/>
            <w:r w:rsidRPr="006C3504">
              <w:rPr>
                <w:b/>
                <w:bCs/>
                <w:lang w:val="bg-BG"/>
              </w:rPr>
              <w:t>декарбонизация</w:t>
            </w:r>
            <w:proofErr w:type="spellEnd"/>
            <w:r w:rsidRPr="006C3504">
              <w:rPr>
                <w:b/>
                <w:bCs/>
                <w:lang w:val="bg-BG"/>
              </w:rPr>
              <w:t xml:space="preserve"> в промишления сектор</w:t>
            </w:r>
          </w:p>
        </w:tc>
        <w:tc>
          <w:tcPr>
            <w:tcW w:w="1716" w:type="pct"/>
            <w:tcBorders>
              <w:top w:val="single" w:sz="4" w:space="0" w:color="5B9BD5" w:themeColor="accent1"/>
              <w:bottom w:val="single" w:sz="4" w:space="0" w:color="5B9BD5" w:themeColor="accent1"/>
            </w:tcBorders>
          </w:tcPr>
          <w:p w14:paraId="1840BDDD" w14:textId="77777777" w:rsidR="00F70B75" w:rsidRPr="006C3504" w:rsidRDefault="00F70B75" w:rsidP="00970270">
            <w:pPr>
              <w:pStyle w:val="TableColumn"/>
              <w:rPr>
                <w:b/>
                <w:bCs/>
                <w:lang w:val="bg-BG"/>
              </w:rPr>
            </w:pPr>
          </w:p>
        </w:tc>
      </w:tr>
      <w:tr w:rsidR="00F70B75" w:rsidRPr="00005C86" w14:paraId="67E64DE9" w14:textId="77777777" w:rsidTr="00F70B75">
        <w:tc>
          <w:tcPr>
            <w:tcW w:w="1567" w:type="pct"/>
            <w:tcBorders>
              <w:top w:val="single" w:sz="4" w:space="0" w:color="5B9BD5" w:themeColor="accent1"/>
            </w:tcBorders>
          </w:tcPr>
          <w:p w14:paraId="207784EC" w14:textId="77777777" w:rsidR="00F70B75" w:rsidRPr="006C3504" w:rsidRDefault="005205ED" w:rsidP="00355649">
            <w:pPr>
              <w:pStyle w:val="TableRow"/>
              <w:rPr>
                <w:lang w:val="bg-BG"/>
              </w:rPr>
            </w:pPr>
            <w:r w:rsidRPr="006C3504">
              <w:rPr>
                <w:lang w:val="bg-BG"/>
              </w:rPr>
              <w:t xml:space="preserve">Промишлеността е изправена пред предизвикателствата от нарастващите цени </w:t>
            </w:r>
            <w:r w:rsidR="00355649">
              <w:rPr>
                <w:lang w:val="bg-BG"/>
              </w:rPr>
              <w:t>в</w:t>
            </w:r>
            <w:r w:rsidRPr="006C3504">
              <w:rPr>
                <w:lang w:val="bg-BG"/>
              </w:rPr>
              <w:t xml:space="preserve"> </w:t>
            </w:r>
            <w:r w:rsidR="00355649">
              <w:rPr>
                <w:lang w:val="bg-BG"/>
              </w:rPr>
              <w:t>Системата за търговия с емисии</w:t>
            </w:r>
            <w:r w:rsidR="006E5890">
              <w:rPr>
                <w:lang w:val="bg-BG"/>
              </w:rPr>
              <w:t>.</w:t>
            </w:r>
          </w:p>
        </w:tc>
        <w:tc>
          <w:tcPr>
            <w:tcW w:w="1717" w:type="pct"/>
            <w:tcBorders>
              <w:top w:val="single" w:sz="4" w:space="0" w:color="5B9BD5" w:themeColor="accent1"/>
            </w:tcBorders>
          </w:tcPr>
          <w:p w14:paraId="24330417" w14:textId="77777777" w:rsidR="00F70B75" w:rsidRPr="006C3504" w:rsidRDefault="00355649" w:rsidP="00D83780">
            <w:pPr>
              <w:pStyle w:val="TableCell"/>
              <w:jc w:val="both"/>
              <w:rPr>
                <w:lang w:val="bg-BG"/>
              </w:rPr>
            </w:pPr>
            <w:r>
              <w:rPr>
                <w:lang w:val="bg-BG"/>
              </w:rPr>
              <w:t>Да се п</w:t>
            </w:r>
            <w:r w:rsidR="00425438">
              <w:rPr>
                <w:lang w:val="bg-BG"/>
              </w:rPr>
              <w:t>родължа</w:t>
            </w:r>
            <w:r>
              <w:rPr>
                <w:lang w:val="bg-BG"/>
              </w:rPr>
              <w:t>т</w:t>
            </w:r>
            <w:r w:rsidR="005205ED" w:rsidRPr="006C3504">
              <w:rPr>
                <w:lang w:val="bg-BG"/>
              </w:rPr>
              <w:t xml:space="preserve"> програмите за подпомагане изграждането на системи за производство на енергия от възобновяеми източници за собствено потребление.</w:t>
            </w:r>
          </w:p>
        </w:tc>
        <w:tc>
          <w:tcPr>
            <w:tcW w:w="1716" w:type="pct"/>
            <w:tcBorders>
              <w:top w:val="single" w:sz="4" w:space="0" w:color="5B9BD5" w:themeColor="accent1"/>
            </w:tcBorders>
          </w:tcPr>
          <w:p w14:paraId="54309C3A" w14:textId="77777777" w:rsidR="00F70B75" w:rsidRPr="00EC31EC" w:rsidRDefault="006E5890" w:rsidP="00970270">
            <w:pPr>
              <w:pStyle w:val="TableCell"/>
              <w:jc w:val="both"/>
              <w:rPr>
                <w:b/>
                <w:bCs/>
                <w:lang w:val="bg-BG"/>
              </w:rPr>
            </w:pPr>
            <w:r w:rsidRPr="006E5890">
              <w:rPr>
                <w:b/>
                <w:bCs/>
                <w:lang w:val="bg-BG"/>
              </w:rPr>
              <w:t>Република България изразява съгласие с препоръката.</w:t>
            </w:r>
          </w:p>
        </w:tc>
      </w:tr>
      <w:tr w:rsidR="00F70B75" w:rsidRPr="00005C86" w14:paraId="2FE12834" w14:textId="77777777" w:rsidTr="00F70B75">
        <w:tc>
          <w:tcPr>
            <w:tcW w:w="1567" w:type="pct"/>
            <w:tcBorders>
              <w:bottom w:val="single" w:sz="4" w:space="0" w:color="5B9BD5" w:themeColor="accent1"/>
            </w:tcBorders>
          </w:tcPr>
          <w:p w14:paraId="0947D29E" w14:textId="77777777" w:rsidR="00F70B75" w:rsidRPr="006C3504" w:rsidRDefault="00464C3A" w:rsidP="00974057">
            <w:pPr>
              <w:pStyle w:val="TableRow"/>
              <w:rPr>
                <w:lang w:val="bg-BG"/>
              </w:rPr>
            </w:pPr>
            <w:r w:rsidRPr="006C3504">
              <w:rPr>
                <w:lang w:val="bg-BG"/>
              </w:rPr>
              <w:t xml:space="preserve">Технологиите за улавяне, съхранение и използване на въглероден диоксид ще станат </w:t>
            </w:r>
            <w:r w:rsidR="00974057">
              <w:rPr>
                <w:lang w:val="bg-BG"/>
              </w:rPr>
              <w:t xml:space="preserve">ценово </w:t>
            </w:r>
            <w:r w:rsidRPr="006C3504">
              <w:rPr>
                <w:lang w:val="bg-BG"/>
              </w:rPr>
              <w:t xml:space="preserve">конкурентни и ще помогнат за улавяне на емисиите, които не могат да бъдат елиминирани с мерките за </w:t>
            </w:r>
            <w:proofErr w:type="spellStart"/>
            <w:r w:rsidRPr="006C3504">
              <w:rPr>
                <w:lang w:val="bg-BG"/>
              </w:rPr>
              <w:t>декарбонизация</w:t>
            </w:r>
            <w:proofErr w:type="spellEnd"/>
            <w:r w:rsidRPr="006C3504">
              <w:rPr>
                <w:lang w:val="bg-BG"/>
              </w:rPr>
              <w:t>.</w:t>
            </w:r>
          </w:p>
        </w:tc>
        <w:tc>
          <w:tcPr>
            <w:tcW w:w="1717" w:type="pct"/>
            <w:tcBorders>
              <w:bottom w:val="single" w:sz="4" w:space="0" w:color="5B9BD5" w:themeColor="accent1"/>
            </w:tcBorders>
          </w:tcPr>
          <w:p w14:paraId="2367AB40" w14:textId="77777777" w:rsidR="00F70B75" w:rsidRPr="006C3504" w:rsidRDefault="0008344A" w:rsidP="0008344A">
            <w:pPr>
              <w:pStyle w:val="TableCell"/>
              <w:jc w:val="both"/>
              <w:rPr>
                <w:lang w:val="bg-BG"/>
              </w:rPr>
            </w:pPr>
            <w:r>
              <w:rPr>
                <w:lang w:val="bg-BG"/>
              </w:rPr>
              <w:t xml:space="preserve">Да </w:t>
            </w:r>
            <w:r w:rsidRPr="00697F17">
              <w:rPr>
                <w:lang w:val="bg-BG"/>
              </w:rPr>
              <w:t>се р</w:t>
            </w:r>
            <w:r w:rsidR="00AC6981" w:rsidRPr="00697F17">
              <w:rPr>
                <w:lang w:val="bg-BG"/>
              </w:rPr>
              <w:t>азработ</w:t>
            </w:r>
            <w:r w:rsidRPr="00697F17">
              <w:rPr>
                <w:lang w:val="bg-BG"/>
              </w:rPr>
              <w:t>и</w:t>
            </w:r>
            <w:r w:rsidR="00464C3A" w:rsidRPr="00697F17">
              <w:rPr>
                <w:lang w:val="bg-BG"/>
              </w:rPr>
              <w:t xml:space="preserve"> дългосрочна стратегия</w:t>
            </w:r>
            <w:r w:rsidR="00464C3A" w:rsidRPr="006C3504">
              <w:rPr>
                <w:lang w:val="bg-BG"/>
              </w:rPr>
              <w:t xml:space="preserve"> за улавяне на въглерод, за да се осигурят стимули за инвестиране </w:t>
            </w:r>
            <w:r w:rsidR="00974057">
              <w:rPr>
                <w:lang w:val="bg-BG"/>
              </w:rPr>
              <w:t xml:space="preserve">в </w:t>
            </w:r>
            <w:r w:rsidR="00464C3A" w:rsidRPr="006C3504">
              <w:rPr>
                <w:lang w:val="bg-BG"/>
              </w:rPr>
              <w:t>и адаптиране към технологиите за улавяне и съхранение на въглероден диоксид.</w:t>
            </w:r>
          </w:p>
        </w:tc>
        <w:tc>
          <w:tcPr>
            <w:tcW w:w="1716" w:type="pct"/>
            <w:tcBorders>
              <w:bottom w:val="single" w:sz="4" w:space="0" w:color="5B9BD5" w:themeColor="accent1"/>
            </w:tcBorders>
          </w:tcPr>
          <w:p w14:paraId="5B218466" w14:textId="77777777" w:rsidR="00F70B75" w:rsidRPr="006C3504" w:rsidRDefault="00881022" w:rsidP="00071668">
            <w:pPr>
              <w:pStyle w:val="TableCell"/>
              <w:jc w:val="both"/>
              <w:rPr>
                <w:lang w:val="bg-BG"/>
              </w:rPr>
            </w:pPr>
            <w:r w:rsidRPr="00881022">
              <w:rPr>
                <w:b/>
                <w:lang w:val="bg-BG"/>
              </w:rPr>
              <w:t>Република България изразява съгласие с препоръката.</w:t>
            </w:r>
          </w:p>
        </w:tc>
      </w:tr>
      <w:tr w:rsidR="00F70B75" w:rsidRPr="00005C86" w14:paraId="3410F4EA" w14:textId="77777777" w:rsidTr="00970270">
        <w:trPr>
          <w:trHeight w:val="249"/>
        </w:trPr>
        <w:tc>
          <w:tcPr>
            <w:tcW w:w="3284" w:type="pct"/>
            <w:gridSpan w:val="2"/>
            <w:tcBorders>
              <w:top w:val="single" w:sz="4" w:space="0" w:color="5B9BD5" w:themeColor="accent1"/>
              <w:bottom w:val="single" w:sz="4" w:space="0" w:color="5B9BD5" w:themeColor="accent1"/>
            </w:tcBorders>
          </w:tcPr>
          <w:p w14:paraId="6BD022FD" w14:textId="77777777" w:rsidR="00F70B75" w:rsidRPr="006C3504" w:rsidRDefault="00366EB1" w:rsidP="00970270">
            <w:pPr>
              <w:pStyle w:val="TableColumn"/>
              <w:rPr>
                <w:b/>
                <w:bCs/>
                <w:lang w:val="bg-BG"/>
              </w:rPr>
            </w:pPr>
            <w:r w:rsidRPr="006C3504">
              <w:rPr>
                <w:b/>
                <w:bCs/>
                <w:lang w:val="bg-BG"/>
              </w:rPr>
              <w:t>Намаляване на емисиите от транспортния сектор</w:t>
            </w:r>
          </w:p>
        </w:tc>
        <w:tc>
          <w:tcPr>
            <w:tcW w:w="1716" w:type="pct"/>
            <w:tcBorders>
              <w:top w:val="single" w:sz="4" w:space="0" w:color="5B9BD5" w:themeColor="accent1"/>
              <w:bottom w:val="single" w:sz="4" w:space="0" w:color="5B9BD5" w:themeColor="accent1"/>
            </w:tcBorders>
          </w:tcPr>
          <w:p w14:paraId="2ADB246B" w14:textId="77777777" w:rsidR="00F70B75" w:rsidRPr="006C3504" w:rsidRDefault="00F70B75" w:rsidP="00970270">
            <w:pPr>
              <w:pStyle w:val="TableColumn"/>
              <w:rPr>
                <w:b/>
                <w:bCs/>
                <w:lang w:val="bg-BG"/>
              </w:rPr>
            </w:pPr>
          </w:p>
        </w:tc>
      </w:tr>
      <w:tr w:rsidR="00F70B75" w:rsidRPr="00005C86" w14:paraId="52FE5E2E" w14:textId="77777777" w:rsidTr="00F70B75">
        <w:tc>
          <w:tcPr>
            <w:tcW w:w="1567" w:type="pct"/>
            <w:tcBorders>
              <w:top w:val="single" w:sz="4" w:space="0" w:color="5B9BD5" w:themeColor="accent1"/>
            </w:tcBorders>
          </w:tcPr>
          <w:p w14:paraId="099078E6" w14:textId="77777777" w:rsidR="00F70B75" w:rsidRPr="000C48DB" w:rsidRDefault="0021628D" w:rsidP="00D83780">
            <w:pPr>
              <w:pStyle w:val="TableRow"/>
              <w:rPr>
                <w:b/>
                <w:lang w:val="bg-BG"/>
              </w:rPr>
            </w:pPr>
            <w:r w:rsidRPr="000C48DB">
              <w:rPr>
                <w:b/>
                <w:lang w:val="bg-BG"/>
              </w:rPr>
              <w:t>Автомобилният парк е стар и замърсяващ, въпреки облекченията</w:t>
            </w:r>
            <w:r w:rsidR="00974057">
              <w:rPr>
                <w:b/>
                <w:lang w:val="bg-BG"/>
              </w:rPr>
              <w:t xml:space="preserve"> предоставени з</w:t>
            </w:r>
            <w:r w:rsidRPr="000C48DB">
              <w:rPr>
                <w:b/>
                <w:lang w:val="bg-BG"/>
              </w:rPr>
              <w:t xml:space="preserve">а превозни средства с ниски емисии в рамките на сегашната система за данъчно облагане на превозните средства, България има второто най-ниско </w:t>
            </w:r>
            <w:r w:rsidR="00974057">
              <w:rPr>
                <w:b/>
                <w:lang w:val="bg-BG"/>
              </w:rPr>
              <w:t xml:space="preserve">ниво на </w:t>
            </w:r>
            <w:r w:rsidRPr="000C48DB">
              <w:rPr>
                <w:b/>
                <w:lang w:val="bg-BG"/>
              </w:rPr>
              <w:t>данъчно облагане на бензин и дизел сред държавите от ЕС.</w:t>
            </w:r>
          </w:p>
        </w:tc>
        <w:tc>
          <w:tcPr>
            <w:tcW w:w="1717" w:type="pct"/>
            <w:tcBorders>
              <w:top w:val="single" w:sz="4" w:space="0" w:color="5B9BD5" w:themeColor="accent1"/>
            </w:tcBorders>
          </w:tcPr>
          <w:p w14:paraId="067AB266" w14:textId="77777777" w:rsidR="00F70B75" w:rsidRPr="000C48DB" w:rsidRDefault="0008344A" w:rsidP="008739F7">
            <w:pPr>
              <w:pStyle w:val="TableCell"/>
              <w:jc w:val="both"/>
              <w:rPr>
                <w:b/>
                <w:lang w:val="bg-BG"/>
              </w:rPr>
            </w:pPr>
            <w:r>
              <w:rPr>
                <w:b/>
                <w:lang w:val="bg-BG"/>
              </w:rPr>
              <w:t xml:space="preserve">Да се </w:t>
            </w:r>
            <w:proofErr w:type="spellStart"/>
            <w:r w:rsidR="008739F7">
              <w:rPr>
                <w:b/>
                <w:lang w:val="bg-BG"/>
              </w:rPr>
              <w:t>ребалансира</w:t>
            </w:r>
            <w:proofErr w:type="spellEnd"/>
            <w:r w:rsidR="008739F7">
              <w:rPr>
                <w:b/>
                <w:lang w:val="bg-BG"/>
              </w:rPr>
              <w:t xml:space="preserve"> </w:t>
            </w:r>
            <w:r>
              <w:rPr>
                <w:b/>
                <w:lang w:val="bg-BG"/>
              </w:rPr>
              <w:t>настоящата</w:t>
            </w:r>
            <w:r w:rsidR="0021628D" w:rsidRPr="000C48DB">
              <w:rPr>
                <w:b/>
                <w:lang w:val="bg-BG"/>
              </w:rPr>
              <w:t xml:space="preserve"> система за данъчно облагане на превозните средства</w:t>
            </w:r>
            <w:r w:rsidR="00974057">
              <w:rPr>
                <w:b/>
                <w:lang w:val="bg-BG"/>
              </w:rPr>
              <w:t xml:space="preserve"> за</w:t>
            </w:r>
            <w:r w:rsidR="0021628D" w:rsidRPr="000C48DB">
              <w:rPr>
                <w:b/>
                <w:lang w:val="bg-BG"/>
              </w:rPr>
              <w:t xml:space="preserve"> въве</w:t>
            </w:r>
            <w:r w:rsidR="00974057">
              <w:rPr>
                <w:b/>
                <w:lang w:val="bg-BG"/>
              </w:rPr>
              <w:t>ж</w:t>
            </w:r>
            <w:r w:rsidR="0021628D" w:rsidRPr="000C48DB">
              <w:rPr>
                <w:b/>
                <w:lang w:val="bg-BG"/>
              </w:rPr>
              <w:t>д</w:t>
            </w:r>
            <w:r w:rsidR="00974057">
              <w:rPr>
                <w:b/>
                <w:lang w:val="bg-BG"/>
              </w:rPr>
              <w:t>ане на</w:t>
            </w:r>
            <w:r w:rsidR="0021628D" w:rsidRPr="000C48DB">
              <w:rPr>
                <w:b/>
                <w:lang w:val="bg-BG"/>
              </w:rPr>
              <w:t xml:space="preserve"> по-висок</w:t>
            </w:r>
            <w:r w:rsidR="00974057">
              <w:rPr>
                <w:b/>
                <w:lang w:val="bg-BG"/>
              </w:rPr>
              <w:t>и</w:t>
            </w:r>
            <w:r w:rsidR="0021628D" w:rsidRPr="000C48DB">
              <w:rPr>
                <w:b/>
                <w:lang w:val="bg-BG"/>
              </w:rPr>
              <w:t xml:space="preserve"> данъ</w:t>
            </w:r>
            <w:r w:rsidR="00974057">
              <w:rPr>
                <w:b/>
                <w:lang w:val="bg-BG"/>
              </w:rPr>
              <w:t>ци</w:t>
            </w:r>
            <w:r w:rsidR="0021628D" w:rsidRPr="000C48DB">
              <w:rPr>
                <w:b/>
                <w:lang w:val="bg-BG"/>
              </w:rPr>
              <w:t xml:space="preserve"> за автомобили с високи емисии и бонус за закупуване на превозни средства с ниски емисии, като същевременно се изготви средносрочен план за постепенно повишаване на данъците върху горивата.</w:t>
            </w:r>
          </w:p>
        </w:tc>
        <w:tc>
          <w:tcPr>
            <w:tcW w:w="1716" w:type="pct"/>
            <w:tcBorders>
              <w:top w:val="single" w:sz="4" w:space="0" w:color="5B9BD5" w:themeColor="accent1"/>
            </w:tcBorders>
          </w:tcPr>
          <w:p w14:paraId="2C1AB84A" w14:textId="77777777" w:rsidR="00863A91" w:rsidRDefault="00863A91" w:rsidP="00863A91">
            <w:pPr>
              <w:pStyle w:val="TableCell"/>
              <w:jc w:val="both"/>
              <w:rPr>
                <w:b/>
                <w:bCs/>
                <w:lang w:val="bg-BG"/>
              </w:rPr>
            </w:pPr>
            <w:r>
              <w:rPr>
                <w:b/>
                <w:bCs/>
                <w:lang w:val="bg-BG"/>
              </w:rPr>
              <w:t>Република България изразява частично съгласие с</w:t>
            </w:r>
            <w:r w:rsidRPr="004F249D">
              <w:rPr>
                <w:b/>
                <w:bCs/>
                <w:lang w:val="bg-BG"/>
              </w:rPr>
              <w:t xml:space="preserve"> препоръкат</w:t>
            </w:r>
            <w:r>
              <w:rPr>
                <w:b/>
                <w:bCs/>
                <w:lang w:val="bg-BG"/>
              </w:rPr>
              <w:t xml:space="preserve">а, </w:t>
            </w:r>
            <w:r w:rsidR="00347FAF">
              <w:rPr>
                <w:b/>
                <w:bCs/>
                <w:lang w:val="bg-BG"/>
              </w:rPr>
              <w:t>като предлага</w:t>
            </w:r>
            <w:r>
              <w:rPr>
                <w:b/>
                <w:bCs/>
                <w:lang w:val="bg-BG"/>
              </w:rPr>
              <w:t xml:space="preserve"> след</w:t>
            </w:r>
            <w:r w:rsidR="00347FAF">
              <w:rPr>
                <w:b/>
                <w:bCs/>
                <w:lang w:val="bg-BG"/>
              </w:rPr>
              <w:t>ната</w:t>
            </w:r>
            <w:r>
              <w:rPr>
                <w:b/>
                <w:bCs/>
                <w:lang w:val="bg-BG"/>
              </w:rPr>
              <w:t xml:space="preserve"> редакция:</w:t>
            </w:r>
          </w:p>
          <w:p w14:paraId="181CC26E" w14:textId="77777777" w:rsidR="00B85E46" w:rsidRPr="00001520" w:rsidRDefault="006604C9" w:rsidP="00863A91">
            <w:pPr>
              <w:pStyle w:val="TableCell"/>
              <w:jc w:val="both"/>
              <w:rPr>
                <w:bCs/>
                <w:lang w:val="bg-BG"/>
              </w:rPr>
            </w:pPr>
            <w:r w:rsidRPr="009E25EC">
              <w:rPr>
                <w:b/>
                <w:bCs/>
                <w:i/>
                <w:u w:val="single"/>
                <w:lang w:val="bg-BG"/>
              </w:rPr>
              <w:t>Предложение за редакция:</w:t>
            </w:r>
            <w:r>
              <w:rPr>
                <w:b/>
                <w:bCs/>
                <w:lang w:val="bg-BG"/>
              </w:rPr>
              <w:t xml:space="preserve"> </w:t>
            </w:r>
            <w:r w:rsidR="00B85E46" w:rsidRPr="00001520">
              <w:rPr>
                <w:strike/>
                <w:lang w:val="bg-BG"/>
              </w:rPr>
              <w:t xml:space="preserve"> </w:t>
            </w:r>
            <w:r w:rsidR="00B85E46" w:rsidRPr="00001520">
              <w:rPr>
                <w:bCs/>
                <w:strike/>
                <w:lang w:val="bg-BG"/>
              </w:rPr>
              <w:t xml:space="preserve">Да се </w:t>
            </w:r>
            <w:proofErr w:type="spellStart"/>
            <w:r w:rsidR="00B85E46" w:rsidRPr="00001520">
              <w:rPr>
                <w:bCs/>
                <w:strike/>
                <w:lang w:val="bg-BG"/>
              </w:rPr>
              <w:t>ребалансира</w:t>
            </w:r>
            <w:proofErr w:type="spellEnd"/>
            <w:r w:rsidR="00B85E46" w:rsidRPr="00001520">
              <w:rPr>
                <w:bCs/>
                <w:strike/>
                <w:lang w:val="bg-BG"/>
              </w:rPr>
              <w:t xml:space="preserve"> настоящата система за данъчно облагане на превозните средства за въвеждане на по-високи данъци за автомобили с високи емисии и бонус за закупуване на превозни средства с ниски емисии, като същевременно се изготви средносрочен план за постепенно повишаване на данъците върху горивата.</w:t>
            </w:r>
          </w:p>
          <w:p w14:paraId="225BBDBF" w14:textId="77777777" w:rsidR="00863A91" w:rsidRDefault="00863A91" w:rsidP="00863A91">
            <w:pPr>
              <w:pStyle w:val="TableCell"/>
              <w:jc w:val="both"/>
              <w:rPr>
                <w:b/>
                <w:bCs/>
                <w:lang w:val="bg-BG"/>
              </w:rPr>
            </w:pPr>
            <w:r w:rsidRPr="00863A91">
              <w:rPr>
                <w:b/>
                <w:bCs/>
                <w:lang w:val="bg-BG"/>
              </w:rPr>
              <w:t>Да се обмисли въвеждане на бонус за закупуване на превозни средства с ниски емисии</w:t>
            </w:r>
            <w:r w:rsidR="00FF13F0">
              <w:rPr>
                <w:b/>
                <w:bCs/>
                <w:lang w:val="bg-BG"/>
              </w:rPr>
              <w:t>.</w:t>
            </w:r>
          </w:p>
          <w:p w14:paraId="348AFC50" w14:textId="77777777" w:rsidR="007B34A2" w:rsidRPr="008B2086" w:rsidRDefault="002C5EAC" w:rsidP="00E74568">
            <w:pPr>
              <w:pStyle w:val="TableCell"/>
              <w:jc w:val="both"/>
              <w:rPr>
                <w:bCs/>
                <w:lang w:val="bg-BG"/>
              </w:rPr>
            </w:pPr>
            <w:r w:rsidRPr="00846FCB">
              <w:rPr>
                <w:b/>
                <w:i/>
                <w:szCs w:val="17"/>
                <w:u w:val="single"/>
                <w:lang w:val="bg-BG"/>
              </w:rPr>
              <w:t>Мотиви</w:t>
            </w:r>
            <w:r w:rsidR="00863A91" w:rsidRPr="009E25EC">
              <w:rPr>
                <w:b/>
                <w:bCs/>
                <w:i/>
                <w:u w:val="single"/>
                <w:lang w:val="bg-BG"/>
              </w:rPr>
              <w:t>:</w:t>
            </w:r>
            <w:r w:rsidR="00863A91" w:rsidRPr="00863A91">
              <w:rPr>
                <w:bCs/>
                <w:lang w:val="bg-BG"/>
              </w:rPr>
              <w:t xml:space="preserve"> </w:t>
            </w:r>
            <w:r w:rsidR="009A29AC" w:rsidRPr="00863A91">
              <w:rPr>
                <w:bCs/>
                <w:lang w:val="bg-BG"/>
              </w:rPr>
              <w:t xml:space="preserve"> </w:t>
            </w:r>
            <w:r w:rsidR="00005C86">
              <w:rPr>
                <w:bCs/>
                <w:lang w:val="bg-BG"/>
              </w:rPr>
              <w:t xml:space="preserve">Системата за данък върху превозните средства в България е вече </w:t>
            </w:r>
            <w:proofErr w:type="spellStart"/>
            <w:r w:rsidR="00005C86">
              <w:rPr>
                <w:bCs/>
                <w:lang w:val="bg-BG"/>
              </w:rPr>
              <w:t>ребалансирана</w:t>
            </w:r>
            <w:proofErr w:type="spellEnd"/>
            <w:r w:rsidR="00005C86">
              <w:rPr>
                <w:bCs/>
                <w:lang w:val="bg-BG"/>
              </w:rPr>
              <w:t xml:space="preserve"> в това отношение и би било необходимо тази част от препоръката да бъде премахната. Измененията в Закона за местните данъци и такси, приети през 2018 г., въведоха формула, комбинираща компонентите на собствеността и околната среда. Екологичният компонент отразява емисионната категория на превозното средство съгласно европейските стандарти „Евро“, като предоставя данъчни облекчения за превозни средства, отговарящи на Евро 4 и по-високи стандарти, и налага по-високи данъци на по-замърсяващи превозни средства. За автомобили с ниски емисии данъчното облекчение може да достигне до 60%.</w:t>
            </w:r>
          </w:p>
        </w:tc>
      </w:tr>
      <w:tr w:rsidR="00F70B75" w:rsidRPr="00005C86" w14:paraId="1298FE1E" w14:textId="77777777" w:rsidTr="00F70B75">
        <w:tc>
          <w:tcPr>
            <w:tcW w:w="1567" w:type="pct"/>
            <w:tcBorders>
              <w:bottom w:val="single" w:sz="4" w:space="0" w:color="5B9BD5" w:themeColor="accent1"/>
            </w:tcBorders>
          </w:tcPr>
          <w:p w14:paraId="036FF1BE" w14:textId="77777777" w:rsidR="00F70B75" w:rsidRPr="006C3504" w:rsidRDefault="004802A0" w:rsidP="00970270">
            <w:pPr>
              <w:pStyle w:val="TableRow"/>
              <w:rPr>
                <w:lang w:val="bg-BG"/>
              </w:rPr>
            </w:pPr>
            <w:r w:rsidRPr="006C3504">
              <w:rPr>
                <w:lang w:val="bg-BG"/>
              </w:rPr>
              <w:t>Общественият транспорт е намалял с около 40% и се основава предимно на автобуси.</w:t>
            </w:r>
          </w:p>
        </w:tc>
        <w:tc>
          <w:tcPr>
            <w:tcW w:w="1717" w:type="pct"/>
            <w:tcBorders>
              <w:bottom w:val="single" w:sz="4" w:space="0" w:color="5B9BD5" w:themeColor="accent1"/>
            </w:tcBorders>
          </w:tcPr>
          <w:p w14:paraId="7899B021" w14:textId="77777777" w:rsidR="00F70B75" w:rsidRPr="006C3504" w:rsidRDefault="0008344A" w:rsidP="0008344A">
            <w:pPr>
              <w:pStyle w:val="TableCell"/>
              <w:jc w:val="both"/>
              <w:rPr>
                <w:lang w:val="bg-BG"/>
              </w:rPr>
            </w:pPr>
            <w:r>
              <w:rPr>
                <w:lang w:val="bg-BG"/>
              </w:rPr>
              <w:t>Да се и</w:t>
            </w:r>
            <w:r w:rsidR="00AC6981">
              <w:rPr>
                <w:lang w:val="bg-BG"/>
              </w:rPr>
              <w:t xml:space="preserve">нвестира </w:t>
            </w:r>
            <w:r w:rsidR="00974057">
              <w:rPr>
                <w:lang w:val="bg-BG"/>
              </w:rPr>
              <w:t xml:space="preserve">в </w:t>
            </w:r>
            <w:r w:rsidR="00AC6981">
              <w:rPr>
                <w:lang w:val="bg-BG"/>
              </w:rPr>
              <w:t xml:space="preserve">и </w:t>
            </w:r>
            <w:r>
              <w:rPr>
                <w:lang w:val="bg-BG"/>
              </w:rPr>
              <w:t xml:space="preserve">да се </w:t>
            </w:r>
            <w:r w:rsidR="00AC6981">
              <w:rPr>
                <w:lang w:val="bg-BG"/>
              </w:rPr>
              <w:t>разшир</w:t>
            </w:r>
            <w:r>
              <w:rPr>
                <w:lang w:val="bg-BG"/>
              </w:rPr>
              <w:t>и</w:t>
            </w:r>
            <w:r w:rsidR="004802A0" w:rsidRPr="006C3504">
              <w:rPr>
                <w:lang w:val="bg-BG"/>
              </w:rPr>
              <w:t xml:space="preserve"> обществения транспорт, включ</w:t>
            </w:r>
            <w:r w:rsidR="00AC6981">
              <w:rPr>
                <w:lang w:val="bg-BG"/>
              </w:rPr>
              <w:t xml:space="preserve">ително железопътния, и </w:t>
            </w:r>
            <w:r>
              <w:rPr>
                <w:lang w:val="bg-BG"/>
              </w:rPr>
              <w:t xml:space="preserve">да се </w:t>
            </w:r>
            <w:r w:rsidR="00AC6981">
              <w:rPr>
                <w:lang w:val="bg-BG"/>
              </w:rPr>
              <w:t>увелич</w:t>
            </w:r>
            <w:r>
              <w:rPr>
                <w:lang w:val="bg-BG"/>
              </w:rPr>
              <w:t>и</w:t>
            </w:r>
            <w:r w:rsidR="004802A0" w:rsidRPr="006C3504">
              <w:rPr>
                <w:lang w:val="bg-BG"/>
              </w:rPr>
              <w:t xml:space="preserve"> използването му в градовете чрез мерки за </w:t>
            </w:r>
            <w:r w:rsidR="004802A0" w:rsidRPr="006C3504">
              <w:rPr>
                <w:lang w:val="bg-BG"/>
              </w:rPr>
              <w:lastRenderedPageBreak/>
              <w:t>устойчива градска мобилност.</w:t>
            </w:r>
          </w:p>
        </w:tc>
        <w:tc>
          <w:tcPr>
            <w:tcW w:w="1716" w:type="pct"/>
            <w:tcBorders>
              <w:bottom w:val="single" w:sz="4" w:space="0" w:color="5B9BD5" w:themeColor="accent1"/>
            </w:tcBorders>
          </w:tcPr>
          <w:p w14:paraId="3B06E557" w14:textId="77777777" w:rsidR="00F70B75" w:rsidRPr="00CA768C" w:rsidRDefault="00BD0A28" w:rsidP="00CA768C">
            <w:pPr>
              <w:pStyle w:val="TableCell"/>
              <w:jc w:val="both"/>
              <w:rPr>
                <w:b/>
                <w:lang w:val="bg-BG"/>
              </w:rPr>
            </w:pPr>
            <w:r w:rsidRPr="00BD0A28">
              <w:rPr>
                <w:b/>
                <w:lang w:val="bg-BG"/>
              </w:rPr>
              <w:lastRenderedPageBreak/>
              <w:t>Република България изразява съгласие с препоръката.</w:t>
            </w:r>
          </w:p>
        </w:tc>
      </w:tr>
      <w:tr w:rsidR="00F70B75" w:rsidRPr="00005C86" w14:paraId="26445567" w14:textId="77777777" w:rsidTr="00970270">
        <w:trPr>
          <w:trHeight w:val="249"/>
        </w:trPr>
        <w:tc>
          <w:tcPr>
            <w:tcW w:w="3284" w:type="pct"/>
            <w:gridSpan w:val="2"/>
            <w:tcBorders>
              <w:top w:val="single" w:sz="4" w:space="0" w:color="5B9BD5" w:themeColor="accent1"/>
              <w:bottom w:val="single" w:sz="4" w:space="0" w:color="5B9BD5" w:themeColor="accent1"/>
            </w:tcBorders>
          </w:tcPr>
          <w:p w14:paraId="125991A1" w14:textId="77777777" w:rsidR="00F70B75" w:rsidRPr="006C3504" w:rsidRDefault="00A631E8" w:rsidP="00970270">
            <w:pPr>
              <w:pStyle w:val="TableColumn"/>
              <w:rPr>
                <w:b/>
                <w:bCs/>
                <w:lang w:val="bg-BG"/>
              </w:rPr>
            </w:pPr>
            <w:r w:rsidRPr="006C3504">
              <w:rPr>
                <w:b/>
                <w:bCs/>
                <w:lang w:val="bg-BG"/>
              </w:rPr>
              <w:t>Намаляване на енергийната и въглеродната интензивност на жилищния сектор</w:t>
            </w:r>
          </w:p>
        </w:tc>
        <w:tc>
          <w:tcPr>
            <w:tcW w:w="1716" w:type="pct"/>
            <w:tcBorders>
              <w:top w:val="single" w:sz="4" w:space="0" w:color="5B9BD5" w:themeColor="accent1"/>
              <w:bottom w:val="single" w:sz="4" w:space="0" w:color="5B9BD5" w:themeColor="accent1"/>
            </w:tcBorders>
          </w:tcPr>
          <w:p w14:paraId="113480F8" w14:textId="77777777" w:rsidR="00F70B75" w:rsidRPr="006C3504" w:rsidRDefault="00F70B75" w:rsidP="00970270">
            <w:pPr>
              <w:pStyle w:val="TableColumn"/>
              <w:rPr>
                <w:b/>
                <w:bCs/>
                <w:lang w:val="bg-BG"/>
              </w:rPr>
            </w:pPr>
          </w:p>
        </w:tc>
      </w:tr>
      <w:tr w:rsidR="00F70B75" w:rsidRPr="00005C86" w14:paraId="388EBDAC" w14:textId="77777777" w:rsidTr="00F70B75">
        <w:tc>
          <w:tcPr>
            <w:tcW w:w="1567" w:type="pct"/>
            <w:tcBorders>
              <w:top w:val="single" w:sz="4" w:space="0" w:color="5B9BD5" w:themeColor="accent1"/>
            </w:tcBorders>
          </w:tcPr>
          <w:p w14:paraId="268D29CF" w14:textId="77777777" w:rsidR="00F70B75" w:rsidRPr="006C3504" w:rsidRDefault="00A631E8" w:rsidP="00970270">
            <w:pPr>
              <w:pStyle w:val="TableRow"/>
              <w:rPr>
                <w:lang w:val="bg-BG"/>
              </w:rPr>
            </w:pPr>
            <w:r w:rsidRPr="006C3504">
              <w:rPr>
                <w:lang w:val="bg-BG"/>
              </w:rPr>
              <w:t>Сградите са стари и</w:t>
            </w:r>
            <w:r w:rsidR="00AC6981">
              <w:rPr>
                <w:lang w:val="bg-BG"/>
              </w:rPr>
              <w:t xml:space="preserve"> лошо изолирани</w:t>
            </w:r>
            <w:r w:rsidRPr="006C3504">
              <w:rPr>
                <w:lang w:val="bg-BG"/>
              </w:rPr>
              <w:t>.</w:t>
            </w:r>
          </w:p>
        </w:tc>
        <w:tc>
          <w:tcPr>
            <w:tcW w:w="1717" w:type="pct"/>
            <w:tcBorders>
              <w:top w:val="single" w:sz="4" w:space="0" w:color="5B9BD5" w:themeColor="accent1"/>
            </w:tcBorders>
          </w:tcPr>
          <w:p w14:paraId="1089B86D" w14:textId="77777777" w:rsidR="00F70B75" w:rsidRPr="006C3504" w:rsidRDefault="000C48DB" w:rsidP="0008344A">
            <w:pPr>
              <w:pStyle w:val="TableCell"/>
              <w:jc w:val="both"/>
              <w:rPr>
                <w:lang w:val="bg-BG"/>
              </w:rPr>
            </w:pPr>
            <w:r>
              <w:rPr>
                <w:bCs/>
                <w:lang w:val="bg-BG"/>
              </w:rPr>
              <w:t>Да се у</w:t>
            </w:r>
            <w:r w:rsidR="00A631E8" w:rsidRPr="006C3504">
              <w:rPr>
                <w:bCs/>
                <w:lang w:val="bg-BG"/>
              </w:rPr>
              <w:t>скор</w:t>
            </w:r>
            <w:r>
              <w:rPr>
                <w:bCs/>
                <w:lang w:val="bg-BG"/>
              </w:rPr>
              <w:t>и</w:t>
            </w:r>
            <w:r w:rsidR="00A631E8" w:rsidRPr="006C3504">
              <w:rPr>
                <w:bCs/>
                <w:lang w:val="bg-BG"/>
              </w:rPr>
              <w:t xml:space="preserve"> реновирането на сградите чрез преминаване към модел на съвместно финансиране и </w:t>
            </w:r>
            <w:r w:rsidR="0008344A">
              <w:rPr>
                <w:bCs/>
                <w:lang w:val="bg-BG"/>
              </w:rPr>
              <w:t>да се приоритизира</w:t>
            </w:r>
            <w:r w:rsidR="00A631E8" w:rsidRPr="006C3504">
              <w:rPr>
                <w:bCs/>
                <w:lang w:val="bg-BG"/>
              </w:rPr>
              <w:t xml:space="preserve"> подкрепата за енергийно уязвими домакинства.</w:t>
            </w:r>
          </w:p>
        </w:tc>
        <w:tc>
          <w:tcPr>
            <w:tcW w:w="1716" w:type="pct"/>
            <w:tcBorders>
              <w:top w:val="single" w:sz="4" w:space="0" w:color="5B9BD5" w:themeColor="accent1"/>
            </w:tcBorders>
          </w:tcPr>
          <w:p w14:paraId="0E74F95A" w14:textId="77777777" w:rsidR="00F70B75" w:rsidRPr="006C3504" w:rsidRDefault="00BD0A28" w:rsidP="00970270">
            <w:pPr>
              <w:pStyle w:val="TableCell"/>
              <w:jc w:val="both"/>
              <w:rPr>
                <w:b/>
                <w:bCs/>
                <w:lang w:val="bg-BG"/>
              </w:rPr>
            </w:pPr>
            <w:r w:rsidRPr="00BD0A28">
              <w:rPr>
                <w:b/>
                <w:bCs/>
                <w:lang w:val="bg-BG"/>
              </w:rPr>
              <w:t>Република България изразява съгласие с препоръката.</w:t>
            </w:r>
          </w:p>
        </w:tc>
      </w:tr>
      <w:tr w:rsidR="00F70B75" w:rsidRPr="00005C86" w14:paraId="0430F549" w14:textId="77777777" w:rsidTr="00F70B75">
        <w:tc>
          <w:tcPr>
            <w:tcW w:w="1567" w:type="pct"/>
            <w:tcBorders>
              <w:bottom w:val="single" w:sz="4" w:space="0" w:color="5B9BD5" w:themeColor="accent1"/>
            </w:tcBorders>
          </w:tcPr>
          <w:p w14:paraId="570F505E" w14:textId="77777777" w:rsidR="00F70B75" w:rsidRPr="006C3504" w:rsidRDefault="00517CA3" w:rsidP="00970270">
            <w:pPr>
              <w:pStyle w:val="TableRow"/>
              <w:rPr>
                <w:lang w:val="bg-BG"/>
              </w:rPr>
            </w:pPr>
            <w:r w:rsidRPr="006C3504">
              <w:rPr>
                <w:lang w:val="bg-BG"/>
              </w:rPr>
              <w:t>Разпространеното изгаряне на дърва за огрев в неефективни печки увеличава емисиите и замърсяването на въздуха в помещенията.</w:t>
            </w:r>
          </w:p>
        </w:tc>
        <w:tc>
          <w:tcPr>
            <w:tcW w:w="1717" w:type="pct"/>
            <w:tcBorders>
              <w:bottom w:val="single" w:sz="4" w:space="0" w:color="5B9BD5" w:themeColor="accent1"/>
            </w:tcBorders>
          </w:tcPr>
          <w:p w14:paraId="018AFAAC" w14:textId="77777777" w:rsidR="00F70B75" w:rsidRPr="006C3504" w:rsidRDefault="000C48DB" w:rsidP="000C48DB">
            <w:pPr>
              <w:pStyle w:val="TableCell"/>
              <w:jc w:val="both"/>
              <w:rPr>
                <w:lang w:val="bg-BG"/>
              </w:rPr>
            </w:pPr>
            <w:r>
              <w:rPr>
                <w:lang w:val="bg-BG"/>
              </w:rPr>
              <w:t>Да се п</w:t>
            </w:r>
            <w:r w:rsidR="00AC6981">
              <w:rPr>
                <w:lang w:val="bg-BG"/>
              </w:rPr>
              <w:t>родълж</w:t>
            </w:r>
            <w:r>
              <w:rPr>
                <w:lang w:val="bg-BG"/>
              </w:rPr>
              <w:t>ат схемите</w:t>
            </w:r>
            <w:r w:rsidR="00517CA3" w:rsidRPr="006C3504">
              <w:rPr>
                <w:lang w:val="bg-BG"/>
              </w:rPr>
              <w:t xml:space="preserve"> с безвъзмездни помощи за енергийно бедните домакинства за замяна на отоплителните системи на твърдо гориво с </w:t>
            </w:r>
            <w:r w:rsidRPr="006C3504">
              <w:rPr>
                <w:lang w:val="bg-BG"/>
              </w:rPr>
              <w:t>покрив</w:t>
            </w:r>
            <w:r>
              <w:rPr>
                <w:lang w:val="bg-BG"/>
              </w:rPr>
              <w:t>ни</w:t>
            </w:r>
            <w:r w:rsidRPr="006C3504">
              <w:rPr>
                <w:lang w:val="bg-BG"/>
              </w:rPr>
              <w:t xml:space="preserve"> </w:t>
            </w:r>
            <w:r>
              <w:rPr>
                <w:lang w:val="bg-BG"/>
              </w:rPr>
              <w:t>слънчеви системи.</w:t>
            </w:r>
          </w:p>
        </w:tc>
        <w:tc>
          <w:tcPr>
            <w:tcW w:w="1716" w:type="pct"/>
            <w:tcBorders>
              <w:bottom w:val="single" w:sz="4" w:space="0" w:color="5B9BD5" w:themeColor="accent1"/>
            </w:tcBorders>
          </w:tcPr>
          <w:p w14:paraId="4BBF47C4" w14:textId="77777777" w:rsidR="00F70B75" w:rsidRPr="00CA768C" w:rsidRDefault="00BD0A28" w:rsidP="00970270">
            <w:pPr>
              <w:pStyle w:val="TableCell"/>
              <w:jc w:val="both"/>
              <w:rPr>
                <w:b/>
                <w:lang w:val="bg-BG"/>
              </w:rPr>
            </w:pPr>
            <w:r w:rsidRPr="00BD0A28">
              <w:rPr>
                <w:b/>
                <w:lang w:val="bg-BG"/>
              </w:rPr>
              <w:t>Република България изразява съгласие с препоръката.</w:t>
            </w:r>
          </w:p>
        </w:tc>
      </w:tr>
      <w:tr w:rsidR="00F70B75" w:rsidRPr="006C3504" w14:paraId="6DB77924" w14:textId="77777777" w:rsidTr="00970270">
        <w:trPr>
          <w:trHeight w:val="249"/>
        </w:trPr>
        <w:tc>
          <w:tcPr>
            <w:tcW w:w="3284" w:type="pct"/>
            <w:gridSpan w:val="2"/>
            <w:tcBorders>
              <w:top w:val="single" w:sz="4" w:space="0" w:color="5B9BD5" w:themeColor="accent1"/>
              <w:bottom w:val="single" w:sz="4" w:space="0" w:color="5B9BD5" w:themeColor="accent1"/>
            </w:tcBorders>
          </w:tcPr>
          <w:p w14:paraId="653EB09B" w14:textId="77777777" w:rsidR="00F70B75" w:rsidRPr="006C3504" w:rsidRDefault="00812429" w:rsidP="00970270">
            <w:pPr>
              <w:pStyle w:val="TableColumn"/>
              <w:rPr>
                <w:b/>
                <w:bCs/>
                <w:lang w:val="bg-BG"/>
              </w:rPr>
            </w:pPr>
            <w:r w:rsidRPr="006C3504">
              <w:rPr>
                <w:b/>
                <w:bCs/>
                <w:lang w:val="bg-BG"/>
              </w:rPr>
              <w:t>Адаптация към климата</w:t>
            </w:r>
          </w:p>
        </w:tc>
        <w:tc>
          <w:tcPr>
            <w:tcW w:w="1716" w:type="pct"/>
            <w:tcBorders>
              <w:top w:val="single" w:sz="4" w:space="0" w:color="5B9BD5" w:themeColor="accent1"/>
              <w:bottom w:val="single" w:sz="4" w:space="0" w:color="5B9BD5" w:themeColor="accent1"/>
            </w:tcBorders>
          </w:tcPr>
          <w:p w14:paraId="310A2844" w14:textId="77777777" w:rsidR="00F70B75" w:rsidRPr="006C3504" w:rsidRDefault="00F70B75" w:rsidP="00970270">
            <w:pPr>
              <w:pStyle w:val="TableColumn"/>
              <w:rPr>
                <w:b/>
                <w:bCs/>
                <w:lang w:val="bg-BG"/>
              </w:rPr>
            </w:pPr>
          </w:p>
        </w:tc>
      </w:tr>
      <w:tr w:rsidR="00F70B75" w:rsidRPr="00005C86" w14:paraId="6B5C5DC8" w14:textId="77777777" w:rsidTr="00F70B75">
        <w:tc>
          <w:tcPr>
            <w:tcW w:w="1567" w:type="pct"/>
            <w:tcBorders>
              <w:top w:val="single" w:sz="4" w:space="0" w:color="5B9BD5" w:themeColor="accent1"/>
            </w:tcBorders>
          </w:tcPr>
          <w:p w14:paraId="32AF3C03" w14:textId="77777777" w:rsidR="00F70B75" w:rsidRPr="0074671D" w:rsidRDefault="00812429" w:rsidP="00F60689">
            <w:pPr>
              <w:pStyle w:val="TableRow"/>
              <w:rPr>
                <w:lang w:val="bg-BG"/>
              </w:rPr>
            </w:pPr>
            <w:r w:rsidRPr="0074671D">
              <w:rPr>
                <w:lang w:val="bg-BG"/>
              </w:rPr>
              <w:t>Застрахователн</w:t>
            </w:r>
            <w:r w:rsidR="000C48DB" w:rsidRPr="0074671D">
              <w:rPr>
                <w:lang w:val="bg-BG"/>
              </w:rPr>
              <w:t>ото покритие</w:t>
            </w:r>
            <w:r w:rsidRPr="0074671D">
              <w:rPr>
                <w:lang w:val="bg-BG"/>
              </w:rPr>
              <w:t xml:space="preserve"> </w:t>
            </w:r>
            <w:r w:rsidR="00F60689" w:rsidRPr="0074671D">
              <w:rPr>
                <w:lang w:val="bg-BG"/>
              </w:rPr>
              <w:t>срещу</w:t>
            </w:r>
            <w:r w:rsidRPr="0074671D">
              <w:rPr>
                <w:lang w:val="bg-BG"/>
              </w:rPr>
              <w:t xml:space="preserve"> екстремни климатични събития е сред най-ниските в ЕС.</w:t>
            </w:r>
          </w:p>
        </w:tc>
        <w:tc>
          <w:tcPr>
            <w:tcW w:w="1717" w:type="pct"/>
            <w:tcBorders>
              <w:top w:val="single" w:sz="4" w:space="0" w:color="5B9BD5" w:themeColor="accent1"/>
            </w:tcBorders>
          </w:tcPr>
          <w:p w14:paraId="079E0228" w14:textId="77777777" w:rsidR="00F70B75" w:rsidRPr="0074671D" w:rsidRDefault="000C48DB" w:rsidP="00F60689">
            <w:pPr>
              <w:pStyle w:val="TableCell"/>
              <w:jc w:val="both"/>
              <w:rPr>
                <w:lang w:val="bg-BG"/>
              </w:rPr>
            </w:pPr>
            <w:r w:rsidRPr="0074671D">
              <w:rPr>
                <w:bCs/>
                <w:lang w:val="bg-BG"/>
              </w:rPr>
              <w:t>Да се о</w:t>
            </w:r>
            <w:r w:rsidR="00AC6981" w:rsidRPr="0074671D">
              <w:rPr>
                <w:bCs/>
                <w:lang w:val="bg-BG"/>
              </w:rPr>
              <w:t>бмисл</w:t>
            </w:r>
            <w:r w:rsidRPr="0074671D">
              <w:rPr>
                <w:bCs/>
                <w:lang w:val="bg-BG"/>
              </w:rPr>
              <w:t>и</w:t>
            </w:r>
            <w:r w:rsidR="00AC6981" w:rsidRPr="0074671D">
              <w:rPr>
                <w:bCs/>
                <w:lang w:val="bg-BG"/>
              </w:rPr>
              <w:t xml:space="preserve"> въвеждане</w:t>
            </w:r>
            <w:r w:rsidRPr="0074671D">
              <w:rPr>
                <w:bCs/>
                <w:lang w:val="bg-BG"/>
              </w:rPr>
              <w:t>то</w:t>
            </w:r>
            <w:r w:rsidR="00812429" w:rsidRPr="0074671D">
              <w:rPr>
                <w:bCs/>
                <w:lang w:val="bg-BG"/>
              </w:rPr>
              <w:t xml:space="preserve"> на задължителни или стимулирани частни застрахователни схеми за природни бедствия, евентуално с държавна подкрепа за катастрофални загуби.</w:t>
            </w:r>
          </w:p>
        </w:tc>
        <w:tc>
          <w:tcPr>
            <w:tcW w:w="1716" w:type="pct"/>
            <w:tcBorders>
              <w:top w:val="single" w:sz="4" w:space="0" w:color="5B9BD5" w:themeColor="accent1"/>
            </w:tcBorders>
          </w:tcPr>
          <w:p w14:paraId="53C55B72" w14:textId="77777777" w:rsidR="0074671D" w:rsidRDefault="0074671D" w:rsidP="0074671D">
            <w:pPr>
              <w:pStyle w:val="TableCell"/>
              <w:jc w:val="both"/>
              <w:rPr>
                <w:b/>
                <w:bCs/>
                <w:lang w:val="bg-BG"/>
              </w:rPr>
            </w:pPr>
            <w:r>
              <w:rPr>
                <w:b/>
                <w:bCs/>
                <w:lang w:val="bg-BG"/>
              </w:rPr>
              <w:t>Република България изразява частично съгласие с</w:t>
            </w:r>
            <w:r w:rsidRPr="004F249D">
              <w:rPr>
                <w:b/>
                <w:bCs/>
                <w:lang w:val="bg-BG"/>
              </w:rPr>
              <w:t xml:space="preserve"> препоръкат</w:t>
            </w:r>
            <w:r>
              <w:rPr>
                <w:b/>
                <w:bCs/>
                <w:lang w:val="bg-BG"/>
              </w:rPr>
              <w:t xml:space="preserve">а, </w:t>
            </w:r>
            <w:r w:rsidR="00623C95">
              <w:rPr>
                <w:b/>
                <w:bCs/>
                <w:lang w:val="bg-BG"/>
              </w:rPr>
              <w:t>като предлага следната</w:t>
            </w:r>
            <w:r>
              <w:rPr>
                <w:b/>
                <w:bCs/>
                <w:lang w:val="bg-BG"/>
              </w:rPr>
              <w:t xml:space="preserve"> редакция:</w:t>
            </w:r>
          </w:p>
          <w:p w14:paraId="555216FA" w14:textId="77777777" w:rsidR="00BC4737" w:rsidRPr="00BC4737" w:rsidRDefault="0074671D" w:rsidP="0074671D">
            <w:pPr>
              <w:rPr>
                <w:bCs/>
                <w:strike/>
                <w:lang w:val="bg-BG"/>
              </w:rPr>
            </w:pPr>
            <w:r w:rsidRPr="009E25EC">
              <w:rPr>
                <w:b/>
                <w:bCs/>
                <w:i/>
                <w:color w:val="000000" w:themeColor="text1"/>
                <w:u w:val="single"/>
                <w:lang w:val="bg-BG"/>
              </w:rPr>
              <w:t>Предложение за редакция:</w:t>
            </w:r>
            <w:r>
              <w:rPr>
                <w:bCs/>
                <w:lang w:val="bg-BG"/>
              </w:rPr>
              <w:t xml:space="preserve"> </w:t>
            </w:r>
            <w:r w:rsidRPr="0074671D">
              <w:rPr>
                <w:bCs/>
                <w:lang w:val="bg-BG"/>
              </w:rPr>
              <w:t>Да се обмисли въвеждането на задължителни или стимулирани частни застраховате</w:t>
            </w:r>
            <w:r>
              <w:rPr>
                <w:bCs/>
                <w:lang w:val="bg-BG"/>
              </w:rPr>
              <w:t xml:space="preserve">лни схеми за природни бедствия, </w:t>
            </w:r>
            <w:r w:rsidRPr="00D83A7C">
              <w:rPr>
                <w:b/>
                <w:bCs/>
                <w:lang w:val="bg-BG"/>
              </w:rPr>
              <w:t>въз основа на актуализирани карти на риска и анализ на уязвимостта</w:t>
            </w:r>
            <w:r w:rsidR="00D83A7C">
              <w:rPr>
                <w:b/>
                <w:bCs/>
                <w:lang w:val="bg-BG"/>
              </w:rPr>
              <w:t xml:space="preserve">. </w:t>
            </w:r>
            <w:r w:rsidR="00BC4737" w:rsidRPr="00D83A7C">
              <w:rPr>
                <w:strike/>
                <w:lang w:val="bg-BG"/>
              </w:rPr>
              <w:t>евентуално с държавна подкрепа за катастрофални загуби.</w:t>
            </w:r>
          </w:p>
          <w:p w14:paraId="49486A9B" w14:textId="77777777" w:rsidR="006E5890" w:rsidRPr="0074671D" w:rsidRDefault="00DF5E46" w:rsidP="006E5890">
            <w:pPr>
              <w:rPr>
                <w:lang w:val="bg-BG"/>
              </w:rPr>
            </w:pPr>
            <w:r w:rsidRPr="00846FCB">
              <w:rPr>
                <w:b/>
                <w:i/>
                <w:szCs w:val="17"/>
                <w:u w:val="single"/>
                <w:lang w:val="bg-BG"/>
              </w:rPr>
              <w:t>Мотиви</w:t>
            </w:r>
            <w:r w:rsidR="006E5890" w:rsidRPr="009E25EC">
              <w:rPr>
                <w:b/>
                <w:bCs/>
                <w:i/>
                <w:color w:val="000000" w:themeColor="text1"/>
                <w:u w:val="single"/>
                <w:lang w:val="bg-BG"/>
              </w:rPr>
              <w:t>:</w:t>
            </w:r>
            <w:r w:rsidR="006E5890" w:rsidRPr="0074671D">
              <w:rPr>
                <w:lang w:val="bg-BG"/>
              </w:rPr>
              <w:t xml:space="preserve"> България признава значението на застрахователните инструменти като средство за управление на климатичните рискове и повишаване на устойчивостта на домакинствата и предприятията. В същото време ниското ниво на застрахователно покритие за природни бедствия се дължи на няколко структурни фактора, сред които ограничената осведоменост на обществеността, недостатъчният достъп до достъпни застрахователни продукти и липсата на пазарни стимули. В рамките на Националната стратегия и план за действие за адаптация към изменението на климата вече се предприемат мерки за подобряване на оценката и управлението на риска, включително чрез усъвършенствани системи за ранно предупреждение, пространствено планиране и оценки на уязвимостта. Стратегията признава също така ролята на застраховането като ключов финансов инструмент за прехвърляне на климатичния риск и предвижда действия за насърчаване на доброволни застрахователни схеми и засилване на публично-частното сътрудничество в тази област.</w:t>
            </w:r>
          </w:p>
          <w:p w14:paraId="7A2EAAD3" w14:textId="77777777" w:rsidR="006E5890" w:rsidRPr="00C206E6" w:rsidRDefault="006E5890" w:rsidP="00C206E6">
            <w:pPr>
              <w:rPr>
                <w:lang w:val="bg-BG"/>
              </w:rPr>
            </w:pPr>
            <w:r w:rsidRPr="0074671D">
              <w:rPr>
                <w:lang w:val="bg-BG"/>
              </w:rPr>
              <w:t>В тази връзка България счита, че въвеждането на задължителна застраховка за природни бедствия трябва да бъде предшествано от по-подробен анализ. Подходяща първа стъпка би било изготвянето на актуализирани карти на риска и разработването на публично-частен механизъм с държавна подкрепа за катастрофални събития. Успоредно с това биха могли да се проучат възможностите за насърчаване на доброволни застрахователни схеми чрез данъчни или финансови стимули, като се гарантира балансиран подход, който укрепва устойчивостта, като същевременно се запазва социалната справедливост.</w:t>
            </w:r>
          </w:p>
        </w:tc>
      </w:tr>
    </w:tbl>
    <w:p w14:paraId="5186A8AF" w14:textId="77777777" w:rsidR="006C3504" w:rsidRPr="006C3504" w:rsidRDefault="006C3504" w:rsidP="006C3504">
      <w:pPr>
        <w:jc w:val="left"/>
        <w:rPr>
          <w:b/>
          <w:lang w:val="bg-BG"/>
        </w:rPr>
      </w:pPr>
      <w:r w:rsidRPr="006C3504">
        <w:rPr>
          <w:b/>
          <w:lang w:val="bg-BG"/>
        </w:rPr>
        <w:t xml:space="preserve">Препоръки за политиката от Глава 4 </w:t>
      </w:r>
      <w:r w:rsidR="002315DB">
        <w:rPr>
          <w:b/>
          <w:lang w:val="bg-BG"/>
        </w:rPr>
        <w:t>„</w:t>
      </w:r>
      <w:r w:rsidRPr="006C3504">
        <w:rPr>
          <w:b/>
          <w:lang w:val="bg-BG"/>
        </w:rPr>
        <w:t>Повишаване на производителността на стопанския сектор за ускоряване на конвергенцията" (ключовите препоръки са с удебелен шрифт)</w:t>
      </w:r>
    </w:p>
    <w:p w14:paraId="36021220" w14:textId="77777777" w:rsidR="006C3504" w:rsidRPr="006C3504" w:rsidRDefault="006C3504" w:rsidP="006C3504">
      <w:pPr>
        <w:rPr>
          <w:lang w:val="bg-BG"/>
        </w:rPr>
      </w:pPr>
    </w:p>
    <w:tbl>
      <w:tblPr>
        <w:tblStyle w:val="OECD"/>
        <w:tblW w:w="9072" w:type="dxa"/>
        <w:tblLayout w:type="fixed"/>
        <w:tblLook w:val="04A0" w:firstRow="1" w:lastRow="0" w:firstColumn="1" w:lastColumn="0" w:noHBand="0" w:noVBand="1"/>
      </w:tblPr>
      <w:tblGrid>
        <w:gridCol w:w="2552"/>
        <w:gridCol w:w="3260"/>
        <w:gridCol w:w="3260"/>
      </w:tblGrid>
      <w:tr w:rsidR="006C3504" w:rsidRPr="006C3504" w14:paraId="6D6C047B" w14:textId="77777777" w:rsidTr="00BD042C">
        <w:trPr>
          <w:cnfStyle w:val="100000000000" w:firstRow="1" w:lastRow="0" w:firstColumn="0" w:lastColumn="0" w:oddVBand="0" w:evenVBand="0" w:oddHBand="0" w:evenHBand="0" w:firstRowFirstColumn="0" w:firstRowLastColumn="0" w:lastRowFirstColumn="0" w:lastRowLastColumn="0"/>
        </w:trPr>
        <w:tc>
          <w:tcPr>
            <w:tcW w:w="2552" w:type="dxa"/>
            <w:tcBorders>
              <w:bottom w:val="single" w:sz="4" w:space="0" w:color="5B9BD5" w:themeColor="accent1"/>
            </w:tcBorders>
            <w:hideMark/>
          </w:tcPr>
          <w:p w14:paraId="087E1338" w14:textId="77777777" w:rsidR="006C3504" w:rsidRPr="006C3504" w:rsidRDefault="006C3504" w:rsidP="00970270">
            <w:pPr>
              <w:pStyle w:val="TableColumn"/>
              <w:spacing w:before="40" w:after="40"/>
              <w:rPr>
                <w:b/>
                <w:bCs/>
                <w:lang w:val="bg-BG"/>
              </w:rPr>
            </w:pPr>
            <w:r w:rsidRPr="006C3504">
              <w:rPr>
                <w:b/>
                <w:bCs/>
                <w:lang w:val="bg-BG"/>
              </w:rPr>
              <w:t>ОСНОВНИ КОНСТАТАЦИИ</w:t>
            </w:r>
          </w:p>
        </w:tc>
        <w:tc>
          <w:tcPr>
            <w:tcW w:w="3260" w:type="dxa"/>
            <w:tcBorders>
              <w:bottom w:val="single" w:sz="4" w:space="0" w:color="5B9BD5" w:themeColor="accent1"/>
            </w:tcBorders>
            <w:hideMark/>
          </w:tcPr>
          <w:p w14:paraId="67B40AA8" w14:textId="77777777" w:rsidR="006C3504" w:rsidRPr="006C3504" w:rsidRDefault="006C3504" w:rsidP="00970270">
            <w:pPr>
              <w:pStyle w:val="TableColumn"/>
              <w:spacing w:before="40" w:after="40"/>
              <w:rPr>
                <w:b/>
                <w:bCs/>
                <w:lang w:val="bg-BG"/>
              </w:rPr>
            </w:pPr>
            <w:r w:rsidRPr="006C3504">
              <w:rPr>
                <w:b/>
                <w:bCs/>
                <w:lang w:val="bg-BG"/>
              </w:rPr>
              <w:t>ПРЕПОРЪКИ</w:t>
            </w:r>
          </w:p>
        </w:tc>
        <w:tc>
          <w:tcPr>
            <w:tcW w:w="3260" w:type="dxa"/>
            <w:tcBorders>
              <w:bottom w:val="single" w:sz="4" w:space="0" w:color="5B9BD5" w:themeColor="accent1"/>
            </w:tcBorders>
          </w:tcPr>
          <w:p w14:paraId="0109BB88" w14:textId="77777777" w:rsidR="006C3504" w:rsidRPr="006C3504" w:rsidRDefault="006C3504" w:rsidP="00970270">
            <w:pPr>
              <w:pStyle w:val="TableColumn"/>
              <w:spacing w:before="40" w:after="40"/>
              <w:rPr>
                <w:b/>
                <w:bCs/>
                <w:lang w:val="bg-BG"/>
              </w:rPr>
            </w:pPr>
            <w:r w:rsidRPr="006C3504">
              <w:rPr>
                <w:b/>
                <w:bCs/>
                <w:lang w:val="bg-BG"/>
              </w:rPr>
              <w:t>Позиция на Република България</w:t>
            </w:r>
          </w:p>
        </w:tc>
      </w:tr>
      <w:tr w:rsidR="006C3504" w:rsidRPr="006C3504" w14:paraId="43B50CB8" w14:textId="77777777" w:rsidTr="00BD042C">
        <w:tc>
          <w:tcPr>
            <w:tcW w:w="5812" w:type="dxa"/>
            <w:gridSpan w:val="2"/>
            <w:tcBorders>
              <w:top w:val="single" w:sz="4" w:space="0" w:color="5B9BD5" w:themeColor="accent1"/>
              <w:bottom w:val="single" w:sz="4" w:space="0" w:color="5B9BD5" w:themeColor="accent1"/>
            </w:tcBorders>
            <w:hideMark/>
          </w:tcPr>
          <w:p w14:paraId="63F4C5BD" w14:textId="77777777" w:rsidR="006C3504" w:rsidRPr="006C3504" w:rsidRDefault="007D1A5E" w:rsidP="00970270">
            <w:pPr>
              <w:pStyle w:val="TableColumn"/>
              <w:rPr>
                <w:b/>
                <w:bCs/>
                <w:lang w:val="bg-BG"/>
              </w:rPr>
            </w:pPr>
            <w:r>
              <w:rPr>
                <w:b/>
                <w:bCs/>
                <w:lang w:val="bg-BG"/>
              </w:rPr>
              <w:t>Повишаване</w:t>
            </w:r>
            <w:r w:rsidR="006C3504" w:rsidRPr="006C3504">
              <w:rPr>
                <w:b/>
                <w:bCs/>
                <w:lang w:val="bg-BG"/>
              </w:rPr>
              <w:t xml:space="preserve"> на инвестициите</w:t>
            </w:r>
          </w:p>
        </w:tc>
        <w:tc>
          <w:tcPr>
            <w:tcW w:w="3260" w:type="dxa"/>
            <w:tcBorders>
              <w:top w:val="single" w:sz="4" w:space="0" w:color="5B9BD5" w:themeColor="accent1"/>
              <w:bottom w:val="single" w:sz="4" w:space="0" w:color="5B9BD5" w:themeColor="accent1"/>
            </w:tcBorders>
          </w:tcPr>
          <w:p w14:paraId="4052CDFC" w14:textId="77777777" w:rsidR="006C3504" w:rsidRPr="006C3504" w:rsidRDefault="006C3504" w:rsidP="00970270">
            <w:pPr>
              <w:pStyle w:val="TableColumn"/>
              <w:rPr>
                <w:b/>
                <w:bCs/>
                <w:lang w:val="bg-BG"/>
              </w:rPr>
            </w:pPr>
          </w:p>
        </w:tc>
      </w:tr>
      <w:tr w:rsidR="006C3504" w:rsidRPr="00005C86" w14:paraId="6734ABB9" w14:textId="77777777" w:rsidTr="00BD042C">
        <w:tc>
          <w:tcPr>
            <w:tcW w:w="2552" w:type="dxa"/>
            <w:tcBorders>
              <w:top w:val="single" w:sz="4" w:space="0" w:color="5B9BD5" w:themeColor="accent1"/>
            </w:tcBorders>
          </w:tcPr>
          <w:p w14:paraId="13B5D653" w14:textId="77777777" w:rsidR="006C3504" w:rsidRPr="006C3504" w:rsidRDefault="006C3504" w:rsidP="007D1A5E">
            <w:pPr>
              <w:pStyle w:val="TableRow"/>
              <w:spacing w:before="60" w:after="60"/>
              <w:rPr>
                <w:lang w:val="bg-BG"/>
              </w:rPr>
            </w:pPr>
            <w:r w:rsidRPr="006C3504">
              <w:rPr>
                <w:lang w:val="bg-BG"/>
              </w:rPr>
              <w:t xml:space="preserve">Досега инвестиционните стимули </w:t>
            </w:r>
            <w:r w:rsidR="007D1A5E">
              <w:rPr>
                <w:lang w:val="bg-BG"/>
              </w:rPr>
              <w:t>са били</w:t>
            </w:r>
            <w:r w:rsidRPr="006C3504">
              <w:rPr>
                <w:lang w:val="bg-BG"/>
              </w:rPr>
              <w:t xml:space="preserve"> ограничени до ускорени или опростени процедури, но сега се въвеждат парични стимули. </w:t>
            </w:r>
            <w:r w:rsidR="007D1A5E">
              <w:rPr>
                <w:lang w:val="bg-BG"/>
              </w:rPr>
              <w:t>Индустриалните паркове</w:t>
            </w:r>
            <w:r w:rsidRPr="006C3504">
              <w:rPr>
                <w:lang w:val="bg-BG"/>
              </w:rPr>
              <w:t xml:space="preserve"> са от централно значение в стратегията на правителството за привличане на инвестиции.</w:t>
            </w:r>
          </w:p>
        </w:tc>
        <w:tc>
          <w:tcPr>
            <w:tcW w:w="3260" w:type="dxa"/>
            <w:tcBorders>
              <w:top w:val="single" w:sz="4" w:space="0" w:color="5B9BD5" w:themeColor="accent1"/>
            </w:tcBorders>
          </w:tcPr>
          <w:p w14:paraId="41EBDBB5" w14:textId="77777777" w:rsidR="006C3504" w:rsidRPr="006C3504" w:rsidRDefault="00770035" w:rsidP="00770035">
            <w:pPr>
              <w:pStyle w:val="TableCell"/>
              <w:jc w:val="both"/>
              <w:rPr>
                <w:b/>
                <w:bCs/>
                <w:lang w:val="bg-BG"/>
              </w:rPr>
            </w:pPr>
            <w:r>
              <w:rPr>
                <w:b/>
                <w:bCs/>
                <w:lang w:val="bg-BG"/>
              </w:rPr>
              <w:t>Да се п</w:t>
            </w:r>
            <w:r w:rsidR="007D1A5E">
              <w:rPr>
                <w:b/>
                <w:bCs/>
                <w:lang w:val="bg-BG"/>
              </w:rPr>
              <w:t>роектира</w:t>
            </w:r>
            <w:r>
              <w:rPr>
                <w:b/>
                <w:bCs/>
                <w:lang w:val="bg-BG"/>
              </w:rPr>
              <w:t>т</w:t>
            </w:r>
            <w:r w:rsidR="006C3504" w:rsidRPr="006C3504">
              <w:rPr>
                <w:b/>
                <w:bCs/>
                <w:lang w:val="bg-BG"/>
              </w:rPr>
              <w:t xml:space="preserve"> парични стимули за инвестиции въз основа на критери</w:t>
            </w:r>
            <w:r w:rsidR="007D1A5E">
              <w:rPr>
                <w:b/>
                <w:bCs/>
                <w:lang w:val="bg-BG"/>
              </w:rPr>
              <w:t>я</w:t>
            </w:r>
            <w:r w:rsidR="006C3504" w:rsidRPr="006C3504">
              <w:rPr>
                <w:b/>
                <w:bCs/>
                <w:lang w:val="bg-BG"/>
              </w:rPr>
              <w:t xml:space="preserve"> разходи</w:t>
            </w:r>
            <w:r w:rsidR="007D1A5E">
              <w:rPr>
                <w:b/>
                <w:bCs/>
                <w:lang w:val="bg-BG"/>
              </w:rPr>
              <w:t>-</w:t>
            </w:r>
            <w:r w:rsidR="006C3504" w:rsidRPr="006C3504">
              <w:rPr>
                <w:b/>
                <w:bCs/>
                <w:lang w:val="bg-BG"/>
              </w:rPr>
              <w:t>ползи и съображенията за конкуренция</w:t>
            </w:r>
            <w:r w:rsidR="007D1A5E">
              <w:rPr>
                <w:b/>
                <w:bCs/>
                <w:lang w:val="bg-BG"/>
              </w:rPr>
              <w:t>, като</w:t>
            </w:r>
            <w:r w:rsidR="006C3504" w:rsidRPr="006C3504">
              <w:rPr>
                <w:b/>
                <w:bCs/>
                <w:lang w:val="bg-BG"/>
              </w:rPr>
              <w:t xml:space="preserve"> редовно </w:t>
            </w:r>
            <w:r w:rsidR="007D1A5E">
              <w:rPr>
                <w:b/>
                <w:bCs/>
                <w:lang w:val="bg-BG"/>
              </w:rPr>
              <w:t xml:space="preserve">се </w:t>
            </w:r>
            <w:r w:rsidR="006C3504" w:rsidRPr="006C3504">
              <w:rPr>
                <w:b/>
                <w:bCs/>
                <w:lang w:val="bg-BG"/>
              </w:rPr>
              <w:t xml:space="preserve">оценява тяхната ефективност. </w:t>
            </w:r>
            <w:r w:rsidR="007D1A5E">
              <w:rPr>
                <w:bCs/>
                <w:lang w:val="bg-BG"/>
              </w:rPr>
              <w:t>Да се анализират</w:t>
            </w:r>
            <w:r w:rsidR="006C3504" w:rsidRPr="006C3504">
              <w:rPr>
                <w:bCs/>
                <w:lang w:val="bg-BG"/>
              </w:rPr>
              <w:t xml:space="preserve"> публичните средства, изразходвани за индустриални зони.</w:t>
            </w:r>
          </w:p>
        </w:tc>
        <w:tc>
          <w:tcPr>
            <w:tcW w:w="3260" w:type="dxa"/>
            <w:tcBorders>
              <w:top w:val="single" w:sz="4" w:space="0" w:color="5B9BD5" w:themeColor="accent1"/>
            </w:tcBorders>
          </w:tcPr>
          <w:p w14:paraId="10589961" w14:textId="77777777" w:rsidR="006C3504" w:rsidRDefault="00171C72" w:rsidP="00970270">
            <w:pPr>
              <w:pStyle w:val="TableCell"/>
              <w:jc w:val="both"/>
              <w:rPr>
                <w:b/>
                <w:lang w:val="bg-BG"/>
              </w:rPr>
            </w:pPr>
            <w:r w:rsidRPr="00303576">
              <w:rPr>
                <w:b/>
                <w:lang w:val="bg-BG"/>
              </w:rPr>
              <w:t>Република България изразява</w:t>
            </w:r>
            <w:r w:rsidR="00D117C2">
              <w:rPr>
                <w:b/>
                <w:lang w:val="bg-BG"/>
              </w:rPr>
              <w:t xml:space="preserve"> принципно</w:t>
            </w:r>
            <w:r w:rsidRPr="00303576">
              <w:rPr>
                <w:b/>
                <w:lang w:val="bg-BG"/>
              </w:rPr>
              <w:t xml:space="preserve"> съгласие с препоръката.</w:t>
            </w:r>
          </w:p>
          <w:p w14:paraId="3200E3EC" w14:textId="77777777" w:rsidR="00D117C2" w:rsidRPr="006C3504" w:rsidRDefault="00DF5E46" w:rsidP="000B124A">
            <w:pPr>
              <w:pStyle w:val="TableCell"/>
              <w:jc w:val="both"/>
              <w:rPr>
                <w:bCs/>
                <w:lang w:val="bg-BG"/>
              </w:rPr>
            </w:pPr>
            <w:r>
              <w:rPr>
                <w:b/>
                <w:bCs/>
                <w:i/>
                <w:u w:val="single"/>
                <w:lang w:val="bg-BG"/>
              </w:rPr>
              <w:t>Коментар</w:t>
            </w:r>
            <w:r w:rsidR="00960C8B" w:rsidRPr="009E25EC">
              <w:rPr>
                <w:b/>
                <w:bCs/>
                <w:i/>
                <w:u w:val="single"/>
                <w:lang w:val="bg-BG"/>
              </w:rPr>
              <w:t>:</w:t>
            </w:r>
            <w:r w:rsidR="00960C8B" w:rsidRPr="00960C8B">
              <w:rPr>
                <w:lang w:val="bg-BG"/>
              </w:rPr>
              <w:t xml:space="preserve"> </w:t>
            </w:r>
            <w:r w:rsidR="00960C8B">
              <w:rPr>
                <w:lang w:val="bg-BG"/>
              </w:rPr>
              <w:t xml:space="preserve">Следва да се има предвид, че и до този момент инвестиционните стимули включват административни услуги и финансови насърчителни мерки. С последните промени на нормативната рамка се въвеждат и ускорени и опростени процедури. </w:t>
            </w:r>
          </w:p>
        </w:tc>
      </w:tr>
      <w:tr w:rsidR="006C3504" w:rsidRPr="00005C86" w14:paraId="228C771B" w14:textId="77777777" w:rsidTr="00BD042C">
        <w:tc>
          <w:tcPr>
            <w:tcW w:w="2552" w:type="dxa"/>
          </w:tcPr>
          <w:p w14:paraId="6AACD3FC" w14:textId="77777777" w:rsidR="006C3504" w:rsidRPr="006C3504" w:rsidRDefault="00116896" w:rsidP="00116896">
            <w:pPr>
              <w:pStyle w:val="TableRow"/>
              <w:spacing w:before="60" w:after="60"/>
              <w:rPr>
                <w:lang w:val="bg-BG"/>
              </w:rPr>
            </w:pPr>
            <w:bookmarkStart w:id="0" w:name="_Hlk127191195"/>
            <w:r>
              <w:rPr>
                <w:lang w:val="bg-BG"/>
              </w:rPr>
              <w:t>Отпускането на заеми</w:t>
            </w:r>
            <w:r w:rsidR="006C3504" w:rsidRPr="006C3504">
              <w:rPr>
                <w:lang w:val="bg-BG"/>
              </w:rPr>
              <w:t xml:space="preserve"> е </w:t>
            </w:r>
            <w:r>
              <w:rPr>
                <w:lang w:val="bg-BG"/>
              </w:rPr>
              <w:t xml:space="preserve">базирано на </w:t>
            </w:r>
            <w:r w:rsidR="006C3504" w:rsidRPr="006C3504">
              <w:rPr>
                <w:lang w:val="bg-BG"/>
              </w:rPr>
              <w:t>обезпеч</w:t>
            </w:r>
            <w:r>
              <w:rPr>
                <w:lang w:val="bg-BG"/>
              </w:rPr>
              <w:t>аване, което е предимно</w:t>
            </w:r>
            <w:r w:rsidR="006C3504" w:rsidRPr="006C3504">
              <w:rPr>
                <w:lang w:val="bg-BG"/>
              </w:rPr>
              <w:t xml:space="preserve"> с недвижимо имущество.</w:t>
            </w:r>
          </w:p>
        </w:tc>
        <w:tc>
          <w:tcPr>
            <w:tcW w:w="3260" w:type="dxa"/>
          </w:tcPr>
          <w:p w14:paraId="034D6D73" w14:textId="77777777" w:rsidR="006C3504" w:rsidRPr="006C3504" w:rsidRDefault="00770035" w:rsidP="00770035">
            <w:pPr>
              <w:pStyle w:val="TableCell"/>
              <w:jc w:val="both"/>
              <w:rPr>
                <w:bCs/>
                <w:lang w:val="bg-BG"/>
              </w:rPr>
            </w:pPr>
            <w:r>
              <w:rPr>
                <w:bCs/>
                <w:lang w:val="bg-BG"/>
              </w:rPr>
              <w:t>Да се с</w:t>
            </w:r>
            <w:r w:rsidR="00DF0C69">
              <w:rPr>
                <w:bCs/>
                <w:lang w:val="bg-BG"/>
              </w:rPr>
              <w:t>ъзда</w:t>
            </w:r>
            <w:r>
              <w:rPr>
                <w:bCs/>
                <w:lang w:val="bg-BG"/>
              </w:rPr>
              <w:t>де</w:t>
            </w:r>
            <w:r w:rsidR="00DF0C69">
              <w:rPr>
                <w:bCs/>
                <w:lang w:val="bg-BG"/>
              </w:rPr>
              <w:t xml:space="preserve"> на</w:t>
            </w:r>
            <w:r w:rsidR="006C3504" w:rsidRPr="006C3504">
              <w:rPr>
                <w:bCs/>
                <w:lang w:val="bg-BG"/>
              </w:rPr>
              <w:t xml:space="preserve"> онлайн регистър на </w:t>
            </w:r>
            <w:proofErr w:type="spellStart"/>
            <w:r w:rsidR="006C3504" w:rsidRPr="006C3504">
              <w:rPr>
                <w:bCs/>
                <w:lang w:val="bg-BG"/>
              </w:rPr>
              <w:t>обезпеченията</w:t>
            </w:r>
            <w:proofErr w:type="spellEnd"/>
            <w:r w:rsidR="006C3504" w:rsidRPr="006C3504">
              <w:rPr>
                <w:bCs/>
                <w:lang w:val="bg-BG"/>
              </w:rPr>
              <w:t>, където да бъдат прослед</w:t>
            </w:r>
            <w:r w:rsidR="007D1A5E">
              <w:rPr>
                <w:bCs/>
                <w:lang w:val="bg-BG"/>
              </w:rPr>
              <w:t>ими</w:t>
            </w:r>
            <w:r w:rsidR="006C3504" w:rsidRPr="006C3504">
              <w:rPr>
                <w:bCs/>
                <w:lang w:val="bg-BG"/>
              </w:rPr>
              <w:t xml:space="preserve">, за да се повиши банковата </w:t>
            </w:r>
            <w:r w:rsidR="007D1A5E">
              <w:rPr>
                <w:bCs/>
                <w:lang w:val="bg-BG"/>
              </w:rPr>
              <w:t>пригодност</w:t>
            </w:r>
            <w:r w:rsidR="006C3504" w:rsidRPr="006C3504">
              <w:rPr>
                <w:bCs/>
                <w:lang w:val="bg-BG"/>
              </w:rPr>
              <w:t xml:space="preserve"> на фир</w:t>
            </w:r>
            <w:r w:rsidR="00DF0C69">
              <w:rPr>
                <w:bCs/>
                <w:lang w:val="bg-BG"/>
              </w:rPr>
              <w:t xml:space="preserve">мите с движими активи. </w:t>
            </w:r>
            <w:r w:rsidR="007D1A5E">
              <w:rPr>
                <w:bCs/>
                <w:lang w:val="bg-BG"/>
              </w:rPr>
              <w:t>Да се о</w:t>
            </w:r>
            <w:r w:rsidR="00DF0C69">
              <w:rPr>
                <w:bCs/>
                <w:lang w:val="bg-BG"/>
              </w:rPr>
              <w:t>бмисл</w:t>
            </w:r>
            <w:r w:rsidR="007D1A5E">
              <w:rPr>
                <w:bCs/>
                <w:lang w:val="bg-BG"/>
              </w:rPr>
              <w:t>и</w:t>
            </w:r>
            <w:r w:rsidR="006C3504" w:rsidRPr="006C3504">
              <w:rPr>
                <w:bCs/>
                <w:lang w:val="bg-BG"/>
              </w:rPr>
              <w:t xml:space="preserve"> приемането на интелектуална</w:t>
            </w:r>
            <w:r>
              <w:rPr>
                <w:bCs/>
                <w:lang w:val="bg-BG"/>
              </w:rPr>
              <w:t>та</w:t>
            </w:r>
            <w:r w:rsidR="006C3504" w:rsidRPr="006C3504">
              <w:rPr>
                <w:bCs/>
                <w:lang w:val="bg-BG"/>
              </w:rPr>
              <w:t xml:space="preserve"> собственост като обезпечение и </w:t>
            </w:r>
            <w:r w:rsidR="007D1A5E">
              <w:rPr>
                <w:bCs/>
                <w:lang w:val="bg-BG"/>
              </w:rPr>
              <w:t xml:space="preserve">да се </w:t>
            </w:r>
            <w:r w:rsidR="00F60689">
              <w:rPr>
                <w:bCs/>
                <w:lang w:val="bg-BG"/>
              </w:rPr>
              <w:t>разработи</w:t>
            </w:r>
            <w:r w:rsidR="006C3504" w:rsidRPr="006C3504">
              <w:rPr>
                <w:bCs/>
                <w:lang w:val="bg-BG"/>
              </w:rPr>
              <w:t xml:space="preserve"> правната рамка за това.</w:t>
            </w:r>
          </w:p>
        </w:tc>
        <w:tc>
          <w:tcPr>
            <w:tcW w:w="3260" w:type="dxa"/>
          </w:tcPr>
          <w:p w14:paraId="4C6C94C4" w14:textId="77777777" w:rsidR="006C3504" w:rsidRPr="00847D12" w:rsidRDefault="00847D12" w:rsidP="00970270">
            <w:pPr>
              <w:pStyle w:val="TableCell"/>
              <w:jc w:val="both"/>
              <w:rPr>
                <w:b/>
                <w:bCs/>
                <w:lang w:val="bg-BG"/>
              </w:rPr>
            </w:pPr>
            <w:r w:rsidRPr="00FD464B">
              <w:rPr>
                <w:b/>
                <w:bCs/>
                <w:lang w:val="bg-BG"/>
              </w:rPr>
              <w:t xml:space="preserve">Република България </w:t>
            </w:r>
            <w:r w:rsidR="00D30683" w:rsidRPr="00FD464B">
              <w:rPr>
                <w:b/>
                <w:bCs/>
                <w:lang w:val="bg-BG"/>
              </w:rPr>
              <w:t>изразява принципно съгласие</w:t>
            </w:r>
            <w:r w:rsidRPr="00FD464B">
              <w:rPr>
                <w:b/>
                <w:bCs/>
                <w:lang w:val="bg-BG"/>
              </w:rPr>
              <w:t xml:space="preserve"> с препоръката</w:t>
            </w:r>
            <w:r w:rsidR="00D30683" w:rsidRPr="00FD464B">
              <w:rPr>
                <w:b/>
                <w:bCs/>
                <w:lang w:val="bg-BG"/>
              </w:rPr>
              <w:t xml:space="preserve">, като предлага следната </w:t>
            </w:r>
            <w:r w:rsidR="00FD464B" w:rsidRPr="00FD464B">
              <w:rPr>
                <w:b/>
                <w:bCs/>
                <w:lang w:val="bg-BG"/>
              </w:rPr>
              <w:t>редакция:</w:t>
            </w:r>
          </w:p>
          <w:p w14:paraId="7C9401B0" w14:textId="77777777" w:rsidR="006C3504" w:rsidRDefault="006604C9" w:rsidP="00970270">
            <w:pPr>
              <w:pStyle w:val="TableCell"/>
              <w:jc w:val="both"/>
              <w:rPr>
                <w:bCs/>
                <w:lang w:val="bg-BG"/>
              </w:rPr>
            </w:pPr>
            <w:r w:rsidRPr="009E25EC">
              <w:rPr>
                <w:b/>
                <w:bCs/>
                <w:i/>
                <w:u w:val="single"/>
                <w:lang w:val="bg-BG"/>
              </w:rPr>
              <w:t>Предложение за редакция:</w:t>
            </w:r>
            <w:r>
              <w:rPr>
                <w:bCs/>
                <w:lang w:val="bg-BG"/>
              </w:rPr>
              <w:t xml:space="preserve"> </w:t>
            </w:r>
            <w:r w:rsidR="00D30683" w:rsidRPr="00D30683">
              <w:rPr>
                <w:bCs/>
                <w:lang w:val="bg-BG"/>
              </w:rPr>
              <w:t xml:space="preserve">Да се създаде на онлайн регистър на </w:t>
            </w:r>
            <w:proofErr w:type="spellStart"/>
            <w:r w:rsidR="00D30683" w:rsidRPr="00D30683">
              <w:rPr>
                <w:bCs/>
                <w:lang w:val="bg-BG"/>
              </w:rPr>
              <w:t>обезпеченията</w:t>
            </w:r>
            <w:proofErr w:type="spellEnd"/>
            <w:r w:rsidR="00D30683" w:rsidRPr="00D30683">
              <w:rPr>
                <w:bCs/>
                <w:lang w:val="bg-BG"/>
              </w:rPr>
              <w:t xml:space="preserve">, където да бъдат проследими, за да се повиши банковата пригодност на фирмите </w:t>
            </w:r>
            <w:r w:rsidR="00D30683" w:rsidRPr="00D30683">
              <w:rPr>
                <w:bCs/>
                <w:strike/>
                <w:lang w:val="bg-BG"/>
              </w:rPr>
              <w:t>с движими активи</w:t>
            </w:r>
            <w:r w:rsidR="00D30683" w:rsidRPr="00D30683">
              <w:rPr>
                <w:bCs/>
                <w:lang w:val="bg-BG"/>
              </w:rPr>
              <w:t>.</w:t>
            </w:r>
            <w:r w:rsidR="00D30683">
              <w:rPr>
                <w:bCs/>
                <w:lang w:val="bg-BG"/>
              </w:rPr>
              <w:t xml:space="preserve"> </w:t>
            </w:r>
            <w:r w:rsidR="00D30683" w:rsidRPr="00D30683">
              <w:rPr>
                <w:bCs/>
                <w:lang w:val="bg-BG"/>
              </w:rPr>
              <w:t>Да се обмисли приемането на интелектуалната собственост като обезпечение и да се разработи правната рамка за това.</w:t>
            </w:r>
          </w:p>
          <w:p w14:paraId="5511AFA7" w14:textId="77777777" w:rsidR="00D30683" w:rsidRPr="006C3504" w:rsidRDefault="00DF5E46" w:rsidP="00D30683">
            <w:pPr>
              <w:pStyle w:val="TableCell"/>
              <w:jc w:val="both"/>
              <w:rPr>
                <w:bCs/>
                <w:lang w:val="bg-BG"/>
              </w:rPr>
            </w:pPr>
            <w:r w:rsidRPr="00846FCB">
              <w:rPr>
                <w:b/>
                <w:i/>
                <w:szCs w:val="17"/>
                <w:u w:val="single"/>
                <w:lang w:val="bg-BG"/>
              </w:rPr>
              <w:t>Мотиви</w:t>
            </w:r>
            <w:r w:rsidR="003323FD" w:rsidRPr="009E25EC">
              <w:rPr>
                <w:b/>
                <w:bCs/>
                <w:i/>
                <w:u w:val="single"/>
                <w:lang w:val="bg-BG"/>
              </w:rPr>
              <w:t>:</w:t>
            </w:r>
            <w:r w:rsidR="003323FD">
              <w:rPr>
                <w:bCs/>
                <w:lang w:val="bg-BG"/>
              </w:rPr>
              <w:t xml:space="preserve"> Б</w:t>
            </w:r>
            <w:r w:rsidR="00D30683">
              <w:rPr>
                <w:bCs/>
                <w:lang w:val="bg-BG"/>
              </w:rPr>
              <w:t>анковата система в България е консервативна и със силен акцент върху стабилността. Бързо намаляващата стойност на движимите активи би създало трудности при използването им като обезпечение</w:t>
            </w:r>
            <w:r w:rsidR="00FD2616">
              <w:rPr>
                <w:bCs/>
                <w:lang w:val="bg-BG"/>
              </w:rPr>
              <w:t>.</w:t>
            </w:r>
          </w:p>
        </w:tc>
      </w:tr>
      <w:tr w:rsidR="006C3504" w:rsidRPr="00005C86" w14:paraId="76E06288" w14:textId="77777777" w:rsidTr="00BD042C">
        <w:tc>
          <w:tcPr>
            <w:tcW w:w="2552" w:type="dxa"/>
            <w:tcBorders>
              <w:top w:val="single" w:sz="4" w:space="0" w:color="5B9BD5" w:themeColor="accent1"/>
            </w:tcBorders>
          </w:tcPr>
          <w:p w14:paraId="01C20DB2" w14:textId="77777777" w:rsidR="006C3504" w:rsidRPr="006C3504" w:rsidRDefault="00F60689" w:rsidP="00F60689">
            <w:pPr>
              <w:pStyle w:val="TableRow"/>
              <w:spacing w:before="60" w:after="60"/>
              <w:rPr>
                <w:lang w:val="bg-BG" w:eastAsia="zh-CN"/>
              </w:rPr>
            </w:pPr>
            <w:proofErr w:type="spellStart"/>
            <w:r>
              <w:rPr>
                <w:lang w:val="bg-BG" w:eastAsia="zh-CN"/>
              </w:rPr>
              <w:t>Д</w:t>
            </w:r>
            <w:r w:rsidR="006C3504" w:rsidRPr="006C3504">
              <w:rPr>
                <w:lang w:val="bg-BG" w:eastAsia="zh-CN"/>
              </w:rPr>
              <w:t>ивид</w:t>
            </w:r>
            <w:r w:rsidR="00813DD3">
              <w:rPr>
                <w:lang w:val="bg-BG" w:eastAsia="zh-CN"/>
              </w:rPr>
              <w:t>ент</w:t>
            </w:r>
            <w:r>
              <w:rPr>
                <w:lang w:val="bg-BG" w:eastAsia="zh-CN"/>
              </w:rPr>
              <w:t>ната</w:t>
            </w:r>
            <w:proofErr w:type="spellEnd"/>
            <w:r>
              <w:rPr>
                <w:lang w:val="bg-BG" w:eastAsia="zh-CN"/>
              </w:rPr>
              <w:t xml:space="preserve"> </w:t>
            </w:r>
            <w:r w:rsidR="00AA13B8">
              <w:rPr>
                <w:lang w:val="bg-BG" w:eastAsia="zh-CN"/>
              </w:rPr>
              <w:t>политика</w:t>
            </w:r>
            <w:r w:rsidR="00813DD3">
              <w:rPr>
                <w:lang w:val="bg-BG" w:eastAsia="zh-CN"/>
              </w:rPr>
              <w:t xml:space="preserve"> на държавните предприятия е</w:t>
            </w:r>
            <w:r w:rsidR="006C3504" w:rsidRPr="006C3504">
              <w:rPr>
                <w:lang w:val="bg-BG" w:eastAsia="zh-CN"/>
              </w:rPr>
              <w:t xml:space="preserve"> непредвидим</w:t>
            </w:r>
            <w:r w:rsidR="00813DD3">
              <w:rPr>
                <w:lang w:val="bg-BG" w:eastAsia="zh-CN"/>
              </w:rPr>
              <w:t>а</w:t>
            </w:r>
            <w:r w:rsidR="006C3504" w:rsidRPr="006C3504">
              <w:rPr>
                <w:lang w:val="bg-BG" w:eastAsia="zh-CN"/>
              </w:rPr>
              <w:t xml:space="preserve"> и </w:t>
            </w:r>
            <w:r w:rsidR="00813DD3">
              <w:rPr>
                <w:lang w:val="bg-BG" w:eastAsia="zh-CN"/>
              </w:rPr>
              <w:t xml:space="preserve">създава </w:t>
            </w:r>
            <w:r w:rsidR="006C3504" w:rsidRPr="006C3504">
              <w:rPr>
                <w:lang w:val="bg-BG" w:eastAsia="zh-CN"/>
              </w:rPr>
              <w:t>труд</w:t>
            </w:r>
            <w:r w:rsidR="00813DD3">
              <w:rPr>
                <w:lang w:val="bg-BG" w:eastAsia="zh-CN"/>
              </w:rPr>
              <w:t>ности за</w:t>
            </w:r>
            <w:r w:rsidR="006C3504" w:rsidRPr="006C3504">
              <w:rPr>
                <w:lang w:val="bg-BG" w:eastAsia="zh-CN"/>
              </w:rPr>
              <w:t xml:space="preserve"> мениджърите при планиране на инвестиции</w:t>
            </w:r>
            <w:r w:rsidR="00813DD3">
              <w:rPr>
                <w:lang w:val="bg-BG" w:eastAsia="zh-CN"/>
              </w:rPr>
              <w:t>те</w:t>
            </w:r>
            <w:r w:rsidR="006C3504" w:rsidRPr="006C3504">
              <w:rPr>
                <w:lang w:val="bg-BG" w:eastAsia="zh-CN"/>
              </w:rPr>
              <w:t>.</w:t>
            </w:r>
          </w:p>
        </w:tc>
        <w:tc>
          <w:tcPr>
            <w:tcW w:w="3260" w:type="dxa"/>
            <w:tcBorders>
              <w:top w:val="single" w:sz="4" w:space="0" w:color="5B9BD5" w:themeColor="accent1"/>
            </w:tcBorders>
          </w:tcPr>
          <w:p w14:paraId="0C9412B3" w14:textId="77777777" w:rsidR="006C3504" w:rsidRPr="006C3504" w:rsidRDefault="00770035" w:rsidP="00770035">
            <w:pPr>
              <w:pStyle w:val="TableCell"/>
              <w:jc w:val="both"/>
              <w:rPr>
                <w:bCs/>
                <w:lang w:val="bg-BG"/>
              </w:rPr>
            </w:pPr>
            <w:r>
              <w:rPr>
                <w:bCs/>
                <w:lang w:val="bg-BG"/>
              </w:rPr>
              <w:t>Да се в</w:t>
            </w:r>
            <w:r w:rsidR="00116896">
              <w:rPr>
                <w:bCs/>
                <w:lang w:val="bg-BG"/>
              </w:rPr>
              <w:t>ъве</w:t>
            </w:r>
            <w:r>
              <w:rPr>
                <w:bCs/>
                <w:lang w:val="bg-BG"/>
              </w:rPr>
              <w:t>де</w:t>
            </w:r>
            <w:r w:rsidR="006C3504" w:rsidRPr="006C3504">
              <w:rPr>
                <w:bCs/>
                <w:lang w:val="bg-BG"/>
              </w:rPr>
              <w:t xml:space="preserve"> предвидима </w:t>
            </w:r>
            <w:proofErr w:type="spellStart"/>
            <w:r w:rsidR="00AA13B8">
              <w:rPr>
                <w:bCs/>
                <w:lang w:val="bg-BG"/>
              </w:rPr>
              <w:t>дивидентна</w:t>
            </w:r>
            <w:proofErr w:type="spellEnd"/>
            <w:r w:rsidR="00AA13B8">
              <w:rPr>
                <w:bCs/>
                <w:lang w:val="bg-BG"/>
              </w:rPr>
              <w:t xml:space="preserve"> </w:t>
            </w:r>
            <w:r w:rsidR="006C3504" w:rsidRPr="006C3504">
              <w:rPr>
                <w:bCs/>
                <w:lang w:val="bg-BG"/>
              </w:rPr>
              <w:t xml:space="preserve">политика за държавните предприятия, </w:t>
            </w:r>
            <w:r w:rsidR="00AA13B8">
              <w:rPr>
                <w:bCs/>
                <w:lang w:val="bg-BG"/>
              </w:rPr>
              <w:t>което да позволи повече</w:t>
            </w:r>
            <w:r w:rsidR="006C3504" w:rsidRPr="006C3504">
              <w:rPr>
                <w:bCs/>
                <w:lang w:val="bg-BG"/>
              </w:rPr>
              <w:t xml:space="preserve"> инвестиции </w:t>
            </w:r>
            <w:r w:rsidR="006C3504" w:rsidRPr="00AA13B8">
              <w:rPr>
                <w:bCs/>
                <w:lang w:val="bg-BG"/>
              </w:rPr>
              <w:t xml:space="preserve">и повече печалби за този сегмент на </w:t>
            </w:r>
            <w:r w:rsidR="00AA13B8" w:rsidRPr="00932087">
              <w:rPr>
                <w:bCs/>
                <w:lang w:val="bg-BG"/>
              </w:rPr>
              <w:t>публичния</w:t>
            </w:r>
            <w:r w:rsidR="006C3504" w:rsidRPr="00AA13B8">
              <w:rPr>
                <w:bCs/>
                <w:lang w:val="bg-BG"/>
              </w:rPr>
              <w:t xml:space="preserve"> сектор</w:t>
            </w:r>
            <w:r w:rsidR="006C3504" w:rsidRPr="006C3504">
              <w:rPr>
                <w:bCs/>
                <w:lang w:val="bg-BG"/>
              </w:rPr>
              <w:t>.</w:t>
            </w:r>
          </w:p>
        </w:tc>
        <w:tc>
          <w:tcPr>
            <w:tcW w:w="3260" w:type="dxa"/>
            <w:tcBorders>
              <w:top w:val="single" w:sz="4" w:space="0" w:color="5B9BD5" w:themeColor="accent1"/>
            </w:tcBorders>
          </w:tcPr>
          <w:p w14:paraId="279E16E0" w14:textId="77777777" w:rsidR="006C3504" w:rsidRPr="00FD464B" w:rsidRDefault="00E30D8C" w:rsidP="00D83A7C">
            <w:pPr>
              <w:pStyle w:val="TableCell"/>
              <w:jc w:val="both"/>
              <w:rPr>
                <w:b/>
                <w:bCs/>
                <w:lang w:val="bg-BG"/>
              </w:rPr>
            </w:pPr>
            <w:r w:rsidRPr="00FD464B">
              <w:rPr>
                <w:b/>
                <w:bCs/>
                <w:lang w:val="bg-BG"/>
              </w:rPr>
              <w:t>Република България изразява съгласие с препоръката</w:t>
            </w:r>
            <w:r>
              <w:rPr>
                <w:b/>
                <w:bCs/>
                <w:lang w:val="bg-BG"/>
              </w:rPr>
              <w:t xml:space="preserve">, със следния коментар: </w:t>
            </w:r>
            <w:r w:rsidRPr="00391414">
              <w:rPr>
                <w:bCs/>
                <w:lang w:val="bg-BG"/>
              </w:rPr>
              <w:t xml:space="preserve">Информация относно </w:t>
            </w:r>
            <w:proofErr w:type="spellStart"/>
            <w:r w:rsidRPr="00391414">
              <w:rPr>
                <w:bCs/>
                <w:lang w:val="bg-BG"/>
              </w:rPr>
              <w:t>дивидентната</w:t>
            </w:r>
            <w:proofErr w:type="spellEnd"/>
            <w:r w:rsidRPr="00391414">
              <w:rPr>
                <w:bCs/>
                <w:lang w:val="bg-BG"/>
              </w:rPr>
              <w:t xml:space="preserve"> политика на страната се съдържа в Актуализираната средносрочна </w:t>
            </w:r>
            <w:r>
              <w:rPr>
                <w:bCs/>
                <w:lang w:val="bg-BG"/>
              </w:rPr>
              <w:t xml:space="preserve">бюджетна </w:t>
            </w:r>
            <w:r w:rsidRPr="00391414">
              <w:rPr>
                <w:bCs/>
                <w:lang w:val="bg-BG"/>
              </w:rPr>
              <w:t>прогноза за съответния период. В този смисъл считаме, че е налице предвидимост, позволяваща планиране на инвестициите.</w:t>
            </w:r>
          </w:p>
        </w:tc>
      </w:tr>
      <w:tr w:rsidR="006C3504" w:rsidRPr="00005C86" w14:paraId="2D90CCE6" w14:textId="77777777" w:rsidTr="00BD042C">
        <w:tc>
          <w:tcPr>
            <w:tcW w:w="2552" w:type="dxa"/>
            <w:tcBorders>
              <w:top w:val="single" w:sz="4" w:space="0" w:color="5B9BD5" w:themeColor="accent1"/>
            </w:tcBorders>
          </w:tcPr>
          <w:p w14:paraId="19310431" w14:textId="77777777" w:rsidR="006C3504" w:rsidRPr="006C3504" w:rsidRDefault="00970270" w:rsidP="00813DD3">
            <w:pPr>
              <w:pStyle w:val="TableRow"/>
              <w:spacing w:before="60" w:after="60"/>
              <w:rPr>
                <w:lang w:val="bg-BG" w:eastAsia="zh-CN"/>
              </w:rPr>
            </w:pPr>
            <w:r>
              <w:rPr>
                <w:lang w:val="bg-BG"/>
              </w:rPr>
              <w:t xml:space="preserve">Преките чуждестранни инвестиции (ПЧИ) </w:t>
            </w:r>
            <w:r w:rsidR="00813DD3">
              <w:rPr>
                <w:lang w:val="bg-BG" w:eastAsia="zh-CN"/>
              </w:rPr>
              <w:t>могат</w:t>
            </w:r>
            <w:r w:rsidR="006C3504" w:rsidRPr="006C3504">
              <w:rPr>
                <w:lang w:val="bg-BG" w:eastAsia="zh-CN"/>
              </w:rPr>
              <w:t xml:space="preserve"> да </w:t>
            </w:r>
            <w:r w:rsidR="00813DD3">
              <w:rPr>
                <w:lang w:val="bg-BG" w:eastAsia="zh-CN"/>
              </w:rPr>
              <w:t>имат</w:t>
            </w:r>
            <w:r w:rsidR="006C3504" w:rsidRPr="006C3504">
              <w:rPr>
                <w:lang w:val="bg-BG" w:eastAsia="zh-CN"/>
              </w:rPr>
              <w:t xml:space="preserve"> по-важна роля в развитието на дейности с висок</w:t>
            </w:r>
            <w:r w:rsidR="00813DD3">
              <w:rPr>
                <w:lang w:val="bg-BG" w:eastAsia="zh-CN"/>
              </w:rPr>
              <w:t>а</w:t>
            </w:r>
            <w:r w:rsidR="006C3504" w:rsidRPr="006C3504">
              <w:rPr>
                <w:lang w:val="bg-BG" w:eastAsia="zh-CN"/>
              </w:rPr>
              <w:t xml:space="preserve"> добавена стойност и </w:t>
            </w:r>
            <w:r w:rsidR="00813DD3">
              <w:rPr>
                <w:lang w:val="bg-BG" w:eastAsia="zh-CN"/>
              </w:rPr>
              <w:t xml:space="preserve">в </w:t>
            </w:r>
            <w:r>
              <w:rPr>
                <w:lang w:val="bg-BG" w:eastAsia="zh-CN"/>
              </w:rPr>
              <w:t>създаването</w:t>
            </w:r>
            <w:r w:rsidR="006C3504" w:rsidRPr="006C3504">
              <w:rPr>
                <w:lang w:val="bg-BG" w:eastAsia="zh-CN"/>
              </w:rPr>
              <w:t xml:space="preserve"> на странични ефекти за местните фирми.</w:t>
            </w:r>
          </w:p>
        </w:tc>
        <w:tc>
          <w:tcPr>
            <w:tcW w:w="3260" w:type="dxa"/>
            <w:tcBorders>
              <w:top w:val="single" w:sz="4" w:space="0" w:color="5B9BD5" w:themeColor="accent1"/>
            </w:tcBorders>
          </w:tcPr>
          <w:p w14:paraId="087A8294" w14:textId="77777777" w:rsidR="006C3504" w:rsidRPr="006C3504" w:rsidRDefault="00770035" w:rsidP="00770035">
            <w:pPr>
              <w:pStyle w:val="TableCell"/>
              <w:jc w:val="both"/>
              <w:rPr>
                <w:lang w:val="bg-BG"/>
              </w:rPr>
            </w:pPr>
            <w:r>
              <w:rPr>
                <w:lang w:val="bg-BG"/>
              </w:rPr>
              <w:t>Да се у</w:t>
            </w:r>
            <w:r w:rsidR="00DF0C69">
              <w:rPr>
                <w:lang w:val="bg-BG"/>
              </w:rPr>
              <w:t>велич</w:t>
            </w:r>
            <w:r>
              <w:rPr>
                <w:lang w:val="bg-BG"/>
              </w:rPr>
              <w:t>и</w:t>
            </w:r>
            <w:r w:rsidR="00DF0C69">
              <w:rPr>
                <w:lang w:val="bg-BG"/>
              </w:rPr>
              <w:t xml:space="preserve"> </w:t>
            </w:r>
            <w:r w:rsidR="006C3504" w:rsidRPr="006C3504">
              <w:rPr>
                <w:lang w:val="bg-BG"/>
              </w:rPr>
              <w:t xml:space="preserve">капацитета на </w:t>
            </w:r>
            <w:r w:rsidR="00DF0C69">
              <w:rPr>
                <w:lang w:val="bg-BG"/>
              </w:rPr>
              <w:t xml:space="preserve">„Българска агенция за инвестиции“ и </w:t>
            </w:r>
            <w:r>
              <w:rPr>
                <w:lang w:val="bg-BG"/>
              </w:rPr>
              <w:t xml:space="preserve">да се </w:t>
            </w:r>
            <w:r w:rsidR="00DF0C69">
              <w:rPr>
                <w:lang w:val="bg-BG"/>
              </w:rPr>
              <w:t>изготв</w:t>
            </w:r>
            <w:r>
              <w:rPr>
                <w:lang w:val="bg-BG"/>
              </w:rPr>
              <w:t>и</w:t>
            </w:r>
            <w:r w:rsidR="006C3504" w:rsidRPr="006C3504">
              <w:rPr>
                <w:lang w:val="bg-BG"/>
              </w:rPr>
              <w:t xml:space="preserve"> цялостен преглед на стимулите за насърчаване на ПЧИ.</w:t>
            </w:r>
          </w:p>
        </w:tc>
        <w:tc>
          <w:tcPr>
            <w:tcW w:w="3260" w:type="dxa"/>
            <w:tcBorders>
              <w:top w:val="single" w:sz="4" w:space="0" w:color="5B9BD5" w:themeColor="accent1"/>
            </w:tcBorders>
          </w:tcPr>
          <w:p w14:paraId="5EF012C6" w14:textId="77777777" w:rsidR="006C3504" w:rsidRDefault="00847D12" w:rsidP="00970270">
            <w:pPr>
              <w:pStyle w:val="TableCell"/>
              <w:jc w:val="both"/>
              <w:rPr>
                <w:b/>
                <w:lang w:val="bg-BG"/>
              </w:rPr>
            </w:pPr>
            <w:r w:rsidRPr="00FD464B">
              <w:rPr>
                <w:b/>
                <w:lang w:val="bg-BG"/>
              </w:rPr>
              <w:t>Република България изразява съгласие с препоръката.</w:t>
            </w:r>
          </w:p>
          <w:p w14:paraId="3B0D19CF" w14:textId="77777777" w:rsidR="00960C8B" w:rsidRDefault="00DF5E46" w:rsidP="00960C8B">
            <w:pPr>
              <w:pStyle w:val="TableCell"/>
              <w:jc w:val="both"/>
              <w:rPr>
                <w:lang w:val="bg-BG"/>
              </w:rPr>
            </w:pPr>
            <w:r>
              <w:rPr>
                <w:b/>
                <w:bCs/>
                <w:i/>
                <w:u w:val="single"/>
                <w:lang w:val="bg-BG"/>
              </w:rPr>
              <w:t>Коментар</w:t>
            </w:r>
            <w:r w:rsidR="00960C8B" w:rsidRPr="009E25EC">
              <w:rPr>
                <w:b/>
                <w:bCs/>
                <w:i/>
                <w:u w:val="single"/>
                <w:lang w:val="bg-BG"/>
              </w:rPr>
              <w:t>:</w:t>
            </w:r>
            <w:r w:rsidR="00960C8B" w:rsidRPr="00960C8B">
              <w:rPr>
                <w:lang w:val="bg-BG"/>
              </w:rPr>
              <w:t xml:space="preserve"> </w:t>
            </w:r>
            <w:r w:rsidR="00960C8B">
              <w:rPr>
                <w:lang w:val="bg-BG"/>
              </w:rPr>
              <w:t>Повишаването на капацитета на структурите на Министерството на иновациите</w:t>
            </w:r>
            <w:r w:rsidR="007962CB">
              <w:rPr>
                <w:lang w:val="bg-BG"/>
              </w:rPr>
              <w:t xml:space="preserve"> и растежа</w:t>
            </w:r>
            <w:r w:rsidR="00960C8B">
              <w:rPr>
                <w:lang w:val="bg-BG"/>
              </w:rPr>
              <w:t xml:space="preserve"> и Българската агенция за инвестиции е ключова част от стратегията ни, като също така мярката е включена и в Програмата за управление на България за периода 2025-2029 г. </w:t>
            </w:r>
          </w:p>
          <w:p w14:paraId="00A3F8EA" w14:textId="77777777" w:rsidR="00960C8B" w:rsidRPr="00FD464B" w:rsidRDefault="00960C8B" w:rsidP="00960C8B">
            <w:pPr>
              <w:pStyle w:val="TableCell"/>
              <w:jc w:val="both"/>
              <w:rPr>
                <w:b/>
                <w:lang w:val="bg-BG"/>
              </w:rPr>
            </w:pPr>
            <w:r>
              <w:rPr>
                <w:lang w:val="bg-BG"/>
              </w:rPr>
              <w:t>България се стреми да стимулира инвестициите във високотехнологичния сектор и секторите с висока добавена стойност, за което свидетелстват и извършените в последно време промени в нормативната рамка.</w:t>
            </w:r>
          </w:p>
        </w:tc>
      </w:tr>
      <w:tr w:rsidR="006C3504" w:rsidRPr="00005C86" w14:paraId="2DD56E74" w14:textId="77777777" w:rsidTr="00BD042C">
        <w:tc>
          <w:tcPr>
            <w:tcW w:w="2552" w:type="dxa"/>
            <w:tcBorders>
              <w:bottom w:val="single" w:sz="4" w:space="0" w:color="5B9BD5" w:themeColor="accent1"/>
            </w:tcBorders>
          </w:tcPr>
          <w:p w14:paraId="27116D9F" w14:textId="77777777" w:rsidR="006C3504" w:rsidRPr="006C3504" w:rsidRDefault="006C3504" w:rsidP="00970270">
            <w:pPr>
              <w:pStyle w:val="TableRow"/>
              <w:spacing w:before="60" w:after="60"/>
              <w:rPr>
                <w:lang w:val="bg-BG"/>
              </w:rPr>
            </w:pPr>
            <w:bookmarkStart w:id="1" w:name="_Hlk123842829"/>
            <w:bookmarkEnd w:id="0"/>
            <w:r w:rsidRPr="006C3504">
              <w:rPr>
                <w:lang w:val="bg-BG"/>
              </w:rPr>
              <w:t xml:space="preserve">Ограниченията за </w:t>
            </w:r>
            <w:r w:rsidR="00970270">
              <w:rPr>
                <w:lang w:val="bg-BG"/>
              </w:rPr>
              <w:t>ПЧИ</w:t>
            </w:r>
            <w:r w:rsidR="00DF0C69">
              <w:rPr>
                <w:lang w:val="bg-BG"/>
              </w:rPr>
              <w:t xml:space="preserve"> </w:t>
            </w:r>
            <w:r w:rsidRPr="006C3504">
              <w:rPr>
                <w:lang w:val="bg-BG"/>
              </w:rPr>
              <w:t xml:space="preserve">остават по-високи от тези в държавите от </w:t>
            </w:r>
            <w:proofErr w:type="spellStart"/>
            <w:r w:rsidRPr="006C3504">
              <w:rPr>
                <w:lang w:val="bg-BG"/>
              </w:rPr>
              <w:t>Вишеградската</w:t>
            </w:r>
            <w:proofErr w:type="spellEnd"/>
            <w:r w:rsidRPr="006C3504">
              <w:rPr>
                <w:lang w:val="bg-BG"/>
              </w:rPr>
              <w:t xml:space="preserve"> група и в много други държави от ОИСР. Ограниченията на чуждестранните капиталови участия, както и на чуждестранния персонал в отрасли като хранително-вкусовата промишленост или дървообработването и хартиената промишленост ограничават чуждестранните инвестиции.</w:t>
            </w:r>
          </w:p>
        </w:tc>
        <w:tc>
          <w:tcPr>
            <w:tcW w:w="3260" w:type="dxa"/>
            <w:tcBorders>
              <w:bottom w:val="single" w:sz="4" w:space="0" w:color="5B9BD5" w:themeColor="accent1"/>
            </w:tcBorders>
          </w:tcPr>
          <w:p w14:paraId="62A7387A" w14:textId="77777777" w:rsidR="006C3504" w:rsidRPr="006C3504" w:rsidRDefault="00770035" w:rsidP="00770035">
            <w:pPr>
              <w:pStyle w:val="TableCell"/>
              <w:jc w:val="both"/>
              <w:rPr>
                <w:lang w:val="bg-BG"/>
              </w:rPr>
            </w:pPr>
            <w:r>
              <w:rPr>
                <w:lang w:val="bg-BG"/>
              </w:rPr>
              <w:t>Да се о</w:t>
            </w:r>
            <w:r w:rsidR="00DF0C69">
              <w:rPr>
                <w:lang w:val="bg-BG"/>
              </w:rPr>
              <w:t>блекч</w:t>
            </w:r>
            <w:r w:rsidR="00970270">
              <w:rPr>
                <w:lang w:val="bg-BG"/>
              </w:rPr>
              <w:t>а</w:t>
            </w:r>
            <w:r>
              <w:rPr>
                <w:lang w:val="bg-BG"/>
              </w:rPr>
              <w:t>т</w:t>
            </w:r>
            <w:r w:rsidR="00DF0C69">
              <w:rPr>
                <w:lang w:val="bg-BG"/>
              </w:rPr>
              <w:t xml:space="preserve"> ограниченията за </w:t>
            </w:r>
            <w:r w:rsidR="00970270">
              <w:rPr>
                <w:lang w:val="bg-BG"/>
              </w:rPr>
              <w:t>ПЧИ</w:t>
            </w:r>
            <w:r w:rsidR="006C3504" w:rsidRPr="006C3504">
              <w:rPr>
                <w:lang w:val="bg-BG"/>
              </w:rPr>
              <w:t xml:space="preserve">, като например достъпа до земя и недвижими имоти за бизнес цели, дискриминацията при обществените поръчки и изискванията за реципрочност </w:t>
            </w:r>
            <w:r>
              <w:rPr>
                <w:lang w:val="bg-BG"/>
              </w:rPr>
              <w:t>за чуждестранните инвеститори. Да се о</w:t>
            </w:r>
            <w:r w:rsidR="006C3504" w:rsidRPr="006C3504">
              <w:rPr>
                <w:lang w:val="bg-BG"/>
              </w:rPr>
              <w:t>блекч</w:t>
            </w:r>
            <w:r w:rsidR="00970270">
              <w:rPr>
                <w:lang w:val="bg-BG"/>
              </w:rPr>
              <w:t>а</w:t>
            </w:r>
            <w:r>
              <w:rPr>
                <w:lang w:val="bg-BG"/>
              </w:rPr>
              <w:t>т</w:t>
            </w:r>
            <w:r w:rsidR="006C3504" w:rsidRPr="006C3504">
              <w:rPr>
                <w:lang w:val="bg-BG"/>
              </w:rPr>
              <w:t xml:space="preserve"> ограниченията върху чуждестранните капиталови участия и на чуждестран</w:t>
            </w:r>
            <w:r w:rsidR="00970270">
              <w:rPr>
                <w:lang w:val="bg-BG"/>
              </w:rPr>
              <w:t>е</w:t>
            </w:r>
            <w:r w:rsidR="006C3504" w:rsidRPr="006C3504">
              <w:rPr>
                <w:lang w:val="bg-BG"/>
              </w:rPr>
              <w:t>н персонал.</w:t>
            </w:r>
          </w:p>
        </w:tc>
        <w:tc>
          <w:tcPr>
            <w:tcW w:w="3260" w:type="dxa"/>
            <w:tcBorders>
              <w:bottom w:val="single" w:sz="4" w:space="0" w:color="5B9BD5" w:themeColor="accent1"/>
            </w:tcBorders>
          </w:tcPr>
          <w:p w14:paraId="442E7BFF" w14:textId="77777777" w:rsidR="006C3504" w:rsidRPr="00FD464B" w:rsidRDefault="00847D12" w:rsidP="00970270">
            <w:pPr>
              <w:pStyle w:val="TableCell"/>
              <w:jc w:val="both"/>
              <w:rPr>
                <w:b/>
                <w:lang w:val="bg-BG"/>
              </w:rPr>
            </w:pPr>
            <w:r w:rsidRPr="00FD464B">
              <w:rPr>
                <w:b/>
                <w:lang w:val="bg-BG"/>
              </w:rPr>
              <w:t>Република България изразява съгласие с препоръката.</w:t>
            </w:r>
          </w:p>
          <w:p w14:paraId="4657B55C" w14:textId="77777777" w:rsidR="00D30683" w:rsidRPr="00FD464B" w:rsidRDefault="00DF5E46" w:rsidP="00970270">
            <w:pPr>
              <w:pStyle w:val="TableCell"/>
              <w:jc w:val="both"/>
              <w:rPr>
                <w:b/>
                <w:lang w:val="bg-BG"/>
              </w:rPr>
            </w:pPr>
            <w:r>
              <w:rPr>
                <w:b/>
                <w:bCs/>
                <w:i/>
                <w:u w:val="single"/>
                <w:lang w:val="bg-BG"/>
              </w:rPr>
              <w:t>Коментар</w:t>
            </w:r>
            <w:r w:rsidR="00960C8B" w:rsidRPr="009E25EC">
              <w:rPr>
                <w:b/>
                <w:bCs/>
                <w:i/>
                <w:u w:val="single"/>
                <w:lang w:val="bg-BG"/>
              </w:rPr>
              <w:t>:</w:t>
            </w:r>
            <w:r w:rsidR="00960C8B" w:rsidRPr="00960C8B">
              <w:rPr>
                <w:lang w:val="bg-BG"/>
              </w:rPr>
              <w:t xml:space="preserve"> </w:t>
            </w:r>
            <w:r w:rsidR="00960C8B">
              <w:rPr>
                <w:lang w:val="bg-BG"/>
              </w:rPr>
              <w:t>Следва да се има предвид, че България обмисля дейности за улесняване на достъпа на работници от трети страни, за което свидетелстват и мерки като „Стартъп виза“ и издаването на Синя карта.</w:t>
            </w:r>
          </w:p>
        </w:tc>
      </w:tr>
      <w:tr w:rsidR="006C3504" w:rsidRPr="00005C86" w14:paraId="0EAEF034" w14:textId="77777777" w:rsidTr="00BD042C">
        <w:tc>
          <w:tcPr>
            <w:tcW w:w="2552" w:type="dxa"/>
            <w:tcBorders>
              <w:bottom w:val="single" w:sz="4" w:space="0" w:color="5B9BD5" w:themeColor="accent1"/>
            </w:tcBorders>
          </w:tcPr>
          <w:p w14:paraId="6FFB1E6C" w14:textId="77777777" w:rsidR="006C3504" w:rsidRPr="006C3504" w:rsidRDefault="006C3504" w:rsidP="00970270">
            <w:pPr>
              <w:pStyle w:val="TableRow"/>
              <w:spacing w:before="60" w:after="60"/>
              <w:rPr>
                <w:lang w:val="bg-BG"/>
              </w:rPr>
            </w:pPr>
            <w:r w:rsidRPr="006C3504">
              <w:rPr>
                <w:lang w:val="bg-BG"/>
              </w:rPr>
              <w:t xml:space="preserve">Местните технически и административни такси за индустриални паркове се определят по преценка на </w:t>
            </w:r>
            <w:r w:rsidRPr="006C3504">
              <w:rPr>
                <w:lang w:val="bg-BG"/>
              </w:rPr>
              <w:lastRenderedPageBreak/>
              <w:t>общините. Няма данни за ключови статистически данни като инвестиции, производство или заетост в индустриални</w:t>
            </w:r>
            <w:r w:rsidR="00970270">
              <w:rPr>
                <w:lang w:val="bg-BG"/>
              </w:rPr>
              <w:t>те</w:t>
            </w:r>
            <w:r w:rsidRPr="006C3504">
              <w:rPr>
                <w:lang w:val="bg-BG"/>
              </w:rPr>
              <w:t>/технологични</w:t>
            </w:r>
            <w:r w:rsidR="00970270">
              <w:rPr>
                <w:lang w:val="bg-BG"/>
              </w:rPr>
              <w:t>те</w:t>
            </w:r>
            <w:r w:rsidRPr="006C3504">
              <w:rPr>
                <w:lang w:val="bg-BG"/>
              </w:rPr>
              <w:t xml:space="preserve"> зони/паркове.</w:t>
            </w:r>
          </w:p>
        </w:tc>
        <w:tc>
          <w:tcPr>
            <w:tcW w:w="3260" w:type="dxa"/>
            <w:tcBorders>
              <w:bottom w:val="single" w:sz="4" w:space="0" w:color="5B9BD5" w:themeColor="accent1"/>
            </w:tcBorders>
          </w:tcPr>
          <w:p w14:paraId="0FCAFD9D" w14:textId="77777777" w:rsidR="006C3504" w:rsidRPr="006C3504" w:rsidRDefault="00770035" w:rsidP="00770035">
            <w:pPr>
              <w:pStyle w:val="TableCell"/>
              <w:jc w:val="both"/>
              <w:rPr>
                <w:lang w:val="bg-BG"/>
              </w:rPr>
            </w:pPr>
            <w:r>
              <w:rPr>
                <w:lang w:val="bg-BG"/>
              </w:rPr>
              <w:lastRenderedPageBreak/>
              <w:t xml:space="preserve">Да се </w:t>
            </w:r>
            <w:r w:rsidR="00970270">
              <w:rPr>
                <w:lang w:val="bg-BG"/>
              </w:rPr>
              <w:t>публикува</w:t>
            </w:r>
            <w:r>
              <w:rPr>
                <w:lang w:val="bg-BG"/>
              </w:rPr>
              <w:t>т</w:t>
            </w:r>
            <w:r w:rsidR="006C3504" w:rsidRPr="006C3504">
              <w:rPr>
                <w:lang w:val="bg-BG"/>
              </w:rPr>
              <w:t xml:space="preserve"> такси</w:t>
            </w:r>
            <w:r w:rsidR="00970270">
              <w:rPr>
                <w:lang w:val="bg-BG"/>
              </w:rPr>
              <w:t>те</w:t>
            </w:r>
            <w:r w:rsidR="006C3504" w:rsidRPr="006C3504">
              <w:rPr>
                <w:lang w:val="bg-BG"/>
              </w:rPr>
              <w:t xml:space="preserve"> налагани от всички общини и </w:t>
            </w:r>
            <w:r w:rsidR="00970270">
              <w:rPr>
                <w:lang w:val="bg-BG"/>
              </w:rPr>
              <w:t xml:space="preserve">даваните </w:t>
            </w:r>
            <w:r w:rsidR="006C3504" w:rsidRPr="006C3504">
              <w:rPr>
                <w:lang w:val="bg-BG"/>
              </w:rPr>
              <w:t xml:space="preserve">субсидии за земя на една </w:t>
            </w:r>
            <w:r w:rsidR="00970270">
              <w:rPr>
                <w:lang w:val="bg-BG"/>
              </w:rPr>
              <w:t>интернет</w:t>
            </w:r>
            <w:r w:rsidR="006C3504" w:rsidRPr="006C3504">
              <w:rPr>
                <w:lang w:val="bg-BG"/>
              </w:rPr>
              <w:t xml:space="preserve"> страница</w:t>
            </w:r>
            <w:r>
              <w:rPr>
                <w:lang w:val="bg-BG"/>
              </w:rPr>
              <w:t xml:space="preserve"> с цел подобряване</w:t>
            </w:r>
            <w:r w:rsidRPr="006C3504">
              <w:rPr>
                <w:lang w:val="bg-BG"/>
              </w:rPr>
              <w:t xml:space="preserve"> прозрачност</w:t>
            </w:r>
            <w:r>
              <w:rPr>
                <w:lang w:val="bg-BG"/>
              </w:rPr>
              <w:t>та</w:t>
            </w:r>
            <w:r w:rsidR="006C3504" w:rsidRPr="006C3504">
              <w:rPr>
                <w:lang w:val="bg-BG"/>
              </w:rPr>
              <w:t xml:space="preserve">. </w:t>
            </w:r>
            <w:r>
              <w:rPr>
                <w:lang w:val="bg-BG"/>
              </w:rPr>
              <w:t>Да се с</w:t>
            </w:r>
            <w:r w:rsidR="006C3504" w:rsidRPr="006C3504">
              <w:rPr>
                <w:lang w:val="bg-BG"/>
              </w:rPr>
              <w:t>ъб</w:t>
            </w:r>
            <w:r w:rsidR="00970270">
              <w:rPr>
                <w:lang w:val="bg-BG"/>
              </w:rPr>
              <w:t>и</w:t>
            </w:r>
            <w:r w:rsidR="006C3504" w:rsidRPr="006C3504">
              <w:rPr>
                <w:lang w:val="bg-BG"/>
              </w:rPr>
              <w:t>р</w:t>
            </w:r>
            <w:r w:rsidR="00970270">
              <w:rPr>
                <w:lang w:val="bg-BG"/>
              </w:rPr>
              <w:t>а</w:t>
            </w:r>
            <w:r>
              <w:rPr>
                <w:lang w:val="bg-BG"/>
              </w:rPr>
              <w:t>т</w:t>
            </w:r>
            <w:r w:rsidR="006C3504" w:rsidRPr="006C3504">
              <w:rPr>
                <w:lang w:val="bg-BG"/>
              </w:rPr>
              <w:t xml:space="preserve"> статистически </w:t>
            </w:r>
            <w:r w:rsidR="006C3504" w:rsidRPr="006C3504">
              <w:rPr>
                <w:lang w:val="bg-BG"/>
              </w:rPr>
              <w:lastRenderedPageBreak/>
              <w:t xml:space="preserve">данни за индустриалните зони/паркове и </w:t>
            </w:r>
            <w:r>
              <w:rPr>
                <w:lang w:val="bg-BG"/>
              </w:rPr>
              <w:t xml:space="preserve">да се </w:t>
            </w:r>
            <w:r w:rsidR="00970270">
              <w:rPr>
                <w:lang w:val="bg-BG"/>
              </w:rPr>
              <w:t>изготв</w:t>
            </w:r>
            <w:r>
              <w:rPr>
                <w:lang w:val="bg-BG"/>
              </w:rPr>
              <w:t>и</w:t>
            </w:r>
            <w:r w:rsidR="006C3504" w:rsidRPr="006C3504">
              <w:rPr>
                <w:lang w:val="bg-BG"/>
              </w:rPr>
              <w:t xml:space="preserve"> анализ на разходите и ползите от използването на публични средства за индустриални паркове.</w:t>
            </w:r>
          </w:p>
        </w:tc>
        <w:tc>
          <w:tcPr>
            <w:tcW w:w="3260" w:type="dxa"/>
            <w:tcBorders>
              <w:bottom w:val="single" w:sz="4" w:space="0" w:color="5B9BD5" w:themeColor="accent1"/>
            </w:tcBorders>
          </w:tcPr>
          <w:p w14:paraId="7970248F" w14:textId="77777777" w:rsidR="006C3504" w:rsidRDefault="00270EA3" w:rsidP="00970270">
            <w:pPr>
              <w:pStyle w:val="TableCell"/>
              <w:jc w:val="both"/>
              <w:rPr>
                <w:b/>
                <w:lang w:val="bg-BG"/>
              </w:rPr>
            </w:pPr>
            <w:r w:rsidRPr="00303576">
              <w:rPr>
                <w:b/>
                <w:lang w:val="bg-BG"/>
              </w:rPr>
              <w:lastRenderedPageBreak/>
              <w:t>Република България изразява съгласие с препоръката.</w:t>
            </w:r>
          </w:p>
          <w:p w14:paraId="5E376873" w14:textId="77777777" w:rsidR="00960C8B" w:rsidRPr="006C3504" w:rsidRDefault="00DF5E46" w:rsidP="00970270">
            <w:pPr>
              <w:pStyle w:val="TableCell"/>
              <w:jc w:val="both"/>
              <w:rPr>
                <w:lang w:val="bg-BG"/>
              </w:rPr>
            </w:pPr>
            <w:r>
              <w:rPr>
                <w:b/>
                <w:bCs/>
                <w:i/>
                <w:u w:val="single"/>
                <w:lang w:val="bg-BG"/>
              </w:rPr>
              <w:t>Коментар</w:t>
            </w:r>
            <w:r w:rsidR="00960C8B" w:rsidRPr="009E25EC">
              <w:rPr>
                <w:b/>
                <w:bCs/>
                <w:i/>
                <w:u w:val="single"/>
                <w:lang w:val="bg-BG"/>
              </w:rPr>
              <w:t>:</w:t>
            </w:r>
            <w:r w:rsidR="00960C8B">
              <w:rPr>
                <w:lang w:val="bg-BG"/>
              </w:rPr>
              <w:t xml:space="preserve"> </w:t>
            </w:r>
            <w:r w:rsidR="00960C8B" w:rsidRPr="00960C8B">
              <w:rPr>
                <w:lang w:val="bg-BG"/>
              </w:rPr>
              <w:t xml:space="preserve">Относно предоставянето на прозрачна информация, в момента се </w:t>
            </w:r>
            <w:r w:rsidR="00960C8B" w:rsidRPr="00960C8B">
              <w:rPr>
                <w:lang w:val="bg-BG"/>
              </w:rPr>
              <w:lastRenderedPageBreak/>
              <w:t>структурира нова платформа – интерактивна инвестиционна карта, която събира на едно място ключова, достъпна и проверена информация за терени, индустриални и логистични зони, технологични паркове, както и образователни и изследователски институции. Тя е създадена като практичен инструмент за ориентиране, планиране и вземане на информирани решения от инвеститори на национално и регионално ниво.</w:t>
            </w:r>
          </w:p>
        </w:tc>
      </w:tr>
      <w:tr w:rsidR="006C3504" w:rsidRPr="006C3504" w14:paraId="7FE2B1F8" w14:textId="77777777" w:rsidTr="00BD042C">
        <w:tc>
          <w:tcPr>
            <w:tcW w:w="5812" w:type="dxa"/>
            <w:gridSpan w:val="2"/>
            <w:tcBorders>
              <w:top w:val="single" w:sz="4" w:space="0" w:color="5B9BD5" w:themeColor="accent1"/>
              <w:bottom w:val="single" w:sz="4" w:space="0" w:color="5B9BD5" w:themeColor="accent1"/>
            </w:tcBorders>
          </w:tcPr>
          <w:p w14:paraId="6841A7FF" w14:textId="77777777" w:rsidR="006C3504" w:rsidRPr="006C3504" w:rsidRDefault="006C3504" w:rsidP="00970270">
            <w:pPr>
              <w:pStyle w:val="TableColumn"/>
              <w:rPr>
                <w:b/>
                <w:bCs/>
                <w:lang w:val="bg-BG"/>
              </w:rPr>
            </w:pPr>
            <w:r w:rsidRPr="006C3504">
              <w:rPr>
                <w:b/>
                <w:bCs/>
                <w:lang w:val="bg-BG"/>
              </w:rPr>
              <w:lastRenderedPageBreak/>
              <w:t>Усъвършенстване на уменията</w:t>
            </w:r>
          </w:p>
        </w:tc>
        <w:tc>
          <w:tcPr>
            <w:tcW w:w="3260" w:type="dxa"/>
            <w:tcBorders>
              <w:top w:val="single" w:sz="4" w:space="0" w:color="5B9BD5" w:themeColor="accent1"/>
              <w:bottom w:val="single" w:sz="4" w:space="0" w:color="5B9BD5" w:themeColor="accent1"/>
            </w:tcBorders>
          </w:tcPr>
          <w:p w14:paraId="39D6C8D0" w14:textId="77777777" w:rsidR="006C3504" w:rsidRPr="006C3504" w:rsidRDefault="006C3504" w:rsidP="00970270">
            <w:pPr>
              <w:pStyle w:val="TableColumn"/>
              <w:rPr>
                <w:b/>
                <w:bCs/>
                <w:lang w:val="bg-BG"/>
              </w:rPr>
            </w:pPr>
          </w:p>
        </w:tc>
      </w:tr>
      <w:tr w:rsidR="006C3504" w:rsidRPr="00005C86" w14:paraId="47220C30" w14:textId="77777777" w:rsidTr="00BD042C">
        <w:trPr>
          <w:trHeight w:val="1099"/>
        </w:trPr>
        <w:tc>
          <w:tcPr>
            <w:tcW w:w="2552" w:type="dxa"/>
            <w:tcBorders>
              <w:top w:val="single" w:sz="4" w:space="0" w:color="5B9BD5" w:themeColor="accent1"/>
              <w:bottom w:val="single" w:sz="4" w:space="0" w:color="5B9BD5" w:themeColor="accent1"/>
            </w:tcBorders>
          </w:tcPr>
          <w:p w14:paraId="36D27234" w14:textId="77777777" w:rsidR="006C3504" w:rsidRPr="006C3504" w:rsidRDefault="00970270" w:rsidP="00970270">
            <w:pPr>
              <w:pStyle w:val="TableRow"/>
              <w:spacing w:before="60" w:after="60"/>
              <w:rPr>
                <w:lang w:val="bg-BG"/>
              </w:rPr>
            </w:pPr>
            <w:r>
              <w:rPr>
                <w:lang w:val="bg-BG"/>
              </w:rPr>
              <w:t>Недостигът</w:t>
            </w:r>
            <w:r w:rsidR="006C3504" w:rsidRPr="006C3504">
              <w:rPr>
                <w:lang w:val="bg-BG"/>
              </w:rPr>
              <w:t xml:space="preserve"> на умения </w:t>
            </w:r>
            <w:r>
              <w:rPr>
                <w:lang w:val="bg-BG"/>
              </w:rPr>
              <w:t>е</w:t>
            </w:r>
            <w:r w:rsidR="006C3504" w:rsidRPr="006C3504">
              <w:rPr>
                <w:lang w:val="bg-BG"/>
              </w:rPr>
              <w:t xml:space="preserve"> класиран на първо</w:t>
            </w:r>
            <w:r w:rsidR="00022E52">
              <w:rPr>
                <w:lang w:val="bg-BG"/>
              </w:rPr>
              <w:t xml:space="preserve"> място сред предизвикателствата</w:t>
            </w:r>
            <w:r w:rsidR="006C3504" w:rsidRPr="006C3504">
              <w:rPr>
                <w:lang w:val="bg-BG"/>
              </w:rPr>
              <w:t xml:space="preserve"> пред </w:t>
            </w:r>
            <w:r w:rsidR="00022E52">
              <w:rPr>
                <w:lang w:val="bg-BG"/>
              </w:rPr>
              <w:t>бизнеса</w:t>
            </w:r>
            <w:r w:rsidR="006C3504" w:rsidRPr="006C3504">
              <w:rPr>
                <w:lang w:val="bg-BG"/>
              </w:rPr>
              <w:t>.</w:t>
            </w:r>
          </w:p>
        </w:tc>
        <w:tc>
          <w:tcPr>
            <w:tcW w:w="3260" w:type="dxa"/>
            <w:tcBorders>
              <w:top w:val="single" w:sz="4" w:space="0" w:color="5B9BD5" w:themeColor="accent1"/>
              <w:bottom w:val="single" w:sz="4" w:space="0" w:color="5B9BD5" w:themeColor="accent1"/>
            </w:tcBorders>
          </w:tcPr>
          <w:p w14:paraId="4273F927" w14:textId="77777777" w:rsidR="006C3504" w:rsidRPr="006C3504" w:rsidRDefault="00770035" w:rsidP="00770035">
            <w:pPr>
              <w:pStyle w:val="TableCell"/>
              <w:jc w:val="both"/>
              <w:rPr>
                <w:lang w:val="bg-BG"/>
              </w:rPr>
            </w:pPr>
            <w:r>
              <w:rPr>
                <w:lang w:val="bg-BG"/>
              </w:rPr>
              <w:t>Да се у</w:t>
            </w:r>
            <w:r w:rsidR="006C3504" w:rsidRPr="006C3504">
              <w:rPr>
                <w:lang w:val="bg-BG"/>
              </w:rPr>
              <w:t>велич</w:t>
            </w:r>
            <w:r>
              <w:rPr>
                <w:lang w:val="bg-BG"/>
              </w:rPr>
              <w:t>и</w:t>
            </w:r>
            <w:r w:rsidR="006C3504" w:rsidRPr="006C3504">
              <w:rPr>
                <w:lang w:val="bg-BG"/>
              </w:rPr>
              <w:t xml:space="preserve"> участието в обучени</w:t>
            </w:r>
            <w:r>
              <w:rPr>
                <w:lang w:val="bg-BG"/>
              </w:rPr>
              <w:t>я</w:t>
            </w:r>
            <w:r w:rsidR="006C3504" w:rsidRPr="006C3504">
              <w:rPr>
                <w:lang w:val="bg-BG"/>
              </w:rPr>
              <w:t xml:space="preserve"> на възрастни чрез разработване на курсове </w:t>
            </w:r>
            <w:r w:rsidR="00970270">
              <w:rPr>
                <w:lang w:val="bg-BG"/>
              </w:rPr>
              <w:t>подкрепящи</w:t>
            </w:r>
            <w:r w:rsidR="006C3504" w:rsidRPr="006C3504">
              <w:rPr>
                <w:lang w:val="bg-BG"/>
              </w:rPr>
              <w:t xml:space="preserve"> придобиване</w:t>
            </w:r>
            <w:r w:rsidR="00970270">
              <w:rPr>
                <w:lang w:val="bg-BG"/>
              </w:rPr>
              <w:t>то</w:t>
            </w:r>
            <w:r w:rsidR="006C3504" w:rsidRPr="006C3504">
              <w:rPr>
                <w:lang w:val="bg-BG"/>
              </w:rPr>
              <w:t xml:space="preserve"> на търсени умения</w:t>
            </w:r>
            <w:r w:rsidR="00970270">
              <w:rPr>
                <w:lang w:val="bg-BG"/>
              </w:rPr>
              <w:t>,</w:t>
            </w:r>
            <w:r w:rsidR="006C3504" w:rsidRPr="006C3504">
              <w:rPr>
                <w:lang w:val="bg-BG"/>
              </w:rPr>
              <w:t xml:space="preserve"> привличане на квалифицирани имигранти и завръщащи се емигранти чрез интегрирани услуги за подкрепа.</w:t>
            </w:r>
          </w:p>
        </w:tc>
        <w:tc>
          <w:tcPr>
            <w:tcW w:w="3260" w:type="dxa"/>
            <w:tcBorders>
              <w:top w:val="single" w:sz="4" w:space="0" w:color="5B9BD5" w:themeColor="accent1"/>
              <w:bottom w:val="single" w:sz="4" w:space="0" w:color="5B9BD5" w:themeColor="accent1"/>
            </w:tcBorders>
          </w:tcPr>
          <w:p w14:paraId="762A12D9" w14:textId="77777777" w:rsidR="006C3504" w:rsidRPr="006C3504" w:rsidRDefault="00171C72" w:rsidP="00970270">
            <w:pPr>
              <w:pStyle w:val="TableCell"/>
              <w:jc w:val="both"/>
              <w:rPr>
                <w:lang w:val="bg-BG"/>
              </w:rPr>
            </w:pPr>
            <w:r w:rsidRPr="00303576">
              <w:rPr>
                <w:b/>
                <w:lang w:val="bg-BG"/>
              </w:rPr>
              <w:t>Република България изразява съгласие с препоръката.</w:t>
            </w:r>
          </w:p>
        </w:tc>
      </w:tr>
      <w:bookmarkEnd w:id="1"/>
      <w:tr w:rsidR="006C3504" w:rsidRPr="00005C86" w14:paraId="16F410F7" w14:textId="77777777" w:rsidTr="00BD042C">
        <w:tc>
          <w:tcPr>
            <w:tcW w:w="5812" w:type="dxa"/>
            <w:gridSpan w:val="2"/>
            <w:tcBorders>
              <w:top w:val="single" w:sz="4" w:space="0" w:color="5B9BD5" w:themeColor="accent1"/>
              <w:bottom w:val="single" w:sz="4" w:space="0" w:color="5B9BD5" w:themeColor="accent1"/>
            </w:tcBorders>
            <w:hideMark/>
          </w:tcPr>
          <w:p w14:paraId="003A62EF" w14:textId="77777777" w:rsidR="006C3504" w:rsidRPr="006C3504" w:rsidRDefault="00022E52" w:rsidP="00970270">
            <w:pPr>
              <w:pStyle w:val="TableColumn"/>
              <w:rPr>
                <w:b/>
                <w:bCs/>
                <w:lang w:val="bg-BG"/>
              </w:rPr>
            </w:pPr>
            <w:r>
              <w:rPr>
                <w:b/>
                <w:bCs/>
                <w:lang w:val="bg-BG"/>
              </w:rPr>
              <w:t>Подобряване позициите</w:t>
            </w:r>
            <w:r w:rsidR="006C3504" w:rsidRPr="006C3504">
              <w:rPr>
                <w:b/>
                <w:bCs/>
                <w:lang w:val="bg-BG"/>
              </w:rPr>
              <w:t xml:space="preserve"> в глобалните вериги на стойност</w:t>
            </w:r>
          </w:p>
        </w:tc>
        <w:tc>
          <w:tcPr>
            <w:tcW w:w="3260" w:type="dxa"/>
            <w:tcBorders>
              <w:top w:val="single" w:sz="4" w:space="0" w:color="5B9BD5" w:themeColor="accent1"/>
              <w:bottom w:val="single" w:sz="4" w:space="0" w:color="5B9BD5" w:themeColor="accent1"/>
            </w:tcBorders>
          </w:tcPr>
          <w:p w14:paraId="5AF227F7" w14:textId="77777777" w:rsidR="006C3504" w:rsidRPr="006C3504" w:rsidRDefault="006C3504" w:rsidP="00970270">
            <w:pPr>
              <w:pStyle w:val="TableColumn"/>
              <w:rPr>
                <w:b/>
                <w:bCs/>
                <w:lang w:val="bg-BG"/>
              </w:rPr>
            </w:pPr>
          </w:p>
        </w:tc>
      </w:tr>
      <w:tr w:rsidR="006C3504" w:rsidRPr="00005C86" w14:paraId="77DC6C26" w14:textId="77777777" w:rsidTr="00BD042C">
        <w:tc>
          <w:tcPr>
            <w:tcW w:w="2552" w:type="dxa"/>
            <w:tcBorders>
              <w:top w:val="single" w:sz="4" w:space="0" w:color="5B9BD5" w:themeColor="accent1"/>
            </w:tcBorders>
          </w:tcPr>
          <w:p w14:paraId="2C3B9A9D" w14:textId="77777777" w:rsidR="006C3504" w:rsidRPr="006C3504" w:rsidRDefault="006C3504" w:rsidP="004A4300">
            <w:pPr>
              <w:pStyle w:val="TableRow"/>
              <w:rPr>
                <w:lang w:val="bg-BG"/>
              </w:rPr>
            </w:pPr>
            <w:r w:rsidRPr="006C3504">
              <w:rPr>
                <w:lang w:val="bg-BG"/>
              </w:rPr>
              <w:t>Качеството на транспортната</w:t>
            </w:r>
            <w:r w:rsidR="004A4300">
              <w:rPr>
                <w:lang w:val="bg-BG"/>
              </w:rPr>
              <w:t xml:space="preserve"> инфраструктура и логистиката са</w:t>
            </w:r>
            <w:r w:rsidRPr="006C3504">
              <w:rPr>
                <w:lang w:val="bg-BG"/>
              </w:rPr>
              <w:t xml:space="preserve"> посочва</w:t>
            </w:r>
            <w:r w:rsidR="004A4300">
              <w:rPr>
                <w:lang w:val="bg-BG"/>
              </w:rPr>
              <w:t>ни</w:t>
            </w:r>
            <w:r w:rsidRPr="006C3504">
              <w:rPr>
                <w:lang w:val="bg-BG"/>
              </w:rPr>
              <w:t xml:space="preserve"> сред основните </w:t>
            </w:r>
            <w:r w:rsidR="004A4300">
              <w:rPr>
                <w:lang w:val="bg-BG"/>
              </w:rPr>
              <w:t>бариери</w:t>
            </w:r>
            <w:r w:rsidRPr="006C3504">
              <w:rPr>
                <w:lang w:val="bg-BG"/>
              </w:rPr>
              <w:t xml:space="preserve"> пред търговията, ограничавайки по-дълбокото интегриране в </w:t>
            </w:r>
            <w:r w:rsidR="004A4300" w:rsidRPr="004A4300">
              <w:rPr>
                <w:lang w:val="bg-BG"/>
              </w:rPr>
              <w:t>глобалните вериги на стойността</w:t>
            </w:r>
            <w:r w:rsidRPr="006C3504">
              <w:rPr>
                <w:lang w:val="bg-BG"/>
              </w:rPr>
              <w:t>.</w:t>
            </w:r>
          </w:p>
        </w:tc>
        <w:tc>
          <w:tcPr>
            <w:tcW w:w="3260" w:type="dxa"/>
            <w:tcBorders>
              <w:top w:val="single" w:sz="4" w:space="0" w:color="5B9BD5" w:themeColor="accent1"/>
            </w:tcBorders>
          </w:tcPr>
          <w:p w14:paraId="05A74C6F" w14:textId="77777777" w:rsidR="006C3504" w:rsidRPr="006C3504" w:rsidRDefault="00770035" w:rsidP="00770035">
            <w:pPr>
              <w:pStyle w:val="TableCell"/>
              <w:jc w:val="both"/>
              <w:rPr>
                <w:lang w:val="bg-BG"/>
              </w:rPr>
            </w:pPr>
            <w:r>
              <w:rPr>
                <w:lang w:val="bg-BG"/>
              </w:rPr>
              <w:t>Да се п</w:t>
            </w:r>
            <w:r w:rsidR="001659EB">
              <w:rPr>
                <w:lang w:val="bg-BG"/>
              </w:rPr>
              <w:t>родълж</w:t>
            </w:r>
            <w:r>
              <w:rPr>
                <w:lang w:val="bg-BG"/>
              </w:rPr>
              <w:t>и</w:t>
            </w:r>
            <w:r w:rsidR="006C3504" w:rsidRPr="006C3504">
              <w:rPr>
                <w:lang w:val="bg-BG"/>
              </w:rPr>
              <w:t xml:space="preserve"> модернизирането на пътната и железопътната инфраструктура, включително интермодалните връзки.</w:t>
            </w:r>
          </w:p>
        </w:tc>
        <w:tc>
          <w:tcPr>
            <w:tcW w:w="3260" w:type="dxa"/>
            <w:tcBorders>
              <w:top w:val="single" w:sz="4" w:space="0" w:color="5B9BD5" w:themeColor="accent1"/>
            </w:tcBorders>
          </w:tcPr>
          <w:p w14:paraId="7E2BF82A" w14:textId="77777777" w:rsidR="006C3504" w:rsidRPr="006C3504" w:rsidRDefault="00171C72" w:rsidP="00970270">
            <w:pPr>
              <w:pStyle w:val="TableCell"/>
              <w:jc w:val="both"/>
              <w:rPr>
                <w:lang w:val="bg-BG"/>
              </w:rPr>
            </w:pPr>
            <w:r w:rsidRPr="00303576">
              <w:rPr>
                <w:b/>
                <w:lang w:val="bg-BG"/>
              </w:rPr>
              <w:t>Република България изразява съгласие с препоръката.</w:t>
            </w:r>
          </w:p>
        </w:tc>
      </w:tr>
      <w:tr w:rsidR="006C3504" w:rsidRPr="00005C86" w14:paraId="537A4CEE" w14:textId="77777777" w:rsidTr="00BD042C">
        <w:tc>
          <w:tcPr>
            <w:tcW w:w="2552" w:type="dxa"/>
          </w:tcPr>
          <w:p w14:paraId="5E2DE89C" w14:textId="77777777" w:rsidR="006C3504" w:rsidRPr="00207B87" w:rsidRDefault="006C3504" w:rsidP="00207B87">
            <w:pPr>
              <w:pStyle w:val="TableRow"/>
              <w:rPr>
                <w:b/>
                <w:lang w:val="bg-BG"/>
              </w:rPr>
            </w:pPr>
            <w:r w:rsidRPr="00207B87">
              <w:rPr>
                <w:b/>
                <w:lang w:val="bg-BG"/>
              </w:rPr>
              <w:t xml:space="preserve">Българският производствен сектор е доминиран от микро и малки </w:t>
            </w:r>
            <w:r w:rsidR="00207B87">
              <w:rPr>
                <w:b/>
                <w:lang w:val="bg-BG"/>
              </w:rPr>
              <w:t>предприятия</w:t>
            </w:r>
            <w:r w:rsidRPr="00207B87">
              <w:rPr>
                <w:b/>
                <w:lang w:val="bg-BG"/>
              </w:rPr>
              <w:t xml:space="preserve"> с ограничен капацитет за производство с висока добавена стойност и износ.</w:t>
            </w:r>
          </w:p>
        </w:tc>
        <w:tc>
          <w:tcPr>
            <w:tcW w:w="3260" w:type="dxa"/>
          </w:tcPr>
          <w:p w14:paraId="22419DC9" w14:textId="77777777" w:rsidR="006C3504" w:rsidRPr="006C3504" w:rsidRDefault="00770035" w:rsidP="00770035">
            <w:pPr>
              <w:pStyle w:val="TableCell"/>
              <w:jc w:val="both"/>
              <w:rPr>
                <w:b/>
                <w:lang w:val="bg-BG"/>
              </w:rPr>
            </w:pPr>
            <w:r>
              <w:rPr>
                <w:b/>
                <w:lang w:val="bg-BG"/>
              </w:rPr>
              <w:t>Да се п</w:t>
            </w:r>
            <w:r w:rsidR="001659EB">
              <w:rPr>
                <w:b/>
                <w:lang w:val="bg-BG"/>
              </w:rPr>
              <w:t>одкреп</w:t>
            </w:r>
            <w:r>
              <w:rPr>
                <w:b/>
                <w:lang w:val="bg-BG"/>
              </w:rPr>
              <w:t>ят</w:t>
            </w:r>
            <w:r w:rsidR="006C3504" w:rsidRPr="006C3504">
              <w:rPr>
                <w:b/>
                <w:lang w:val="bg-BG"/>
              </w:rPr>
              <w:t xml:space="preserve"> микро</w:t>
            </w:r>
            <w:r w:rsidR="004A4300">
              <w:rPr>
                <w:b/>
                <w:lang w:val="bg-BG"/>
              </w:rPr>
              <w:t>-</w:t>
            </w:r>
            <w:r w:rsidR="006C3504" w:rsidRPr="006C3504">
              <w:rPr>
                <w:b/>
                <w:lang w:val="bg-BG"/>
              </w:rPr>
              <w:t>фирмите и МСП с фокус върху регионалните и секторните клъстери, за изгра</w:t>
            </w:r>
            <w:r w:rsidR="004A4300">
              <w:rPr>
                <w:b/>
                <w:lang w:val="bg-BG"/>
              </w:rPr>
              <w:t>ж</w:t>
            </w:r>
            <w:r w:rsidR="006C3504" w:rsidRPr="006C3504">
              <w:rPr>
                <w:b/>
                <w:lang w:val="bg-BG"/>
              </w:rPr>
              <w:t>д</w:t>
            </w:r>
            <w:r w:rsidR="004A4300">
              <w:rPr>
                <w:b/>
                <w:lang w:val="bg-BG"/>
              </w:rPr>
              <w:t>ане мащаба</w:t>
            </w:r>
            <w:r w:rsidR="006C3504" w:rsidRPr="006C3504">
              <w:rPr>
                <w:b/>
                <w:lang w:val="bg-BG"/>
              </w:rPr>
              <w:t xml:space="preserve"> и способностите необходими за интегриране в </w:t>
            </w:r>
            <w:r w:rsidR="004A4300" w:rsidRPr="006C3504">
              <w:rPr>
                <w:b/>
                <w:lang w:val="bg-BG"/>
              </w:rPr>
              <w:t xml:space="preserve">сегменти </w:t>
            </w:r>
            <w:r w:rsidR="004A4300">
              <w:rPr>
                <w:b/>
                <w:lang w:val="bg-BG"/>
              </w:rPr>
              <w:t xml:space="preserve">с </w:t>
            </w:r>
            <w:r w:rsidR="006C3504" w:rsidRPr="006C3504">
              <w:rPr>
                <w:b/>
                <w:lang w:val="bg-BG"/>
              </w:rPr>
              <w:t xml:space="preserve">по-високо добавена стойност </w:t>
            </w:r>
            <w:r w:rsidR="004A4300">
              <w:rPr>
                <w:b/>
                <w:lang w:val="bg-BG"/>
              </w:rPr>
              <w:t>в</w:t>
            </w:r>
            <w:r w:rsidR="006C3504" w:rsidRPr="006C3504">
              <w:rPr>
                <w:b/>
                <w:lang w:val="bg-BG"/>
              </w:rPr>
              <w:t xml:space="preserve"> глобалните вериги на стойността.</w:t>
            </w:r>
          </w:p>
        </w:tc>
        <w:tc>
          <w:tcPr>
            <w:tcW w:w="3260" w:type="dxa"/>
          </w:tcPr>
          <w:p w14:paraId="4A4EFE30" w14:textId="77777777" w:rsidR="006C3504" w:rsidRPr="006C3504" w:rsidRDefault="00171C72" w:rsidP="00970270">
            <w:pPr>
              <w:pStyle w:val="TableCell"/>
              <w:jc w:val="both"/>
              <w:rPr>
                <w:lang w:val="bg-BG"/>
              </w:rPr>
            </w:pPr>
            <w:r w:rsidRPr="00303576">
              <w:rPr>
                <w:b/>
                <w:lang w:val="bg-BG"/>
              </w:rPr>
              <w:t>Република България изразява съгласие с препоръката.</w:t>
            </w:r>
          </w:p>
        </w:tc>
      </w:tr>
      <w:tr w:rsidR="006C3504" w:rsidRPr="006C3504" w14:paraId="194B1E3B" w14:textId="77777777" w:rsidTr="00BD042C">
        <w:tc>
          <w:tcPr>
            <w:tcW w:w="5812" w:type="dxa"/>
            <w:gridSpan w:val="2"/>
            <w:tcBorders>
              <w:top w:val="single" w:sz="4" w:space="0" w:color="5B9BD5" w:themeColor="accent1"/>
              <w:bottom w:val="single" w:sz="4" w:space="0" w:color="5B9BD5" w:themeColor="accent1"/>
            </w:tcBorders>
          </w:tcPr>
          <w:p w14:paraId="15E629F8" w14:textId="77777777" w:rsidR="006C3504" w:rsidRPr="006C3504" w:rsidRDefault="006C3504" w:rsidP="00970270">
            <w:pPr>
              <w:pStyle w:val="TableColumn"/>
              <w:rPr>
                <w:b/>
                <w:bCs/>
                <w:lang w:val="bg-BG"/>
              </w:rPr>
            </w:pPr>
            <w:r w:rsidRPr="006C3504">
              <w:rPr>
                <w:b/>
                <w:bCs/>
                <w:lang w:val="bg-BG"/>
              </w:rPr>
              <w:t>Засилване на конкуренцията</w:t>
            </w:r>
          </w:p>
        </w:tc>
        <w:tc>
          <w:tcPr>
            <w:tcW w:w="3260" w:type="dxa"/>
            <w:tcBorders>
              <w:top w:val="single" w:sz="4" w:space="0" w:color="5B9BD5" w:themeColor="accent1"/>
              <w:bottom w:val="single" w:sz="4" w:space="0" w:color="5B9BD5" w:themeColor="accent1"/>
            </w:tcBorders>
          </w:tcPr>
          <w:p w14:paraId="39E4CAF6" w14:textId="77777777" w:rsidR="006C3504" w:rsidRPr="006C3504" w:rsidRDefault="006C3504" w:rsidP="00970270">
            <w:pPr>
              <w:pStyle w:val="TableColumn"/>
              <w:rPr>
                <w:b/>
                <w:bCs/>
                <w:lang w:val="bg-BG"/>
              </w:rPr>
            </w:pPr>
          </w:p>
        </w:tc>
      </w:tr>
      <w:tr w:rsidR="006C3504" w:rsidRPr="00005C86" w14:paraId="730093B0" w14:textId="77777777" w:rsidTr="00BD042C">
        <w:tc>
          <w:tcPr>
            <w:tcW w:w="2552" w:type="dxa"/>
            <w:tcBorders>
              <w:top w:val="single" w:sz="4" w:space="0" w:color="5B9BD5" w:themeColor="accent1"/>
            </w:tcBorders>
          </w:tcPr>
          <w:p w14:paraId="71D36F42" w14:textId="77777777" w:rsidR="006C3504" w:rsidRPr="006C3504" w:rsidRDefault="006C3504" w:rsidP="00970270">
            <w:pPr>
              <w:pStyle w:val="TableRow"/>
              <w:spacing w:before="60" w:after="60"/>
              <w:rPr>
                <w:lang w:val="bg-BG"/>
              </w:rPr>
            </w:pPr>
            <w:r w:rsidRPr="006C3504">
              <w:rPr>
                <w:lang w:val="bg-BG"/>
              </w:rPr>
              <w:t>Монополите в производството и вертикалната интеграция са относително широко разпространени и могат да нарушат конкуренцията.</w:t>
            </w:r>
          </w:p>
        </w:tc>
        <w:tc>
          <w:tcPr>
            <w:tcW w:w="3260" w:type="dxa"/>
            <w:tcBorders>
              <w:top w:val="single" w:sz="4" w:space="0" w:color="5B9BD5" w:themeColor="accent1"/>
            </w:tcBorders>
          </w:tcPr>
          <w:p w14:paraId="57602F29" w14:textId="77777777" w:rsidR="006C3504" w:rsidRPr="006C3504" w:rsidRDefault="00770035" w:rsidP="00770035">
            <w:pPr>
              <w:pStyle w:val="TableCell"/>
              <w:jc w:val="both"/>
              <w:rPr>
                <w:lang w:val="bg-BG"/>
              </w:rPr>
            </w:pPr>
            <w:r>
              <w:rPr>
                <w:lang w:val="bg-BG"/>
              </w:rPr>
              <w:t>Да се с</w:t>
            </w:r>
            <w:r w:rsidR="001659EB">
              <w:rPr>
                <w:lang w:val="bg-BG"/>
              </w:rPr>
              <w:t>ъзда</w:t>
            </w:r>
            <w:r>
              <w:rPr>
                <w:lang w:val="bg-BG"/>
              </w:rPr>
              <w:t>дат</w:t>
            </w:r>
            <w:r w:rsidR="006C3504" w:rsidRPr="006C3504">
              <w:rPr>
                <w:lang w:val="bg-BG"/>
              </w:rPr>
              <w:t xml:space="preserve"> условия за конкуренция в различни сектори на промишлеността, когато това е технически и икономически осъществимо.</w:t>
            </w:r>
          </w:p>
        </w:tc>
        <w:tc>
          <w:tcPr>
            <w:tcW w:w="3260" w:type="dxa"/>
            <w:tcBorders>
              <w:top w:val="single" w:sz="4" w:space="0" w:color="5B9BD5" w:themeColor="accent1"/>
            </w:tcBorders>
          </w:tcPr>
          <w:p w14:paraId="1FFE1F39" w14:textId="77777777" w:rsidR="006C3504" w:rsidRPr="00F37471" w:rsidRDefault="00F37471" w:rsidP="00970270">
            <w:pPr>
              <w:pStyle w:val="TableCell"/>
              <w:jc w:val="both"/>
              <w:rPr>
                <w:b/>
                <w:lang w:val="bg-BG"/>
              </w:rPr>
            </w:pPr>
            <w:r w:rsidRPr="00F37471">
              <w:rPr>
                <w:b/>
                <w:lang w:val="bg-BG"/>
              </w:rPr>
              <w:t>Република България изразява съгласие с препоръката.</w:t>
            </w:r>
          </w:p>
        </w:tc>
      </w:tr>
      <w:tr w:rsidR="006C3504" w:rsidRPr="00005C86" w14:paraId="3090C4F9" w14:textId="77777777" w:rsidTr="00BD042C">
        <w:tc>
          <w:tcPr>
            <w:tcW w:w="2552" w:type="dxa"/>
          </w:tcPr>
          <w:p w14:paraId="782EB9CD" w14:textId="77777777" w:rsidR="006C3504" w:rsidRPr="006C3504" w:rsidRDefault="00207B87" w:rsidP="00207B87">
            <w:pPr>
              <w:pStyle w:val="TableRow"/>
              <w:spacing w:before="60" w:after="60"/>
              <w:rPr>
                <w:lang w:val="bg-BG"/>
              </w:rPr>
            </w:pPr>
            <w:r>
              <w:rPr>
                <w:lang w:val="bg-BG"/>
              </w:rPr>
              <w:t>О</w:t>
            </w:r>
            <w:r w:rsidRPr="006C3504">
              <w:rPr>
                <w:lang w:val="bg-BG"/>
              </w:rPr>
              <w:t xml:space="preserve">бществени поръчки </w:t>
            </w:r>
            <w:r w:rsidRPr="00207B87">
              <w:rPr>
                <w:lang w:val="bg-BG"/>
              </w:rPr>
              <w:t>без тръжна процедура и само с една оферта</w:t>
            </w:r>
            <w:r>
              <w:rPr>
                <w:lang w:val="bg-BG"/>
              </w:rPr>
              <w:t xml:space="preserve"> </w:t>
            </w:r>
            <w:r w:rsidR="006C3504" w:rsidRPr="006C3504">
              <w:rPr>
                <w:lang w:val="bg-BG"/>
              </w:rPr>
              <w:t>са често срещани.</w:t>
            </w:r>
          </w:p>
        </w:tc>
        <w:tc>
          <w:tcPr>
            <w:tcW w:w="3260" w:type="dxa"/>
          </w:tcPr>
          <w:p w14:paraId="339AD8D9" w14:textId="77777777" w:rsidR="006C3504" w:rsidRPr="002A7C8B" w:rsidRDefault="00207B87" w:rsidP="00207B87">
            <w:pPr>
              <w:pStyle w:val="TableCell"/>
              <w:jc w:val="both"/>
              <w:rPr>
                <w:bCs/>
                <w:lang w:val="bg-BG"/>
              </w:rPr>
            </w:pPr>
            <w:r w:rsidRPr="002A7C8B">
              <w:rPr>
                <w:bCs/>
                <w:lang w:val="bg-BG"/>
              </w:rPr>
              <w:t>Да се о</w:t>
            </w:r>
            <w:r w:rsidR="001659EB" w:rsidRPr="002A7C8B">
              <w:rPr>
                <w:bCs/>
                <w:lang w:val="bg-BG"/>
              </w:rPr>
              <w:t>бмисл</w:t>
            </w:r>
            <w:r w:rsidRPr="002A7C8B">
              <w:rPr>
                <w:bCs/>
                <w:lang w:val="bg-BG"/>
              </w:rPr>
              <w:t>и</w:t>
            </w:r>
            <w:r w:rsidR="006C3504" w:rsidRPr="002A7C8B">
              <w:rPr>
                <w:bCs/>
                <w:lang w:val="bg-BG"/>
              </w:rPr>
              <w:t xml:space="preserve"> налагането на случайни проверки на конкуренцията за </w:t>
            </w:r>
            <w:r w:rsidRPr="002A7C8B">
              <w:rPr>
                <w:bCs/>
                <w:lang w:val="bg-BG"/>
              </w:rPr>
              <w:t>поръчки</w:t>
            </w:r>
            <w:r w:rsidR="006C3504" w:rsidRPr="002A7C8B">
              <w:rPr>
                <w:bCs/>
                <w:lang w:val="bg-BG"/>
              </w:rPr>
              <w:t xml:space="preserve"> </w:t>
            </w:r>
            <w:r w:rsidRPr="002A7C8B">
              <w:rPr>
                <w:bCs/>
                <w:lang w:val="bg-BG"/>
              </w:rPr>
              <w:t xml:space="preserve">без тръжна процедура и само </w:t>
            </w:r>
            <w:r w:rsidR="00D830E3" w:rsidRPr="002A7C8B">
              <w:rPr>
                <w:bCs/>
                <w:lang w:val="bg-BG"/>
              </w:rPr>
              <w:t>с една оферта</w:t>
            </w:r>
            <w:r w:rsidR="006C3504" w:rsidRPr="002A7C8B">
              <w:rPr>
                <w:bCs/>
                <w:lang w:val="bg-BG"/>
              </w:rPr>
              <w:t>.</w:t>
            </w:r>
          </w:p>
        </w:tc>
        <w:tc>
          <w:tcPr>
            <w:tcW w:w="3260" w:type="dxa"/>
          </w:tcPr>
          <w:p w14:paraId="567DBB8C" w14:textId="77777777" w:rsidR="006C3504" w:rsidRPr="002A7C8B" w:rsidRDefault="00D93FFA" w:rsidP="00D93FFA">
            <w:pPr>
              <w:pStyle w:val="TableCell"/>
              <w:jc w:val="both"/>
              <w:rPr>
                <w:b/>
                <w:bCs/>
                <w:lang w:val="bg-BG"/>
              </w:rPr>
            </w:pPr>
            <w:r w:rsidRPr="002A7C8B">
              <w:rPr>
                <w:b/>
                <w:lang w:val="bg-BG"/>
              </w:rPr>
              <w:t>Република България изразява съгласие с препоръката.</w:t>
            </w:r>
          </w:p>
        </w:tc>
      </w:tr>
      <w:tr w:rsidR="003C7AF7" w:rsidRPr="00005C86" w14:paraId="0DCF661C" w14:textId="77777777" w:rsidTr="00BD042C">
        <w:tc>
          <w:tcPr>
            <w:tcW w:w="2552" w:type="dxa"/>
          </w:tcPr>
          <w:p w14:paraId="3CE15980" w14:textId="77777777" w:rsidR="003C7AF7" w:rsidRPr="002062C9" w:rsidRDefault="003C7AF7" w:rsidP="003C7AF7">
            <w:pPr>
              <w:pStyle w:val="TableRow"/>
              <w:spacing w:before="60" w:after="60"/>
              <w:rPr>
                <w:b/>
                <w:lang w:val="bg-BG"/>
              </w:rPr>
            </w:pPr>
            <w:r w:rsidRPr="002062C9">
              <w:rPr>
                <w:b/>
                <w:lang w:val="bg-BG"/>
              </w:rPr>
              <w:t>Комисията за защита на конкуренцията играе активна роля, но е постигнала малко успешни съдебни дела.</w:t>
            </w:r>
          </w:p>
        </w:tc>
        <w:tc>
          <w:tcPr>
            <w:tcW w:w="3260" w:type="dxa"/>
          </w:tcPr>
          <w:p w14:paraId="2C33638F" w14:textId="77777777" w:rsidR="003C7AF7" w:rsidRPr="002A7C8B" w:rsidRDefault="003C7AF7" w:rsidP="003C7AF7">
            <w:pPr>
              <w:pStyle w:val="TableCell"/>
              <w:jc w:val="both"/>
              <w:rPr>
                <w:b/>
                <w:bCs/>
                <w:lang w:val="bg-BG"/>
              </w:rPr>
            </w:pPr>
            <w:r w:rsidRPr="002A7C8B">
              <w:rPr>
                <w:b/>
                <w:bCs/>
                <w:lang w:val="bg-BG"/>
              </w:rPr>
              <w:t xml:space="preserve">Да се укрепи независимостта на Комисията за защита на конкуренцията чрез увеличаване на нейния бюджет, назначаване на членовете </w:t>
            </w:r>
            <w:r w:rsidRPr="002A7C8B">
              <w:rPr>
                <w:rFonts w:ascii="Calibri" w:hAnsi="Calibri" w:cs="Calibri"/>
                <w:b/>
                <w:bCs/>
                <w:lang w:val="bg-BG"/>
              </w:rPr>
              <w:t>ѝ</w:t>
            </w:r>
            <w:r w:rsidRPr="002A7C8B">
              <w:rPr>
                <w:b/>
                <w:bCs/>
                <w:lang w:val="bg-BG"/>
              </w:rPr>
              <w:t xml:space="preserve"> въз основа на критерии за професионални качества и поетапно запълване на мандатите на членовете й.</w:t>
            </w:r>
          </w:p>
        </w:tc>
        <w:tc>
          <w:tcPr>
            <w:tcW w:w="3260" w:type="dxa"/>
          </w:tcPr>
          <w:p w14:paraId="4A7F398B" w14:textId="77777777" w:rsidR="003C7AF7" w:rsidRPr="002A7C8B" w:rsidRDefault="003C7AF7" w:rsidP="003C7AF7">
            <w:pPr>
              <w:pStyle w:val="TableCell"/>
              <w:jc w:val="both"/>
              <w:rPr>
                <w:b/>
                <w:bCs/>
                <w:lang w:val="bg-BG"/>
              </w:rPr>
            </w:pPr>
            <w:r w:rsidRPr="002A7C8B">
              <w:rPr>
                <w:b/>
                <w:lang w:val="bg-BG"/>
              </w:rPr>
              <w:t>Република България изразява съгласие с препоръката.</w:t>
            </w:r>
          </w:p>
        </w:tc>
      </w:tr>
      <w:tr w:rsidR="003C7AF7" w:rsidRPr="00005C86" w14:paraId="729B228F" w14:textId="77777777" w:rsidTr="00BD042C">
        <w:tc>
          <w:tcPr>
            <w:tcW w:w="2552" w:type="dxa"/>
            <w:tcBorders>
              <w:bottom w:val="single" w:sz="4" w:space="0" w:color="5B9BD5" w:themeColor="accent1"/>
            </w:tcBorders>
          </w:tcPr>
          <w:p w14:paraId="688D0720" w14:textId="77777777" w:rsidR="003C7AF7" w:rsidRPr="006C3504" w:rsidRDefault="003C7AF7" w:rsidP="003C7AF7">
            <w:pPr>
              <w:pStyle w:val="TableRow"/>
              <w:spacing w:before="60" w:after="60"/>
              <w:rPr>
                <w:lang w:val="bg-BG"/>
              </w:rPr>
            </w:pPr>
            <w:r w:rsidRPr="006C3504">
              <w:rPr>
                <w:lang w:val="bg-BG"/>
              </w:rPr>
              <w:t xml:space="preserve">Липсата на доказателства за нарушение е типичен резултат </w:t>
            </w:r>
            <w:r>
              <w:rPr>
                <w:lang w:val="bg-BG"/>
              </w:rPr>
              <w:t>при</w:t>
            </w:r>
            <w:r w:rsidRPr="006C3504">
              <w:rPr>
                <w:lang w:val="bg-BG"/>
              </w:rPr>
              <w:t xml:space="preserve"> разследванията на конкуренцията.</w:t>
            </w:r>
          </w:p>
        </w:tc>
        <w:tc>
          <w:tcPr>
            <w:tcW w:w="3260" w:type="dxa"/>
            <w:tcBorders>
              <w:bottom w:val="single" w:sz="4" w:space="0" w:color="5B9BD5" w:themeColor="accent1"/>
            </w:tcBorders>
          </w:tcPr>
          <w:p w14:paraId="0557575B" w14:textId="77777777" w:rsidR="003C7AF7" w:rsidRPr="002A7C8B" w:rsidRDefault="003C7AF7" w:rsidP="003C7AF7">
            <w:pPr>
              <w:pStyle w:val="TableCell"/>
              <w:jc w:val="both"/>
              <w:rPr>
                <w:lang w:val="bg-BG"/>
              </w:rPr>
            </w:pPr>
            <w:r w:rsidRPr="002A7C8B">
              <w:rPr>
                <w:lang w:val="bg-BG"/>
              </w:rPr>
              <w:t>Да се подобряване събирането на данни, обученията и ускоряване приемането на нови инструменти за по-добро откриване и събиране на доказателства за неконкурентно поведение.</w:t>
            </w:r>
          </w:p>
        </w:tc>
        <w:tc>
          <w:tcPr>
            <w:tcW w:w="3260" w:type="dxa"/>
            <w:tcBorders>
              <w:bottom w:val="single" w:sz="4" w:space="0" w:color="5B9BD5" w:themeColor="accent1"/>
            </w:tcBorders>
          </w:tcPr>
          <w:p w14:paraId="02BEF3C9" w14:textId="77777777" w:rsidR="003C7AF7" w:rsidRPr="002A7C8B" w:rsidRDefault="003C7AF7" w:rsidP="003C7AF7">
            <w:pPr>
              <w:pStyle w:val="TableCell"/>
              <w:jc w:val="both"/>
              <w:rPr>
                <w:b/>
                <w:lang w:val="bg-BG"/>
              </w:rPr>
            </w:pPr>
            <w:r w:rsidRPr="002A7C8B">
              <w:rPr>
                <w:b/>
                <w:lang w:val="bg-BG"/>
              </w:rPr>
              <w:t>Република България изразява съгласие с препоръката.</w:t>
            </w:r>
          </w:p>
        </w:tc>
      </w:tr>
      <w:tr w:rsidR="003C7AF7" w:rsidRPr="00005C86" w14:paraId="745BCE9E" w14:textId="77777777" w:rsidTr="00BD042C">
        <w:tc>
          <w:tcPr>
            <w:tcW w:w="2552" w:type="dxa"/>
            <w:tcBorders>
              <w:bottom w:val="single" w:sz="4" w:space="0" w:color="5B9BD5" w:themeColor="accent1"/>
            </w:tcBorders>
          </w:tcPr>
          <w:p w14:paraId="4489BF2A" w14:textId="77777777" w:rsidR="003C7AF7" w:rsidRPr="006C3504" w:rsidRDefault="003C7AF7" w:rsidP="003C7AF7">
            <w:pPr>
              <w:pStyle w:val="TableRow"/>
              <w:spacing w:before="60" w:after="60"/>
              <w:rPr>
                <w:lang w:val="bg-BG"/>
              </w:rPr>
            </w:pPr>
            <w:r>
              <w:rPr>
                <w:lang w:val="bg-BG"/>
              </w:rPr>
              <w:t>Глобите за не</w:t>
            </w:r>
            <w:r w:rsidRPr="006C3504">
              <w:rPr>
                <w:lang w:val="bg-BG"/>
              </w:rPr>
              <w:t>конкурентно поведение са ниски и често са налагани със закъснение.</w:t>
            </w:r>
          </w:p>
        </w:tc>
        <w:tc>
          <w:tcPr>
            <w:tcW w:w="3260" w:type="dxa"/>
            <w:tcBorders>
              <w:bottom w:val="single" w:sz="4" w:space="0" w:color="5B9BD5" w:themeColor="accent1"/>
            </w:tcBorders>
          </w:tcPr>
          <w:p w14:paraId="7377785C" w14:textId="77777777" w:rsidR="003C7AF7" w:rsidRPr="002A7C8B" w:rsidRDefault="003C7AF7" w:rsidP="003C7AF7">
            <w:pPr>
              <w:pStyle w:val="TableCell"/>
              <w:jc w:val="both"/>
              <w:rPr>
                <w:lang w:val="bg-BG"/>
              </w:rPr>
            </w:pPr>
            <w:r w:rsidRPr="002A7C8B">
              <w:rPr>
                <w:lang w:val="bg-BG"/>
              </w:rPr>
              <w:t>Да се повишат глобите до нива, които имат възпиращ ефект, и да се ускори издаването им за по-голяма ефективност.</w:t>
            </w:r>
          </w:p>
        </w:tc>
        <w:tc>
          <w:tcPr>
            <w:tcW w:w="3260" w:type="dxa"/>
            <w:tcBorders>
              <w:bottom w:val="single" w:sz="4" w:space="0" w:color="5B9BD5" w:themeColor="accent1"/>
            </w:tcBorders>
          </w:tcPr>
          <w:p w14:paraId="495153E9" w14:textId="77777777" w:rsidR="003C7AF7" w:rsidRDefault="003C7AF7" w:rsidP="003C7AF7">
            <w:pPr>
              <w:pStyle w:val="TableCell"/>
              <w:jc w:val="both"/>
              <w:rPr>
                <w:b/>
                <w:lang w:val="bg-BG"/>
              </w:rPr>
            </w:pPr>
            <w:r w:rsidRPr="002A7C8B">
              <w:rPr>
                <w:b/>
                <w:lang w:val="bg-BG"/>
              </w:rPr>
              <w:t xml:space="preserve">Република България изразява частично съгласие </w:t>
            </w:r>
            <w:r w:rsidR="00297406">
              <w:rPr>
                <w:b/>
                <w:lang w:val="bg-BG"/>
              </w:rPr>
              <w:t xml:space="preserve">на </w:t>
            </w:r>
            <w:r w:rsidR="00297406" w:rsidRPr="002A7C8B">
              <w:rPr>
                <w:b/>
                <w:lang w:val="bg-BG"/>
              </w:rPr>
              <w:t>препоръката</w:t>
            </w:r>
            <w:r w:rsidR="000B124A">
              <w:rPr>
                <w:b/>
                <w:lang w:val="bg-BG"/>
              </w:rPr>
              <w:t>,</w:t>
            </w:r>
            <w:r w:rsidR="00297406">
              <w:rPr>
                <w:b/>
                <w:lang w:val="bg-BG"/>
              </w:rPr>
              <w:t xml:space="preserve"> </w:t>
            </w:r>
            <w:r w:rsidR="00764E07">
              <w:rPr>
                <w:b/>
                <w:lang w:val="bg-BG"/>
              </w:rPr>
              <w:t xml:space="preserve">като </w:t>
            </w:r>
            <w:r w:rsidR="005F4A79">
              <w:rPr>
                <w:b/>
                <w:lang w:val="bg-BG"/>
              </w:rPr>
              <w:t xml:space="preserve">предлага </w:t>
            </w:r>
            <w:r w:rsidR="00764E07">
              <w:rPr>
                <w:b/>
                <w:lang w:val="bg-BG"/>
              </w:rPr>
              <w:t xml:space="preserve">следната </w:t>
            </w:r>
            <w:r w:rsidR="00297406">
              <w:rPr>
                <w:b/>
                <w:lang w:val="bg-BG"/>
              </w:rPr>
              <w:t>редакция:</w:t>
            </w:r>
          </w:p>
          <w:p w14:paraId="500D0076" w14:textId="77777777" w:rsidR="004D0BA1" w:rsidRDefault="00297406" w:rsidP="003C7AF7">
            <w:pPr>
              <w:pStyle w:val="TableCell"/>
              <w:jc w:val="both"/>
              <w:rPr>
                <w:b/>
                <w:lang w:val="bg-BG"/>
              </w:rPr>
            </w:pPr>
            <w:r w:rsidRPr="009E25EC">
              <w:rPr>
                <w:b/>
                <w:i/>
                <w:u w:val="single"/>
                <w:lang w:val="bg-BG"/>
              </w:rPr>
              <w:t>Предложение за редакция:</w:t>
            </w:r>
            <w:r>
              <w:rPr>
                <w:b/>
                <w:lang w:val="bg-BG"/>
              </w:rPr>
              <w:t xml:space="preserve"> </w:t>
            </w:r>
            <w:r w:rsidR="004D0BA1" w:rsidRPr="00FF2DF1">
              <w:rPr>
                <w:lang w:val="bg-BG"/>
              </w:rPr>
              <w:t xml:space="preserve">Да се </w:t>
            </w:r>
            <w:r w:rsidR="004D0BA1" w:rsidRPr="00353367">
              <w:rPr>
                <w:strike/>
                <w:lang w:val="bg-BG"/>
              </w:rPr>
              <w:t>повишат глобите до нива, които имат</w:t>
            </w:r>
            <w:r w:rsidR="004D0BA1" w:rsidRPr="00FF2DF1">
              <w:rPr>
                <w:lang w:val="bg-BG"/>
              </w:rPr>
              <w:t xml:space="preserve"> </w:t>
            </w:r>
            <w:r w:rsidR="00353367" w:rsidRPr="00297406">
              <w:rPr>
                <w:b/>
                <w:lang w:val="bg-BG"/>
              </w:rPr>
              <w:t xml:space="preserve">засили </w:t>
            </w:r>
            <w:r w:rsidR="004D0BA1" w:rsidRPr="00FF2DF1">
              <w:rPr>
                <w:lang w:val="bg-BG"/>
              </w:rPr>
              <w:t>възпиращ</w:t>
            </w:r>
            <w:r w:rsidR="00353367" w:rsidRPr="00FF2DF1">
              <w:rPr>
                <w:b/>
                <w:lang w:val="bg-BG"/>
              </w:rPr>
              <w:t>ият</w:t>
            </w:r>
            <w:r w:rsidR="004D0BA1" w:rsidRPr="00FF2DF1">
              <w:rPr>
                <w:lang w:val="bg-BG"/>
              </w:rPr>
              <w:t xml:space="preserve"> ефект</w:t>
            </w:r>
            <w:r w:rsidR="008146F7" w:rsidRPr="00297406">
              <w:rPr>
                <w:b/>
                <w:lang w:val="bg-BG"/>
              </w:rPr>
              <w:t xml:space="preserve"> на налаганите глоби</w:t>
            </w:r>
            <w:r w:rsidR="004D0BA1" w:rsidRPr="00FF2DF1">
              <w:rPr>
                <w:lang w:val="bg-BG"/>
              </w:rPr>
              <w:t xml:space="preserve"> и да се ускори издаването им за по-голяма ефективност.</w:t>
            </w:r>
          </w:p>
          <w:p w14:paraId="1DD7A183" w14:textId="77777777" w:rsidR="003C7AF7" w:rsidRPr="0098326F" w:rsidRDefault="00A12BFF" w:rsidP="003C7AF7">
            <w:pPr>
              <w:pStyle w:val="TableCell"/>
              <w:jc w:val="both"/>
              <w:rPr>
                <w:highlight w:val="green"/>
                <w:lang w:val="bg-BG"/>
              </w:rPr>
            </w:pPr>
            <w:r w:rsidRPr="00846FCB">
              <w:rPr>
                <w:b/>
                <w:i/>
                <w:szCs w:val="17"/>
                <w:u w:val="single"/>
                <w:lang w:val="bg-BG"/>
              </w:rPr>
              <w:t>Мотиви</w:t>
            </w:r>
            <w:r w:rsidR="003C7AF7" w:rsidRPr="009E25EC">
              <w:rPr>
                <w:b/>
                <w:i/>
                <w:u w:val="single"/>
                <w:lang w:val="bg-BG"/>
              </w:rPr>
              <w:t>:</w:t>
            </w:r>
            <w:r w:rsidR="003C7AF7" w:rsidRPr="002A7C8B">
              <w:rPr>
                <w:lang w:val="bg-BG"/>
              </w:rPr>
              <w:t xml:space="preserve"> Използваната от КЗК методология за определяне на нивата на глобите е в съответствие със законодателството на ЕС в областта на конкуренцията.</w:t>
            </w:r>
          </w:p>
        </w:tc>
      </w:tr>
      <w:tr w:rsidR="003C7AF7" w:rsidRPr="006C3504" w14:paraId="3062349B" w14:textId="77777777" w:rsidTr="00BD042C">
        <w:tc>
          <w:tcPr>
            <w:tcW w:w="5812" w:type="dxa"/>
            <w:gridSpan w:val="2"/>
            <w:tcBorders>
              <w:top w:val="single" w:sz="4" w:space="0" w:color="5B9BD5" w:themeColor="accent1"/>
              <w:bottom w:val="single" w:sz="4" w:space="0" w:color="5B9BD5" w:themeColor="accent1"/>
            </w:tcBorders>
          </w:tcPr>
          <w:p w14:paraId="01126DCD" w14:textId="77777777" w:rsidR="003C7AF7" w:rsidRPr="006C3504" w:rsidRDefault="003C7AF7" w:rsidP="003C7AF7">
            <w:pPr>
              <w:pStyle w:val="TableColumn"/>
              <w:rPr>
                <w:b/>
                <w:bCs/>
                <w:lang w:val="bg-BG"/>
              </w:rPr>
            </w:pPr>
            <w:r>
              <w:rPr>
                <w:b/>
                <w:bCs/>
                <w:lang w:val="bg-BG"/>
              </w:rPr>
              <w:t>Стимулиране</w:t>
            </w:r>
            <w:r w:rsidRPr="006C3504">
              <w:rPr>
                <w:b/>
                <w:bCs/>
                <w:lang w:val="bg-BG"/>
              </w:rPr>
              <w:t xml:space="preserve"> на иновациите</w:t>
            </w:r>
          </w:p>
        </w:tc>
        <w:tc>
          <w:tcPr>
            <w:tcW w:w="3260" w:type="dxa"/>
            <w:tcBorders>
              <w:top w:val="single" w:sz="4" w:space="0" w:color="5B9BD5" w:themeColor="accent1"/>
              <w:bottom w:val="single" w:sz="4" w:space="0" w:color="5B9BD5" w:themeColor="accent1"/>
            </w:tcBorders>
          </w:tcPr>
          <w:p w14:paraId="3B0B0240" w14:textId="77777777" w:rsidR="003C7AF7" w:rsidRPr="006C3504" w:rsidRDefault="003C7AF7" w:rsidP="003C7AF7">
            <w:pPr>
              <w:pStyle w:val="TableColumn"/>
              <w:rPr>
                <w:b/>
                <w:bCs/>
                <w:lang w:val="bg-BG"/>
              </w:rPr>
            </w:pPr>
          </w:p>
        </w:tc>
      </w:tr>
      <w:tr w:rsidR="003C7AF7" w:rsidRPr="00005C86" w14:paraId="33C83DF2" w14:textId="77777777" w:rsidTr="00BD042C">
        <w:tc>
          <w:tcPr>
            <w:tcW w:w="2552" w:type="dxa"/>
            <w:tcBorders>
              <w:top w:val="single" w:sz="4" w:space="0" w:color="5B9BD5" w:themeColor="accent1"/>
            </w:tcBorders>
          </w:tcPr>
          <w:p w14:paraId="4288FE11" w14:textId="77777777" w:rsidR="003C7AF7" w:rsidRPr="006C3504" w:rsidRDefault="003C7AF7" w:rsidP="003C7AF7">
            <w:pPr>
              <w:pStyle w:val="TableRow"/>
              <w:spacing w:before="60" w:after="60"/>
              <w:rPr>
                <w:lang w:val="bg-BG"/>
              </w:rPr>
            </w:pPr>
            <w:r w:rsidRPr="006C3504">
              <w:rPr>
                <w:lang w:val="bg-BG"/>
              </w:rPr>
              <w:lastRenderedPageBreak/>
              <w:t xml:space="preserve">Ниските публични разходи за научноизследователска и развойна дейност </w:t>
            </w:r>
            <w:r>
              <w:rPr>
                <w:lang w:val="bg-BG"/>
              </w:rPr>
              <w:t>в областта на</w:t>
            </w:r>
            <w:r w:rsidRPr="006C3504">
              <w:rPr>
                <w:lang w:val="bg-BG"/>
              </w:rPr>
              <w:t xml:space="preserve"> изследванията </w:t>
            </w:r>
            <w:r>
              <w:rPr>
                <w:lang w:val="bg-BG"/>
              </w:rPr>
              <w:t>носят</w:t>
            </w:r>
            <w:r w:rsidRPr="006C3504">
              <w:rPr>
                <w:lang w:val="bg-BG"/>
              </w:rPr>
              <w:t xml:space="preserve"> риск</w:t>
            </w:r>
            <w:r>
              <w:rPr>
                <w:lang w:val="bg-BG"/>
              </w:rPr>
              <w:t xml:space="preserve"> от недостига им като публично</w:t>
            </w:r>
            <w:r w:rsidRPr="006C3504">
              <w:rPr>
                <w:lang w:val="bg-BG"/>
              </w:rPr>
              <w:t xml:space="preserve"> благо и от пропускане на положителните странични ефекти. </w:t>
            </w:r>
            <w:r>
              <w:rPr>
                <w:lang w:val="bg-BG"/>
              </w:rPr>
              <w:t>Н</w:t>
            </w:r>
            <w:r w:rsidRPr="001B2876">
              <w:rPr>
                <w:lang w:val="bg-BG"/>
              </w:rPr>
              <w:t xml:space="preserve">аучноизследователска и развойна дейност </w:t>
            </w:r>
            <w:r>
              <w:rPr>
                <w:lang w:val="bg-BG"/>
              </w:rPr>
              <w:t>от страна на б</w:t>
            </w:r>
            <w:r w:rsidRPr="006C3504">
              <w:rPr>
                <w:lang w:val="bg-BG"/>
              </w:rPr>
              <w:t xml:space="preserve">изнесът е </w:t>
            </w:r>
            <w:r>
              <w:rPr>
                <w:lang w:val="bg-BG"/>
              </w:rPr>
              <w:t xml:space="preserve">на </w:t>
            </w:r>
            <w:r w:rsidRPr="006C3504">
              <w:rPr>
                <w:lang w:val="bg-BG"/>
              </w:rPr>
              <w:t>ниск</w:t>
            </w:r>
            <w:r>
              <w:rPr>
                <w:lang w:val="bg-BG"/>
              </w:rPr>
              <w:t>о ниво</w:t>
            </w:r>
            <w:r w:rsidRPr="006C3504">
              <w:rPr>
                <w:lang w:val="bg-BG"/>
              </w:rPr>
              <w:t xml:space="preserve"> и няма ясн</w:t>
            </w:r>
            <w:r>
              <w:rPr>
                <w:lang w:val="bg-BG"/>
              </w:rPr>
              <w:t>а подкрепа</w:t>
            </w:r>
            <w:r w:rsidRPr="006C3504">
              <w:rPr>
                <w:lang w:val="bg-BG"/>
              </w:rPr>
              <w:t>.</w:t>
            </w:r>
          </w:p>
        </w:tc>
        <w:tc>
          <w:tcPr>
            <w:tcW w:w="3260" w:type="dxa"/>
            <w:tcBorders>
              <w:top w:val="single" w:sz="4" w:space="0" w:color="5B9BD5" w:themeColor="accent1"/>
            </w:tcBorders>
          </w:tcPr>
          <w:p w14:paraId="1C87B143" w14:textId="77777777" w:rsidR="003C7AF7" w:rsidRPr="006C3504" w:rsidRDefault="003C7AF7" w:rsidP="003C7AF7">
            <w:pPr>
              <w:pStyle w:val="TableCell"/>
              <w:jc w:val="both"/>
              <w:rPr>
                <w:lang w:val="bg-BG"/>
              </w:rPr>
            </w:pPr>
            <w:r>
              <w:rPr>
                <w:lang w:val="bg-BG"/>
              </w:rPr>
              <w:t xml:space="preserve">Да </w:t>
            </w:r>
            <w:r w:rsidRPr="007E315C">
              <w:rPr>
                <w:lang w:val="bg-BG"/>
              </w:rPr>
              <w:t>се увеличат публичните разходи</w:t>
            </w:r>
            <w:r w:rsidRPr="006C3504">
              <w:rPr>
                <w:lang w:val="bg-BG"/>
              </w:rPr>
              <w:t xml:space="preserve"> за научноизследователска и развойна дейност и </w:t>
            </w:r>
            <w:r w:rsidRPr="007E315C">
              <w:rPr>
                <w:lang w:val="bg-BG"/>
              </w:rPr>
              <w:t>да се развият стимули</w:t>
            </w:r>
            <w:r w:rsidRPr="006C3504">
              <w:rPr>
                <w:lang w:val="bg-BG"/>
              </w:rPr>
              <w:t xml:space="preserve"> за научноизследователска и развойна дейност</w:t>
            </w:r>
            <w:r>
              <w:rPr>
                <w:lang w:val="bg-BG"/>
              </w:rPr>
              <w:t xml:space="preserve"> от бизнес сектора</w:t>
            </w:r>
            <w:r w:rsidRPr="006C3504">
              <w:rPr>
                <w:lang w:val="bg-BG"/>
              </w:rPr>
              <w:t>, насочена към области с най-висока въ</w:t>
            </w:r>
            <w:r>
              <w:rPr>
                <w:lang w:val="bg-BG"/>
              </w:rPr>
              <w:t>звръщаемост, подлежащи на строга</w:t>
            </w:r>
            <w:r w:rsidRPr="006C3504">
              <w:rPr>
                <w:lang w:val="bg-BG"/>
              </w:rPr>
              <w:t xml:space="preserve"> оцен</w:t>
            </w:r>
            <w:r>
              <w:rPr>
                <w:lang w:val="bg-BG"/>
              </w:rPr>
              <w:t>ка</w:t>
            </w:r>
            <w:r w:rsidRPr="006C3504">
              <w:rPr>
                <w:lang w:val="bg-BG"/>
              </w:rPr>
              <w:t xml:space="preserve"> и </w:t>
            </w:r>
            <w:r>
              <w:rPr>
                <w:lang w:val="bg-BG"/>
              </w:rPr>
              <w:t>анализ</w:t>
            </w:r>
            <w:r w:rsidRPr="006C3504">
              <w:rPr>
                <w:lang w:val="bg-BG"/>
              </w:rPr>
              <w:t>.</w:t>
            </w:r>
          </w:p>
        </w:tc>
        <w:tc>
          <w:tcPr>
            <w:tcW w:w="3260" w:type="dxa"/>
            <w:tcBorders>
              <w:top w:val="single" w:sz="4" w:space="0" w:color="5B9BD5" w:themeColor="accent1"/>
            </w:tcBorders>
          </w:tcPr>
          <w:p w14:paraId="1CA81E13" w14:textId="77777777" w:rsidR="003C7AF7" w:rsidRPr="00D117C2" w:rsidRDefault="003C7AF7" w:rsidP="003C7AF7">
            <w:pPr>
              <w:pStyle w:val="TableCell"/>
              <w:jc w:val="both"/>
              <w:rPr>
                <w:b/>
                <w:lang w:val="bg-BG"/>
              </w:rPr>
            </w:pPr>
            <w:r w:rsidRPr="00D117C2">
              <w:rPr>
                <w:b/>
                <w:lang w:val="bg-BG"/>
              </w:rPr>
              <w:t>Република България изразява съгласие с препоръката.</w:t>
            </w:r>
          </w:p>
          <w:p w14:paraId="7896845C" w14:textId="77777777" w:rsidR="007C2924" w:rsidRPr="007C2924" w:rsidRDefault="00A15AC4" w:rsidP="007C2924">
            <w:pPr>
              <w:pStyle w:val="TableCell"/>
              <w:jc w:val="both"/>
              <w:rPr>
                <w:lang w:val="bg-BG"/>
              </w:rPr>
            </w:pPr>
            <w:r>
              <w:rPr>
                <w:b/>
                <w:i/>
                <w:u w:val="single"/>
                <w:lang w:val="bg-BG"/>
              </w:rPr>
              <w:t>Коментар</w:t>
            </w:r>
            <w:r w:rsidR="003C7AF7" w:rsidRPr="009E25EC">
              <w:rPr>
                <w:b/>
                <w:i/>
                <w:u w:val="single"/>
                <w:lang w:val="bg-BG"/>
              </w:rPr>
              <w:t>:</w:t>
            </w:r>
            <w:r w:rsidR="003C7AF7">
              <w:rPr>
                <w:lang w:val="bg-BG"/>
              </w:rPr>
              <w:t xml:space="preserve"> </w:t>
            </w:r>
            <w:r w:rsidR="007C2924" w:rsidRPr="007C2924">
              <w:rPr>
                <w:lang w:val="bg-BG"/>
              </w:rPr>
              <w:t xml:space="preserve">В допълнение, след приемането на Закона за насърчаване на научните изследвания и иновациите, се преструктурира Националния иновационен фонд като отделна структурна единица под шапката на Министерство на иновациите и растежа и след стартиране на дейността му през 2025 г., бюджетът на фонда предстои да бъде увеличен с над 60%. </w:t>
            </w:r>
          </w:p>
          <w:p w14:paraId="4160A5DF" w14:textId="77777777" w:rsidR="007C2924" w:rsidRPr="006C3504" w:rsidRDefault="007C2924" w:rsidP="007C2924">
            <w:pPr>
              <w:pStyle w:val="TableCell"/>
              <w:jc w:val="both"/>
              <w:rPr>
                <w:lang w:val="bg-BG"/>
              </w:rPr>
            </w:pPr>
            <w:r w:rsidRPr="007C2924">
              <w:rPr>
                <w:lang w:val="bg-BG"/>
              </w:rPr>
              <w:t>От друга страна, България обмисля и допълнителни възможности за насърчаване на НИРД разходите в предприятията.</w:t>
            </w:r>
          </w:p>
        </w:tc>
      </w:tr>
      <w:tr w:rsidR="003C7AF7" w:rsidRPr="00005C86" w14:paraId="549221B8" w14:textId="77777777" w:rsidTr="00BD042C">
        <w:tc>
          <w:tcPr>
            <w:tcW w:w="2552" w:type="dxa"/>
            <w:tcBorders>
              <w:bottom w:val="single" w:sz="4" w:space="0" w:color="5B9BD5" w:themeColor="accent1"/>
            </w:tcBorders>
          </w:tcPr>
          <w:p w14:paraId="23FD2FE7" w14:textId="77777777" w:rsidR="003C7AF7" w:rsidRPr="006C3504" w:rsidRDefault="003C7AF7" w:rsidP="003C7AF7">
            <w:pPr>
              <w:pStyle w:val="TableRow"/>
              <w:spacing w:before="60" w:after="60"/>
              <w:rPr>
                <w:lang w:val="bg-BG"/>
              </w:rPr>
            </w:pPr>
            <w:r>
              <w:rPr>
                <w:lang w:val="bg-BG"/>
              </w:rPr>
              <w:t>Схемите позволяващи н</w:t>
            </w:r>
            <w:r w:rsidRPr="006C3504">
              <w:rPr>
                <w:lang w:val="bg-BG"/>
              </w:rPr>
              <w:t>а изследователите да се възползват от комерсиализацията на техните иновационни продукти се</w:t>
            </w:r>
            <w:r>
              <w:rPr>
                <w:lang w:val="bg-BG"/>
              </w:rPr>
              <w:t xml:space="preserve"> определят от техните институти</w:t>
            </w:r>
            <w:r w:rsidRPr="006C3504">
              <w:rPr>
                <w:lang w:val="bg-BG"/>
              </w:rPr>
              <w:t>. Не е известно до каква степен патентите и другите резултати от иновациите се комерсиализират.</w:t>
            </w:r>
          </w:p>
        </w:tc>
        <w:tc>
          <w:tcPr>
            <w:tcW w:w="3260" w:type="dxa"/>
            <w:tcBorders>
              <w:bottom w:val="single" w:sz="4" w:space="0" w:color="5B9BD5" w:themeColor="accent1"/>
            </w:tcBorders>
          </w:tcPr>
          <w:p w14:paraId="4323733B" w14:textId="77777777" w:rsidR="003C7AF7" w:rsidRPr="006C3504" w:rsidRDefault="003C7AF7" w:rsidP="003C7AF7">
            <w:pPr>
              <w:pStyle w:val="TableCell"/>
              <w:jc w:val="both"/>
              <w:rPr>
                <w:lang w:val="bg-BG"/>
              </w:rPr>
            </w:pPr>
            <w:r>
              <w:rPr>
                <w:lang w:val="bg-BG"/>
              </w:rPr>
              <w:t>Да се създаде</w:t>
            </w:r>
            <w:r w:rsidRPr="006C3504">
              <w:rPr>
                <w:lang w:val="bg-BG"/>
              </w:rPr>
              <w:t xml:space="preserve"> прозрачна система, която да позволи изследователите да се възползват от комерсиализацията на резултатите от научните </w:t>
            </w:r>
            <w:r>
              <w:rPr>
                <w:lang w:val="bg-BG"/>
              </w:rPr>
              <w:t xml:space="preserve">им </w:t>
            </w:r>
            <w:r w:rsidRPr="006C3504">
              <w:rPr>
                <w:lang w:val="bg-BG"/>
              </w:rPr>
              <w:t xml:space="preserve">изследвания. </w:t>
            </w:r>
            <w:r>
              <w:rPr>
                <w:lang w:val="bg-BG"/>
              </w:rPr>
              <w:t>Да се с</w:t>
            </w:r>
            <w:r w:rsidRPr="006C3504">
              <w:rPr>
                <w:lang w:val="bg-BG"/>
              </w:rPr>
              <w:t xml:space="preserve">ъбират данни за комерсиализацията на резултатите от иновациите, за да </w:t>
            </w:r>
            <w:r>
              <w:rPr>
                <w:lang w:val="bg-BG"/>
              </w:rPr>
              <w:t xml:space="preserve">се </w:t>
            </w:r>
            <w:r w:rsidRPr="006C3504">
              <w:rPr>
                <w:lang w:val="bg-BG"/>
              </w:rPr>
              <w:t>подобри ефективността на разходите.</w:t>
            </w:r>
          </w:p>
        </w:tc>
        <w:tc>
          <w:tcPr>
            <w:tcW w:w="3260" w:type="dxa"/>
            <w:tcBorders>
              <w:bottom w:val="single" w:sz="4" w:space="0" w:color="5B9BD5" w:themeColor="accent1"/>
            </w:tcBorders>
          </w:tcPr>
          <w:p w14:paraId="42086EC2" w14:textId="77777777" w:rsidR="003C7AF7" w:rsidRDefault="003C7AF7" w:rsidP="003C7AF7">
            <w:pPr>
              <w:pStyle w:val="TableCell"/>
              <w:jc w:val="both"/>
              <w:rPr>
                <w:b/>
                <w:lang w:val="bg-BG"/>
              </w:rPr>
            </w:pPr>
            <w:r w:rsidRPr="00FD464B">
              <w:rPr>
                <w:b/>
                <w:lang w:val="bg-BG"/>
              </w:rPr>
              <w:t>Републ</w:t>
            </w:r>
            <w:r w:rsidR="000B124A">
              <w:rPr>
                <w:b/>
                <w:lang w:val="bg-BG"/>
              </w:rPr>
              <w:t xml:space="preserve">ика България изразява съгласие </w:t>
            </w:r>
            <w:r w:rsidRPr="00FD464B">
              <w:rPr>
                <w:b/>
                <w:lang w:val="bg-BG"/>
              </w:rPr>
              <w:t>с препоръката.</w:t>
            </w:r>
          </w:p>
          <w:p w14:paraId="588DD786" w14:textId="77777777" w:rsidR="00331D65" w:rsidRPr="00FD464B" w:rsidRDefault="00A15AC4" w:rsidP="003C7AF7">
            <w:pPr>
              <w:pStyle w:val="TableCell"/>
              <w:jc w:val="both"/>
              <w:rPr>
                <w:b/>
                <w:lang w:val="bg-BG"/>
              </w:rPr>
            </w:pPr>
            <w:r>
              <w:rPr>
                <w:b/>
                <w:i/>
                <w:u w:val="single"/>
                <w:lang w:val="bg-BG"/>
              </w:rPr>
              <w:t>Коментар</w:t>
            </w:r>
            <w:r>
              <w:rPr>
                <w:lang w:val="bg-BG"/>
              </w:rPr>
              <w:t>:</w:t>
            </w:r>
            <w:r w:rsidR="00331D65">
              <w:rPr>
                <w:lang w:val="bg-BG"/>
              </w:rPr>
              <w:t xml:space="preserve"> </w:t>
            </w:r>
            <w:r w:rsidR="00331D65" w:rsidRPr="00331D65">
              <w:rPr>
                <w:lang w:val="bg-BG"/>
              </w:rPr>
              <w:t>Следва да се има предвид, че през 2025 и 2026 г. България е поставила фокус именно върху интензивно развитие на моделите на технологичен трансфер, като основно това ще се състои чрез изпълнението на две ключови инициативи: изграждане на национална мрежа за технологичен трансфер, подкрепена чрез Програмата за научни изследвания, иновации и дигитализация за интелигентна трансформация и структурирането на Фонд за трансфер на технологии и иновации от науката към бизнеса под формата на финансов инструмент, управляван от Фонда на фондовете.</w:t>
            </w:r>
          </w:p>
        </w:tc>
      </w:tr>
      <w:tr w:rsidR="003C7AF7" w:rsidRPr="00005C86" w14:paraId="7DF8DBE9" w14:textId="77777777" w:rsidTr="00BD042C">
        <w:tc>
          <w:tcPr>
            <w:tcW w:w="2552" w:type="dxa"/>
            <w:tcBorders>
              <w:bottom w:val="single" w:sz="4" w:space="0" w:color="5B9BD5" w:themeColor="accent1"/>
            </w:tcBorders>
          </w:tcPr>
          <w:p w14:paraId="05247B38" w14:textId="77777777" w:rsidR="003C7AF7" w:rsidRPr="006C3504" w:rsidRDefault="003C7AF7" w:rsidP="003C7AF7">
            <w:pPr>
              <w:pStyle w:val="TableRow"/>
              <w:spacing w:before="60" w:after="60"/>
              <w:rPr>
                <w:lang w:val="bg-BG"/>
              </w:rPr>
            </w:pPr>
            <w:r w:rsidRPr="006C3504">
              <w:rPr>
                <w:lang w:val="bg-BG"/>
              </w:rPr>
              <w:t>Повечето предприятия са малки и фиксираните разходи за дигитални решения са високи.</w:t>
            </w:r>
          </w:p>
        </w:tc>
        <w:tc>
          <w:tcPr>
            <w:tcW w:w="3260" w:type="dxa"/>
            <w:tcBorders>
              <w:bottom w:val="single" w:sz="4" w:space="0" w:color="5B9BD5" w:themeColor="accent1"/>
            </w:tcBorders>
          </w:tcPr>
          <w:p w14:paraId="6397D1FB" w14:textId="77777777" w:rsidR="003C7AF7" w:rsidRPr="006C3504" w:rsidRDefault="003C7AF7" w:rsidP="003C7AF7">
            <w:pPr>
              <w:pStyle w:val="TableCell"/>
              <w:jc w:val="both"/>
              <w:rPr>
                <w:lang w:val="bg-BG"/>
              </w:rPr>
            </w:pPr>
            <w:r>
              <w:rPr>
                <w:lang w:val="bg-BG"/>
              </w:rPr>
              <w:t>С</w:t>
            </w:r>
            <w:r w:rsidRPr="006C3504">
              <w:rPr>
                <w:lang w:val="bg-BG"/>
              </w:rPr>
              <w:t xml:space="preserve"> помощта на бизнес асоциации</w:t>
            </w:r>
            <w:r>
              <w:rPr>
                <w:lang w:val="bg-BG"/>
              </w:rPr>
              <w:t>, да се координира</w:t>
            </w:r>
            <w:r w:rsidRPr="006C3504">
              <w:rPr>
                <w:lang w:val="bg-BG"/>
              </w:rPr>
              <w:t xml:space="preserve"> съвместно закуп</w:t>
            </w:r>
            <w:r>
              <w:rPr>
                <w:lang w:val="bg-BG"/>
              </w:rPr>
              <w:t>уване на цифрови бизнес решения</w:t>
            </w:r>
            <w:r w:rsidRPr="006C3504">
              <w:rPr>
                <w:lang w:val="bg-BG"/>
              </w:rPr>
              <w:t xml:space="preserve"> повишаващи ефективността.</w:t>
            </w:r>
          </w:p>
        </w:tc>
        <w:tc>
          <w:tcPr>
            <w:tcW w:w="3260" w:type="dxa"/>
            <w:tcBorders>
              <w:bottom w:val="single" w:sz="4" w:space="0" w:color="5B9BD5" w:themeColor="accent1"/>
            </w:tcBorders>
          </w:tcPr>
          <w:p w14:paraId="525F84B1" w14:textId="77777777" w:rsidR="003C7AF7" w:rsidRDefault="003C7AF7" w:rsidP="003C7AF7">
            <w:pPr>
              <w:pStyle w:val="TableCell"/>
              <w:jc w:val="both"/>
              <w:rPr>
                <w:b/>
                <w:lang w:val="bg-BG"/>
              </w:rPr>
            </w:pPr>
            <w:r w:rsidRPr="00FD464B">
              <w:rPr>
                <w:b/>
                <w:lang w:val="bg-BG"/>
              </w:rPr>
              <w:t>Републ</w:t>
            </w:r>
            <w:r w:rsidR="000B124A">
              <w:rPr>
                <w:b/>
                <w:lang w:val="bg-BG"/>
              </w:rPr>
              <w:t xml:space="preserve">ика България изразява съгласие </w:t>
            </w:r>
            <w:r w:rsidRPr="00FD464B">
              <w:rPr>
                <w:b/>
                <w:lang w:val="bg-BG"/>
              </w:rPr>
              <w:t>с препоръката.</w:t>
            </w:r>
          </w:p>
          <w:p w14:paraId="35725377" w14:textId="77777777" w:rsidR="00331D65" w:rsidRPr="00FD464B" w:rsidRDefault="00355056" w:rsidP="003C7AF7">
            <w:pPr>
              <w:pStyle w:val="TableCell"/>
              <w:jc w:val="both"/>
              <w:rPr>
                <w:b/>
                <w:lang w:val="bg-BG"/>
              </w:rPr>
            </w:pPr>
            <w:r>
              <w:rPr>
                <w:b/>
                <w:i/>
                <w:u w:val="single"/>
                <w:lang w:val="bg-BG"/>
              </w:rPr>
              <w:t>Коментар</w:t>
            </w:r>
            <w:r>
              <w:rPr>
                <w:lang w:val="bg-BG"/>
              </w:rPr>
              <w:t>:</w:t>
            </w:r>
            <w:r w:rsidR="00331D65" w:rsidRPr="00331D65">
              <w:rPr>
                <w:lang w:val="bg-BG"/>
              </w:rPr>
              <w:t xml:space="preserve"> Следва да се има предвид, че голяма част от предоставяното финансиране по ключови програми на Министерство на иновациите и растежа е насочено именно към дигитализация на предприятията, за което свидетелстват и процедурите в сферата на Индустрия 4.0, дигитализация на предприятията и т.н.</w:t>
            </w:r>
          </w:p>
        </w:tc>
      </w:tr>
      <w:tr w:rsidR="003C7AF7" w:rsidRPr="00577A1B" w14:paraId="7D5DE9C4" w14:textId="77777777" w:rsidTr="00BD042C">
        <w:tc>
          <w:tcPr>
            <w:tcW w:w="5812" w:type="dxa"/>
            <w:gridSpan w:val="2"/>
            <w:tcBorders>
              <w:top w:val="single" w:sz="4" w:space="0" w:color="5B9BD5" w:themeColor="accent1"/>
              <w:bottom w:val="single" w:sz="4" w:space="0" w:color="5B9BD5" w:themeColor="accent1"/>
            </w:tcBorders>
            <w:hideMark/>
          </w:tcPr>
          <w:p w14:paraId="4F19781F" w14:textId="77777777" w:rsidR="003C7AF7" w:rsidRPr="006C3504" w:rsidRDefault="003C7AF7" w:rsidP="003C7AF7">
            <w:pPr>
              <w:pStyle w:val="TableColumn"/>
              <w:rPr>
                <w:b/>
                <w:bCs/>
                <w:lang w:val="bg-BG"/>
              </w:rPr>
            </w:pPr>
            <w:r w:rsidRPr="006C3504">
              <w:rPr>
                <w:b/>
                <w:bCs/>
                <w:lang w:val="bg-BG"/>
              </w:rPr>
              <w:t>Насърчаване на бизнес динамиката</w:t>
            </w:r>
          </w:p>
        </w:tc>
        <w:tc>
          <w:tcPr>
            <w:tcW w:w="3260" w:type="dxa"/>
            <w:tcBorders>
              <w:top w:val="single" w:sz="4" w:space="0" w:color="5B9BD5" w:themeColor="accent1"/>
              <w:bottom w:val="single" w:sz="4" w:space="0" w:color="5B9BD5" w:themeColor="accent1"/>
            </w:tcBorders>
          </w:tcPr>
          <w:p w14:paraId="1F222E7B" w14:textId="77777777" w:rsidR="003C7AF7" w:rsidRPr="00FD464B" w:rsidRDefault="003C7AF7" w:rsidP="003C7AF7">
            <w:pPr>
              <w:pStyle w:val="TableColumn"/>
              <w:rPr>
                <w:b/>
                <w:bCs/>
                <w:lang w:val="bg-BG"/>
              </w:rPr>
            </w:pPr>
          </w:p>
        </w:tc>
      </w:tr>
      <w:tr w:rsidR="003C7AF7" w:rsidRPr="00005C86" w14:paraId="317664C7" w14:textId="77777777" w:rsidTr="00BD042C">
        <w:tc>
          <w:tcPr>
            <w:tcW w:w="2552" w:type="dxa"/>
            <w:tcBorders>
              <w:top w:val="single" w:sz="4" w:space="0" w:color="5B9BD5" w:themeColor="accent1"/>
            </w:tcBorders>
          </w:tcPr>
          <w:p w14:paraId="16DDF02D" w14:textId="77777777" w:rsidR="003C7AF7" w:rsidRPr="006C3504" w:rsidRDefault="003C7AF7" w:rsidP="003C7AF7">
            <w:pPr>
              <w:pStyle w:val="TableRow"/>
              <w:spacing w:before="60" w:after="60"/>
              <w:rPr>
                <w:lang w:val="bg-BG"/>
              </w:rPr>
            </w:pPr>
            <w:r w:rsidRPr="006C3504">
              <w:rPr>
                <w:lang w:val="bg-BG"/>
              </w:rPr>
              <w:t>Административните изисквания за започване на бизнес, лицензиране и свързване с основни комунални услуги остават тежки.</w:t>
            </w:r>
          </w:p>
        </w:tc>
        <w:tc>
          <w:tcPr>
            <w:tcW w:w="3260" w:type="dxa"/>
            <w:tcBorders>
              <w:top w:val="single" w:sz="4" w:space="0" w:color="5B9BD5" w:themeColor="accent1"/>
            </w:tcBorders>
          </w:tcPr>
          <w:p w14:paraId="5B53BE72" w14:textId="77777777" w:rsidR="003C7AF7" w:rsidRPr="006C3504" w:rsidRDefault="003C7AF7" w:rsidP="003C7AF7">
            <w:pPr>
              <w:pStyle w:val="TableCell"/>
              <w:jc w:val="both"/>
              <w:rPr>
                <w:b/>
                <w:bCs/>
                <w:lang w:val="bg-BG"/>
              </w:rPr>
            </w:pPr>
            <w:r>
              <w:rPr>
                <w:b/>
                <w:bCs/>
                <w:lang w:val="bg-BG"/>
              </w:rPr>
              <w:t>Да се о</w:t>
            </w:r>
            <w:r w:rsidRPr="006C3504">
              <w:rPr>
                <w:b/>
                <w:bCs/>
                <w:lang w:val="bg-BG"/>
              </w:rPr>
              <w:t>простя</w:t>
            </w:r>
            <w:r>
              <w:rPr>
                <w:b/>
                <w:bCs/>
                <w:lang w:val="bg-BG"/>
              </w:rPr>
              <w:t>т</w:t>
            </w:r>
            <w:r w:rsidRPr="006C3504">
              <w:rPr>
                <w:b/>
                <w:bCs/>
                <w:lang w:val="bg-BG"/>
              </w:rPr>
              <w:t xml:space="preserve"> процедурите за вписване, лицензиране и свързване към комунални услуги и </w:t>
            </w:r>
            <w:r>
              <w:rPr>
                <w:b/>
                <w:bCs/>
                <w:lang w:val="bg-BG"/>
              </w:rPr>
              <w:t xml:space="preserve">да се </w:t>
            </w:r>
            <w:r w:rsidRPr="006C3504">
              <w:rPr>
                <w:b/>
                <w:bCs/>
                <w:lang w:val="bg-BG"/>
              </w:rPr>
              <w:t>консолидира</w:t>
            </w:r>
            <w:r>
              <w:rPr>
                <w:b/>
                <w:bCs/>
                <w:lang w:val="bg-BG"/>
              </w:rPr>
              <w:t>т</w:t>
            </w:r>
            <w:r w:rsidRPr="006C3504">
              <w:rPr>
                <w:b/>
                <w:bCs/>
                <w:lang w:val="bg-BG"/>
              </w:rPr>
              <w:t xml:space="preserve"> процесите по подаване на заявления в единн</w:t>
            </w:r>
            <w:r>
              <w:rPr>
                <w:b/>
                <w:bCs/>
                <w:lang w:val="bg-BG"/>
              </w:rPr>
              <w:t>о цифрово</w:t>
            </w:r>
            <w:r w:rsidRPr="006C3504">
              <w:rPr>
                <w:b/>
                <w:bCs/>
                <w:lang w:val="bg-BG"/>
              </w:rPr>
              <w:t xml:space="preserve"> гише.</w:t>
            </w:r>
          </w:p>
        </w:tc>
        <w:tc>
          <w:tcPr>
            <w:tcW w:w="3260" w:type="dxa"/>
            <w:tcBorders>
              <w:top w:val="single" w:sz="4" w:space="0" w:color="5B9BD5" w:themeColor="accent1"/>
            </w:tcBorders>
          </w:tcPr>
          <w:p w14:paraId="36BDFBEC" w14:textId="77777777" w:rsidR="003C7AF7" w:rsidRPr="00FD464B" w:rsidRDefault="003C7AF7" w:rsidP="003C7AF7">
            <w:pPr>
              <w:pStyle w:val="TableCell"/>
              <w:jc w:val="both"/>
              <w:rPr>
                <w:b/>
                <w:bCs/>
                <w:lang w:val="bg-BG"/>
              </w:rPr>
            </w:pPr>
            <w:r w:rsidRPr="00FD464B">
              <w:rPr>
                <w:b/>
                <w:bCs/>
                <w:lang w:val="bg-BG"/>
              </w:rPr>
              <w:t>Република България изразява съгласие  с препоръката.</w:t>
            </w:r>
          </w:p>
        </w:tc>
      </w:tr>
      <w:tr w:rsidR="003C7AF7" w:rsidRPr="00005C86" w14:paraId="79B1EBCE" w14:textId="77777777" w:rsidTr="00BD042C">
        <w:tc>
          <w:tcPr>
            <w:tcW w:w="2552" w:type="dxa"/>
          </w:tcPr>
          <w:p w14:paraId="2604EA2E" w14:textId="77777777" w:rsidR="003C7AF7" w:rsidRPr="006C3504" w:rsidRDefault="003C7AF7" w:rsidP="003C7AF7">
            <w:pPr>
              <w:pStyle w:val="TableRow"/>
              <w:spacing w:before="60" w:after="60"/>
              <w:rPr>
                <w:lang w:val="bg-BG"/>
              </w:rPr>
            </w:pPr>
            <w:r>
              <w:rPr>
                <w:lang w:val="bg-BG"/>
              </w:rPr>
              <w:t>П</w:t>
            </w:r>
            <w:r w:rsidRPr="006C3504">
              <w:rPr>
                <w:lang w:val="bg-BG"/>
              </w:rPr>
              <w:t>роизводства</w:t>
            </w:r>
            <w:r>
              <w:rPr>
                <w:lang w:val="bg-BG"/>
              </w:rPr>
              <w:t>та по ликвидация</w:t>
            </w:r>
            <w:r w:rsidRPr="006C3504">
              <w:rPr>
                <w:lang w:val="bg-BG"/>
              </w:rPr>
              <w:t xml:space="preserve"> и </w:t>
            </w:r>
            <w:r>
              <w:rPr>
                <w:lang w:val="bg-BG"/>
              </w:rPr>
              <w:t xml:space="preserve">производствата за </w:t>
            </w:r>
            <w:r w:rsidRPr="006C3504">
              <w:rPr>
                <w:lang w:val="bg-BG"/>
              </w:rPr>
              <w:t>преструктурира</w:t>
            </w:r>
            <w:r>
              <w:rPr>
                <w:lang w:val="bg-BG"/>
              </w:rPr>
              <w:t>не</w:t>
            </w:r>
            <w:r w:rsidRPr="006C3504">
              <w:rPr>
                <w:lang w:val="bg-BG"/>
              </w:rPr>
              <w:t xml:space="preserve"> са продължителни и скъпоструващи.</w:t>
            </w:r>
          </w:p>
        </w:tc>
        <w:tc>
          <w:tcPr>
            <w:tcW w:w="3260" w:type="dxa"/>
          </w:tcPr>
          <w:p w14:paraId="2598AFEB" w14:textId="77777777" w:rsidR="003C7AF7" w:rsidRPr="006C3504" w:rsidRDefault="003C7AF7" w:rsidP="003C7AF7">
            <w:pPr>
              <w:pStyle w:val="TableCell"/>
              <w:jc w:val="both"/>
              <w:rPr>
                <w:lang w:val="bg-BG"/>
              </w:rPr>
            </w:pPr>
            <w:r>
              <w:rPr>
                <w:lang w:val="bg-BG"/>
              </w:rPr>
              <w:t>Да продължи прилагането на реформи за ускоряване</w:t>
            </w:r>
            <w:r w:rsidRPr="006C3504">
              <w:rPr>
                <w:lang w:val="bg-BG"/>
              </w:rPr>
              <w:t xml:space="preserve"> ликвид</w:t>
            </w:r>
            <w:r>
              <w:rPr>
                <w:lang w:val="bg-BG"/>
              </w:rPr>
              <w:t>ационните производства</w:t>
            </w:r>
            <w:r w:rsidRPr="006C3504">
              <w:rPr>
                <w:lang w:val="bg-BG"/>
              </w:rPr>
              <w:t xml:space="preserve">. Да </w:t>
            </w:r>
            <w:r>
              <w:rPr>
                <w:lang w:val="bg-BG"/>
              </w:rPr>
              <w:t xml:space="preserve">се </w:t>
            </w:r>
            <w:r w:rsidRPr="006C3504">
              <w:rPr>
                <w:lang w:val="bg-BG"/>
              </w:rPr>
              <w:t xml:space="preserve">въведе </w:t>
            </w:r>
            <w:r>
              <w:rPr>
                <w:lang w:val="bg-BG"/>
              </w:rPr>
              <w:t>официален</w:t>
            </w:r>
            <w:r w:rsidRPr="006C3504">
              <w:rPr>
                <w:lang w:val="bg-BG"/>
              </w:rPr>
              <w:t xml:space="preserve"> режим за </w:t>
            </w:r>
            <w:r>
              <w:rPr>
                <w:lang w:val="bg-BG"/>
              </w:rPr>
              <w:t>фирми пред несъстоятелност</w:t>
            </w:r>
            <w:r w:rsidRPr="006C3504">
              <w:rPr>
                <w:lang w:val="bg-BG"/>
              </w:rPr>
              <w:t>, както и опростени процедури за МСП.</w:t>
            </w:r>
          </w:p>
        </w:tc>
        <w:tc>
          <w:tcPr>
            <w:tcW w:w="3260" w:type="dxa"/>
          </w:tcPr>
          <w:p w14:paraId="6DA18F9A" w14:textId="77777777" w:rsidR="00BD042C" w:rsidRPr="00BD042C" w:rsidRDefault="00BD042C" w:rsidP="003C7AF7">
            <w:pPr>
              <w:pStyle w:val="TableCell"/>
              <w:jc w:val="both"/>
              <w:rPr>
                <w:b/>
                <w:lang w:val="bg-BG"/>
              </w:rPr>
            </w:pPr>
            <w:r w:rsidRPr="00BD042C">
              <w:rPr>
                <w:b/>
                <w:bCs/>
                <w:lang w:val="bg-BG" w:eastAsia="bg-BG"/>
              </w:rPr>
              <w:t>Република България изразява несъгласие с пре</w:t>
            </w:r>
            <w:r>
              <w:rPr>
                <w:b/>
                <w:bCs/>
                <w:lang w:val="bg-BG" w:eastAsia="bg-BG"/>
              </w:rPr>
              <w:t>поръката и предлага да отпадне.</w:t>
            </w:r>
          </w:p>
          <w:p w14:paraId="6A0F00DA" w14:textId="77777777" w:rsidR="00BD042C" w:rsidRDefault="00355056" w:rsidP="00BD042C">
            <w:pPr>
              <w:rPr>
                <w:lang w:val="bg-BG" w:eastAsia="bg-BG"/>
              </w:rPr>
            </w:pPr>
            <w:r>
              <w:rPr>
                <w:b/>
                <w:i/>
                <w:color w:val="000000" w:themeColor="text1"/>
                <w:u w:val="single"/>
                <w:lang w:val="bg-BG"/>
              </w:rPr>
              <w:t>Мотиви</w:t>
            </w:r>
            <w:r w:rsidR="003C7AF7" w:rsidRPr="009E25EC">
              <w:rPr>
                <w:b/>
                <w:i/>
                <w:color w:val="000000" w:themeColor="text1"/>
                <w:u w:val="single"/>
                <w:lang w:val="bg-BG"/>
              </w:rPr>
              <w:t>:</w:t>
            </w:r>
            <w:r w:rsidR="003C7AF7" w:rsidRPr="00D02E38">
              <w:rPr>
                <w:lang w:val="bg-BG"/>
              </w:rPr>
              <w:t xml:space="preserve"> </w:t>
            </w:r>
            <w:r w:rsidR="00B8032E">
              <w:rPr>
                <w:b/>
                <w:bCs/>
                <w:lang w:val="bg-BG" w:eastAsia="bg-BG"/>
              </w:rPr>
              <w:t>1)</w:t>
            </w:r>
            <w:r w:rsidR="00BD042C" w:rsidRPr="00BD042C">
              <w:rPr>
                <w:lang w:val="bg-BG" w:eastAsia="bg-BG"/>
              </w:rPr>
              <w:t xml:space="preserve"> В т. 4.47. от доклада неточно е посочено, че българското право не предвижда преструктуриране преди несъстоятелност.</w:t>
            </w:r>
            <w:r w:rsidR="00BD042C" w:rsidRPr="00BD042C">
              <w:rPr>
                <w:color w:val="1F497D"/>
                <w:lang w:val="bg-BG" w:eastAsia="bg-BG"/>
              </w:rPr>
              <w:t xml:space="preserve"> </w:t>
            </w:r>
            <w:r w:rsidR="00BD042C" w:rsidRPr="00BD042C">
              <w:rPr>
                <w:lang w:val="bg-BG" w:eastAsia="bg-BG"/>
              </w:rPr>
              <w:t xml:space="preserve">Производството по стабилизация, което е реципрочно и съответства на производството по преструктуриране, е въведено в българското законодателство още през 2016 г. с промени в Търговския закон (ТЗ). Цитираните </w:t>
            </w:r>
            <w:r w:rsidR="00BD042C">
              <w:rPr>
                <w:lang w:eastAsia="bg-BG"/>
              </w:rPr>
              <w:t> </w:t>
            </w:r>
            <w:r w:rsidR="00BD042C" w:rsidRPr="00BD042C">
              <w:rPr>
                <w:lang w:val="bg-BG" w:eastAsia="bg-BG"/>
              </w:rPr>
              <w:t>изменения и допълнения в ТЗ от 2023 г. привеждат националното производство по стабилизация на търговеца в пълно съответствие с изискванията на Директива (ЕС) 2019/1023 и въвеждат възможност за провеждане на такова производство спрямо предприемачи, които не са търговци.</w:t>
            </w:r>
          </w:p>
          <w:p w14:paraId="5CA0996A" w14:textId="77777777" w:rsidR="00BD042C" w:rsidRPr="00BD042C" w:rsidRDefault="00BD042C" w:rsidP="00BD042C">
            <w:pPr>
              <w:rPr>
                <w:lang w:val="bg-BG" w:eastAsia="bg-BG"/>
              </w:rPr>
            </w:pPr>
            <w:r w:rsidRPr="00BD042C">
              <w:rPr>
                <w:lang w:val="bg-BG" w:eastAsia="bg-BG"/>
              </w:rPr>
              <w:t>На производството по стабилизация на търговец и на предприемач е посветена част пета от Търговския закон. Видно от § 98 от Закона за изменение и допълнение на Търговския закон, обн. в ДВ,</w:t>
            </w:r>
            <w:r>
              <w:rPr>
                <w:lang w:eastAsia="bg-BG"/>
              </w:rPr>
              <w:t> </w:t>
            </w:r>
            <w:r w:rsidRPr="00BD042C">
              <w:rPr>
                <w:lang w:val="bg-BG" w:eastAsia="bg-BG"/>
              </w:rPr>
              <w:t xml:space="preserve"> бр. 66 от 2023 г., </w:t>
            </w:r>
            <w:r w:rsidRPr="00BD042C">
              <w:rPr>
                <w:lang w:val="bg-BG" w:eastAsia="bg-BG"/>
              </w:rPr>
              <w:lastRenderedPageBreak/>
              <w:t xml:space="preserve">с измененията от 2023 г. са въведени изискванията на Директива (ЕС) 2019/1023 на Европейския парламент и на Съвета от 20 юни 2019 г. за рамките за превантивно преструктуриране, за опрощаването на задължения и забраната за осъществяване на дейност, за мерките за повишаване ефективността на производства по преструктуриране, несъстоятелност и опрощаване на задължения и за изменение на Директива (ЕС) 2017/1132 (ОВ, </w:t>
            </w:r>
            <w:r>
              <w:rPr>
                <w:lang w:eastAsia="bg-BG"/>
              </w:rPr>
              <w:t>L</w:t>
            </w:r>
            <w:r w:rsidRPr="00BD042C">
              <w:rPr>
                <w:lang w:val="bg-BG" w:eastAsia="bg-BG"/>
              </w:rPr>
              <w:t xml:space="preserve"> 172/18 от 26 юни 2019 г.). Съгласно чл. 761 от Търговския закон производството по стабилизация на търговец има за цел да предотврати откриването на производство по несъстоятелност чрез постигане на споразумение между търговеца и кредиторите му за преструктуриране на предприятието, което да доведе до продължаване на дейността на търговеца. Преструктурирането на предприятието на търговеца може да включва промяна на състава, условията и структурата на активите и пасивите, като сделки и действия на разпореждане и управление с активи, с търговското предприятие или обособена част от него, промяна на органите на управление и други подходящи мерки. Производство по стабилизация може да се открие за търговец, който се намира в непосредствена опасност от неплатежоспособност и има възможност да продължи дейността, по негова молба до окръжния съд. С откриване на производството се ограничават дейността на търговеца, но и се защитава срещу изпълнителни действия и производство по несъстоятелност. В хода на производството се взема становище на кредиторите по предложения от търговеца план за стабилизация, с утвърждаването на който се преобразуват техните вземания и се задължава търговецът да извърши структурни промени.</w:t>
            </w:r>
          </w:p>
          <w:p w14:paraId="182A58C4" w14:textId="77777777" w:rsidR="00BD042C" w:rsidRPr="00BD042C" w:rsidRDefault="00BD042C" w:rsidP="00BD042C">
            <w:pPr>
              <w:rPr>
                <w:lang w:val="bg-BG" w:eastAsia="bg-BG"/>
              </w:rPr>
            </w:pPr>
          </w:p>
          <w:p w14:paraId="2B9C2834" w14:textId="77777777" w:rsidR="00BD042C" w:rsidRPr="00BD042C" w:rsidRDefault="00B8032E" w:rsidP="00BD042C">
            <w:pPr>
              <w:spacing w:after="160"/>
              <w:rPr>
                <w:lang w:val="bg-BG" w:eastAsia="en-US"/>
              </w:rPr>
            </w:pPr>
            <w:r>
              <w:rPr>
                <w:b/>
                <w:bCs/>
                <w:lang w:val="bg-BG"/>
              </w:rPr>
              <w:t>2)</w:t>
            </w:r>
            <w:r w:rsidR="00BD042C" w:rsidRPr="00BD042C">
              <w:rPr>
                <w:lang w:val="bg-BG"/>
              </w:rPr>
              <w:t xml:space="preserve"> Въвеждане на ускорена процедура за ликвидация на дружества в България:</w:t>
            </w:r>
          </w:p>
          <w:p w14:paraId="20BF13EE" w14:textId="77777777" w:rsidR="00BD042C" w:rsidRPr="00BD042C" w:rsidRDefault="00BD042C" w:rsidP="00BD042C">
            <w:pPr>
              <w:spacing w:after="160"/>
              <w:rPr>
                <w:lang w:val="bg-BG"/>
              </w:rPr>
            </w:pPr>
            <w:r w:rsidRPr="00BD042C">
              <w:rPr>
                <w:lang w:val="bg-BG"/>
              </w:rPr>
              <w:t>-</w:t>
            </w:r>
            <w:r w:rsidR="009F6595">
              <w:t> </w:t>
            </w:r>
            <w:r w:rsidRPr="00BD042C">
              <w:rPr>
                <w:lang w:val="bg-BG"/>
              </w:rPr>
              <w:t>С изменения в Търговския закон бе създадена правна рамка за ускорена и улеснена ликвидация на дружества в България. Тази реформа е в съответствие с етап 254 от Националния план за възстановяване и устойчивост.</w:t>
            </w:r>
          </w:p>
          <w:p w14:paraId="5D6C5E69" w14:textId="77777777" w:rsidR="00BD042C" w:rsidRPr="00BD042C" w:rsidRDefault="00BD042C" w:rsidP="00BD042C">
            <w:pPr>
              <w:spacing w:after="160"/>
              <w:rPr>
                <w:lang w:val="bg-BG"/>
              </w:rPr>
            </w:pPr>
            <w:r w:rsidRPr="00BD042C">
              <w:rPr>
                <w:lang w:val="bg-BG"/>
              </w:rPr>
              <w:t>Улесняването на производството по ликвидация беше постигнато чрез две основни промени – съкращаване на сроковете на процедурите и въвеждане на „обслужване на едно гише“, където цялата комуникация за целите на ликвидацията ще се осъществява чрез Агенцията по вписванията.</w:t>
            </w:r>
          </w:p>
          <w:p w14:paraId="216ED0E4" w14:textId="77777777" w:rsidR="00BD042C" w:rsidRPr="00BD042C" w:rsidRDefault="00BD042C" w:rsidP="00BD042C">
            <w:pPr>
              <w:spacing w:after="160"/>
              <w:rPr>
                <w:lang w:val="bg-BG"/>
              </w:rPr>
            </w:pPr>
            <w:r w:rsidRPr="00BD042C">
              <w:rPr>
                <w:lang w:val="bg-BG"/>
              </w:rPr>
              <w:t>Специалните разпоредби са въведени в член 274а „Бързо производство по ликвидация“, систематично включен в глава седемнадесета „Ликвидация“. Алинеи 1 – 4 от член 274а регламентират условията, при които е допустима бърза ликвидация, а именно по отношение на дружество, което:</w:t>
            </w:r>
          </w:p>
          <w:p w14:paraId="33508023" w14:textId="77777777" w:rsidR="00BD042C" w:rsidRPr="00BD042C" w:rsidRDefault="00BD042C" w:rsidP="00BD042C">
            <w:pPr>
              <w:spacing w:after="160"/>
              <w:rPr>
                <w:lang w:val="bg-BG"/>
              </w:rPr>
            </w:pPr>
            <w:r w:rsidRPr="00BD042C">
              <w:rPr>
                <w:lang w:val="bg-BG"/>
              </w:rPr>
              <w:t xml:space="preserve">1. не е осъществявало дейност или е прекратило осъществяваната дейност преди </w:t>
            </w:r>
            <w:r w:rsidRPr="00BD042C">
              <w:rPr>
                <w:lang w:val="bg-BG"/>
              </w:rPr>
              <w:lastRenderedPageBreak/>
              <w:t>повече от 12 месеца;</w:t>
            </w:r>
          </w:p>
          <w:p w14:paraId="3250993B" w14:textId="77777777" w:rsidR="00BD042C" w:rsidRPr="00BD042C" w:rsidRDefault="00BD042C" w:rsidP="00BD042C">
            <w:pPr>
              <w:spacing w:after="160"/>
              <w:rPr>
                <w:lang w:val="bg-BG"/>
              </w:rPr>
            </w:pPr>
            <w:r w:rsidRPr="00BD042C">
              <w:rPr>
                <w:lang w:val="bg-BG"/>
              </w:rPr>
              <w:t>2. не е наемало работници и служители или е прекратило трудовите правоотношения с тях преди повече от 12 месеца;</w:t>
            </w:r>
          </w:p>
          <w:p w14:paraId="59133018" w14:textId="77777777" w:rsidR="00BD042C" w:rsidRPr="00BD042C" w:rsidRDefault="00BD042C" w:rsidP="00BD042C">
            <w:pPr>
              <w:spacing w:after="160"/>
              <w:rPr>
                <w:lang w:val="bg-BG"/>
              </w:rPr>
            </w:pPr>
            <w:r w:rsidRPr="00BD042C">
              <w:rPr>
                <w:lang w:val="bg-BG"/>
              </w:rPr>
              <w:t>3. не е имало регистрация по Закона за данък върху добавената стойност или е прекратило регистрацията си преди повече от 12 месеца;</w:t>
            </w:r>
          </w:p>
          <w:p w14:paraId="5028E362" w14:textId="77777777" w:rsidR="00BD042C" w:rsidRPr="00BD042C" w:rsidRDefault="00BD042C" w:rsidP="00BD042C">
            <w:pPr>
              <w:spacing w:after="160"/>
              <w:rPr>
                <w:lang w:val="bg-BG"/>
              </w:rPr>
            </w:pPr>
            <w:r w:rsidRPr="00BD042C">
              <w:rPr>
                <w:lang w:val="bg-BG"/>
              </w:rPr>
              <w:t>4. няма непогасени задължения към държавата и общините;</w:t>
            </w:r>
          </w:p>
          <w:p w14:paraId="4BA7F833" w14:textId="77777777" w:rsidR="00BD042C" w:rsidRPr="00BD042C" w:rsidRDefault="00BD042C" w:rsidP="00BD042C">
            <w:pPr>
              <w:spacing w:after="160"/>
              <w:rPr>
                <w:lang w:val="bg-BG"/>
              </w:rPr>
            </w:pPr>
            <w:r w:rsidRPr="00BD042C">
              <w:rPr>
                <w:lang w:val="bg-BG"/>
              </w:rPr>
              <w:t xml:space="preserve">5. няма </w:t>
            </w:r>
            <w:proofErr w:type="spellStart"/>
            <w:r w:rsidRPr="00BD042C">
              <w:rPr>
                <w:lang w:val="bg-BG"/>
              </w:rPr>
              <w:t>неприключило</w:t>
            </w:r>
            <w:proofErr w:type="spellEnd"/>
            <w:r w:rsidRPr="00BD042C">
              <w:rPr>
                <w:lang w:val="bg-BG"/>
              </w:rPr>
              <w:t xml:space="preserve"> производство по установяване на данъчни задължения и задължения за задължителни осигурителни вноски, по което страна е Националната агенция за приходите;</w:t>
            </w:r>
          </w:p>
          <w:p w14:paraId="05E98EF4" w14:textId="77777777" w:rsidR="00BD042C" w:rsidRPr="00BD042C" w:rsidRDefault="00BD042C" w:rsidP="00BD042C">
            <w:pPr>
              <w:spacing w:after="160"/>
              <w:rPr>
                <w:lang w:val="bg-BG"/>
              </w:rPr>
            </w:pPr>
            <w:r w:rsidRPr="00BD042C">
              <w:rPr>
                <w:lang w:val="bg-BG"/>
              </w:rPr>
              <w:t xml:space="preserve">6. не е ответна страна в съдебно производство, длъжник в изпълнително или заповедно производство или срещу него не е започнало изпълнение по реда на Закона за особените залози или Закона за договорите за финансово обезпечение и за приключващото </w:t>
            </w:r>
            <w:proofErr w:type="spellStart"/>
            <w:r w:rsidRPr="00BD042C">
              <w:rPr>
                <w:lang w:val="bg-BG"/>
              </w:rPr>
              <w:t>нетиране</w:t>
            </w:r>
            <w:proofErr w:type="spellEnd"/>
            <w:r w:rsidRPr="00BD042C">
              <w:rPr>
                <w:lang w:val="bg-BG"/>
              </w:rPr>
              <w:t>.</w:t>
            </w:r>
          </w:p>
          <w:p w14:paraId="6C1DD29F" w14:textId="77777777" w:rsidR="00BD042C" w:rsidRPr="00BD042C" w:rsidRDefault="00BD042C" w:rsidP="00BD042C">
            <w:pPr>
              <w:spacing w:after="160"/>
              <w:rPr>
                <w:lang w:val="bg-BG"/>
              </w:rPr>
            </w:pPr>
            <w:r w:rsidRPr="00BD042C">
              <w:rPr>
                <w:lang w:val="bg-BG"/>
              </w:rPr>
              <w:t>-</w:t>
            </w:r>
            <w:r w:rsidR="009F6595">
              <w:t> </w:t>
            </w:r>
            <w:r w:rsidRPr="00BD042C">
              <w:rPr>
                <w:lang w:val="bg-BG"/>
              </w:rPr>
              <w:t xml:space="preserve">Намаляване на сроковете на процедурите </w:t>
            </w:r>
          </w:p>
          <w:p w14:paraId="4F260F81" w14:textId="77777777" w:rsidR="00BD042C" w:rsidRPr="00BD042C" w:rsidRDefault="00BD042C" w:rsidP="00BD042C">
            <w:pPr>
              <w:spacing w:after="160"/>
              <w:rPr>
                <w:lang w:val="bg-BG"/>
              </w:rPr>
            </w:pPr>
            <w:r w:rsidRPr="00BD042C">
              <w:rPr>
                <w:lang w:val="bg-BG"/>
              </w:rPr>
              <w:t xml:space="preserve">Ускорената ликвидация предвижда по-кратки срокове за извършване на съответните проверки от органите на Националната агенция по приходите (НАП) и на Националния осигурителен институт (НОИ) за издаване на необходимите документи, които са условия за разглеждане на заявлението за откриване и приключване на ликвидационното производство. Минималният срок за удовлетворяване на кредиторите преди започване на разпределението е съкратен на три месеца. </w:t>
            </w:r>
          </w:p>
          <w:p w14:paraId="022D9784" w14:textId="77777777" w:rsidR="00BD042C" w:rsidRPr="00BD042C" w:rsidRDefault="00BD042C" w:rsidP="00BD042C">
            <w:pPr>
              <w:spacing w:after="160"/>
              <w:rPr>
                <w:lang w:val="bg-BG"/>
              </w:rPr>
            </w:pPr>
            <w:r w:rsidRPr="00BD042C">
              <w:rPr>
                <w:lang w:val="bg-BG"/>
              </w:rPr>
              <w:t>-</w:t>
            </w:r>
            <w:r w:rsidR="009F6595">
              <w:rPr>
                <w:lang w:val="bg-BG"/>
              </w:rPr>
              <w:t xml:space="preserve"> </w:t>
            </w:r>
            <w:r w:rsidRPr="00BD042C">
              <w:rPr>
                <w:lang w:val="bg-BG"/>
              </w:rPr>
              <w:t xml:space="preserve">„Обслужване на едно гише“ – Комуникацията за целите на ликвидацията се осъществява чрез Агенцията по вписванията </w:t>
            </w:r>
          </w:p>
          <w:p w14:paraId="2A1A59A7" w14:textId="77777777" w:rsidR="00BD042C" w:rsidRPr="00FC3068" w:rsidRDefault="00BD042C" w:rsidP="00BD042C">
            <w:pPr>
              <w:spacing w:after="160"/>
              <w:rPr>
                <w:lang w:val="bg-BG"/>
              </w:rPr>
            </w:pPr>
            <w:r w:rsidRPr="009F6595">
              <w:rPr>
                <w:lang w:val="bg-BG"/>
              </w:rPr>
              <w:t xml:space="preserve">Измененията и допълненията осигуряват условията за „обслужване на едно гише“ – цялата комуникация за целите на ликвидацията с НАП и НОИ се осъществява чрез Агенцията по вписванията. </w:t>
            </w:r>
            <w:r w:rsidRPr="00FC3068">
              <w:rPr>
                <w:lang w:val="bg-BG"/>
              </w:rPr>
              <w:t>Заявленията на ликвидатора на дружеството, както и съответната информация и удостоверения от компетентните органи, се предават по електронен път чрез Агенцията по вписванията.</w:t>
            </w:r>
          </w:p>
          <w:p w14:paraId="4FEE2613" w14:textId="77777777" w:rsidR="00BD042C" w:rsidRPr="00FC3068" w:rsidRDefault="00BD042C" w:rsidP="00BD042C">
            <w:pPr>
              <w:spacing w:after="160"/>
              <w:rPr>
                <w:lang w:val="bg-BG"/>
              </w:rPr>
            </w:pPr>
            <w:r w:rsidRPr="00FC3068">
              <w:rPr>
                <w:lang w:val="bg-BG"/>
              </w:rPr>
              <w:t xml:space="preserve">Агенцията по вписванията уведомява НАП по електронен път за постъпването на заявление за прекратяване на дейността и започване на бързо производство по ликвидация. НАП предоставя по електронен път на Агенцията по вписванията информация за наличието или липсата на съответните обстоятелства (нов член 77б от Данъчно-осигурителния процесуален кодекс). </w:t>
            </w:r>
          </w:p>
          <w:p w14:paraId="7E377F8A" w14:textId="77777777" w:rsidR="00BD042C" w:rsidRPr="00FC3068" w:rsidRDefault="00BD042C" w:rsidP="00BD042C">
            <w:pPr>
              <w:spacing w:after="160"/>
              <w:rPr>
                <w:lang w:val="bg-BG"/>
              </w:rPr>
            </w:pPr>
            <w:r w:rsidRPr="00FC3068">
              <w:rPr>
                <w:lang w:val="bg-BG"/>
              </w:rPr>
              <w:t xml:space="preserve">С подаването на заявление до Агенцията по вписванията за започване на бързо производство по ликвидация, чрез тази агенция ликвидаторът на дружеството подава заявление и до НОИ за предаване на документите за заплати и осигурителен стаж </w:t>
            </w:r>
            <w:r w:rsidRPr="00FC3068">
              <w:rPr>
                <w:lang w:val="bg-BG"/>
              </w:rPr>
              <w:lastRenderedPageBreak/>
              <w:t>(нова ал. 15 на член 5 от Кодекса за социалното осигуряване).</w:t>
            </w:r>
          </w:p>
          <w:p w14:paraId="3224CCC4" w14:textId="77777777" w:rsidR="00BD042C" w:rsidRPr="00FC3068" w:rsidRDefault="00BD042C" w:rsidP="00BD042C">
            <w:pPr>
              <w:spacing w:after="160"/>
              <w:rPr>
                <w:lang w:val="bg-BG"/>
              </w:rPr>
            </w:pPr>
            <w:r w:rsidRPr="00FC3068">
              <w:rPr>
                <w:lang w:val="bg-BG"/>
              </w:rPr>
              <w:t xml:space="preserve">По принцип, при общото производство по ликвидация дружествата трябва да подадат уведомление до НАП за започналата ликвидация, да получат удостоверение за уведомлението и да го приложат към заявлението за вписване на започването на ликвидацията в Търговския регистър. След регистрацията на ликвидацията дружествата трябва да подадат заявление в НОИ за предаване на ведомостите за заплати, да представят ведомостите за заплати в НОИ, да получат издаденото удостоверение за предаване и да го приложат към заявлението за заличаване на дружеството от Търговския регистър като юридическо лице. При ускорената ликвидация те не трябва да комуникират с НАП и НОИ, освен за предаване на документите за заплатите на НОИ за по-нататъшно съхранение. </w:t>
            </w:r>
          </w:p>
          <w:p w14:paraId="48D049F4" w14:textId="77777777" w:rsidR="003C7AF7" w:rsidRPr="00FC3068" w:rsidRDefault="00BD042C" w:rsidP="009F6595">
            <w:pPr>
              <w:spacing w:after="160"/>
              <w:rPr>
                <w:lang w:val="bg-BG"/>
              </w:rPr>
            </w:pPr>
            <w:r w:rsidRPr="00FC3068">
              <w:rPr>
                <w:lang w:val="bg-BG"/>
              </w:rPr>
              <w:t>Законът беше обнародван в Държавен вестник № 82 от 27 септември 2024 г. (</w:t>
            </w:r>
            <w:hyperlink r:id="rId11" w:history="1">
              <w:r>
                <w:rPr>
                  <w:rStyle w:val="Hyperlink"/>
                </w:rPr>
                <w:t>https</w:t>
              </w:r>
              <w:r w:rsidRPr="00FC3068">
                <w:rPr>
                  <w:rStyle w:val="Hyperlink"/>
                  <w:lang w:val="bg-BG"/>
                </w:rPr>
                <w:t>://</w:t>
              </w:r>
              <w:r>
                <w:rPr>
                  <w:rStyle w:val="Hyperlink"/>
                </w:rPr>
                <w:t>dv</w:t>
              </w:r>
              <w:r w:rsidRPr="00FC3068">
                <w:rPr>
                  <w:rStyle w:val="Hyperlink"/>
                  <w:lang w:val="bg-BG"/>
                </w:rPr>
                <w:t>.</w:t>
              </w:r>
              <w:r>
                <w:rPr>
                  <w:rStyle w:val="Hyperlink"/>
                </w:rPr>
                <w:t>parliament</w:t>
              </w:r>
              <w:r w:rsidRPr="00FC3068">
                <w:rPr>
                  <w:rStyle w:val="Hyperlink"/>
                  <w:lang w:val="bg-BG"/>
                </w:rPr>
                <w:t>.</w:t>
              </w:r>
              <w:proofErr w:type="spellStart"/>
              <w:r>
                <w:rPr>
                  <w:rStyle w:val="Hyperlink"/>
                </w:rPr>
                <w:t>bg</w:t>
              </w:r>
              <w:proofErr w:type="spellEnd"/>
              <w:r w:rsidRPr="00FC3068">
                <w:rPr>
                  <w:rStyle w:val="Hyperlink"/>
                  <w:lang w:val="bg-BG"/>
                </w:rPr>
                <w:t>/</w:t>
              </w:r>
              <w:proofErr w:type="spellStart"/>
              <w:r>
                <w:rPr>
                  <w:rStyle w:val="Hyperlink"/>
                </w:rPr>
                <w:t>DVWeb</w:t>
              </w:r>
              <w:proofErr w:type="spellEnd"/>
              <w:r w:rsidRPr="00FC3068">
                <w:rPr>
                  <w:rStyle w:val="Hyperlink"/>
                  <w:lang w:val="bg-BG"/>
                </w:rPr>
                <w:t>/</w:t>
              </w:r>
              <w:proofErr w:type="spellStart"/>
              <w:r>
                <w:rPr>
                  <w:rStyle w:val="Hyperlink"/>
                </w:rPr>
                <w:t>showMaterialDV</w:t>
              </w:r>
              <w:proofErr w:type="spellEnd"/>
              <w:r w:rsidRPr="00FC3068">
                <w:rPr>
                  <w:rStyle w:val="Hyperlink"/>
                  <w:lang w:val="bg-BG"/>
                </w:rPr>
                <w:t>.</w:t>
              </w:r>
              <w:proofErr w:type="spellStart"/>
              <w:r>
                <w:rPr>
                  <w:rStyle w:val="Hyperlink"/>
                </w:rPr>
                <w:t>jsp</w:t>
              </w:r>
              <w:proofErr w:type="spellEnd"/>
              <w:r w:rsidRPr="00FC3068">
                <w:rPr>
                  <w:rStyle w:val="Hyperlink"/>
                  <w:lang w:val="bg-BG"/>
                </w:rPr>
                <w:t>?</w:t>
              </w:r>
              <w:proofErr w:type="spellStart"/>
              <w:r>
                <w:rPr>
                  <w:rStyle w:val="Hyperlink"/>
                </w:rPr>
                <w:t>idMat</w:t>
              </w:r>
              <w:proofErr w:type="spellEnd"/>
              <w:r w:rsidRPr="00FC3068">
                <w:rPr>
                  <w:rStyle w:val="Hyperlink"/>
                  <w:lang w:val="bg-BG"/>
                </w:rPr>
                <w:t>=228803</w:t>
              </w:r>
            </w:hyperlink>
            <w:r w:rsidRPr="00FC3068">
              <w:rPr>
                <w:lang w:val="bg-BG"/>
              </w:rPr>
              <w:t>) и влезе в сила на 30 септември 2024 г.</w:t>
            </w:r>
          </w:p>
        </w:tc>
      </w:tr>
      <w:tr w:rsidR="003C7AF7" w:rsidRPr="006C3504" w14:paraId="3E8786F0" w14:textId="77777777" w:rsidTr="00BD042C">
        <w:tc>
          <w:tcPr>
            <w:tcW w:w="5812" w:type="dxa"/>
            <w:gridSpan w:val="2"/>
            <w:tcBorders>
              <w:top w:val="single" w:sz="4" w:space="0" w:color="5B9BD5" w:themeColor="accent1"/>
              <w:bottom w:val="single" w:sz="4" w:space="0" w:color="5B9BD5" w:themeColor="accent1"/>
            </w:tcBorders>
            <w:hideMark/>
          </w:tcPr>
          <w:p w14:paraId="39B039B1" w14:textId="77777777" w:rsidR="003C7AF7" w:rsidRPr="006C3504" w:rsidRDefault="003C7AF7" w:rsidP="003C7AF7">
            <w:pPr>
              <w:pStyle w:val="TableColumn"/>
              <w:rPr>
                <w:b/>
                <w:bCs/>
                <w:lang w:val="bg-BG"/>
              </w:rPr>
            </w:pPr>
            <w:r w:rsidRPr="006C3504">
              <w:rPr>
                <w:b/>
                <w:bCs/>
                <w:lang w:val="bg-BG"/>
              </w:rPr>
              <w:lastRenderedPageBreak/>
              <w:t>Борба с корупцията</w:t>
            </w:r>
          </w:p>
        </w:tc>
        <w:tc>
          <w:tcPr>
            <w:tcW w:w="3260" w:type="dxa"/>
            <w:tcBorders>
              <w:top w:val="single" w:sz="4" w:space="0" w:color="5B9BD5" w:themeColor="accent1"/>
              <w:bottom w:val="single" w:sz="4" w:space="0" w:color="5B9BD5" w:themeColor="accent1"/>
            </w:tcBorders>
          </w:tcPr>
          <w:p w14:paraId="38A21EE2" w14:textId="77777777" w:rsidR="003C7AF7" w:rsidRPr="006C3504" w:rsidRDefault="003C7AF7" w:rsidP="003C7AF7">
            <w:pPr>
              <w:pStyle w:val="TableColumn"/>
              <w:rPr>
                <w:b/>
                <w:bCs/>
                <w:lang w:val="bg-BG"/>
              </w:rPr>
            </w:pPr>
          </w:p>
        </w:tc>
      </w:tr>
      <w:tr w:rsidR="003C7AF7" w:rsidRPr="00005C86" w14:paraId="195BB0EA" w14:textId="77777777" w:rsidTr="00BD042C">
        <w:tc>
          <w:tcPr>
            <w:tcW w:w="2552" w:type="dxa"/>
            <w:tcBorders>
              <w:top w:val="single" w:sz="4" w:space="0" w:color="5B9BD5" w:themeColor="accent1"/>
            </w:tcBorders>
          </w:tcPr>
          <w:p w14:paraId="70507FEC" w14:textId="77777777" w:rsidR="003C7AF7" w:rsidRPr="006C3504" w:rsidRDefault="003C7AF7" w:rsidP="003C7AF7">
            <w:pPr>
              <w:pStyle w:val="TableRow"/>
              <w:spacing w:before="60" w:after="60"/>
              <w:rPr>
                <w:lang w:val="bg-BG"/>
              </w:rPr>
            </w:pPr>
            <w:r>
              <w:rPr>
                <w:lang w:val="bg-BG"/>
              </w:rPr>
              <w:t>Ключови</w:t>
            </w:r>
            <w:r w:rsidRPr="006C3504">
              <w:rPr>
                <w:lang w:val="bg-BG"/>
              </w:rPr>
              <w:t xml:space="preserve"> институционални субекти, които носят основната отговорност за борбата с корупцията и зачитането на почтеността, понастоящем не са представени в Националния съвет за</w:t>
            </w:r>
            <w:r>
              <w:rPr>
                <w:lang w:val="bg-BG"/>
              </w:rPr>
              <w:t xml:space="preserve"> антикорупционни</w:t>
            </w:r>
            <w:r w:rsidRPr="006C3504">
              <w:rPr>
                <w:lang w:val="bg-BG"/>
              </w:rPr>
              <w:t xml:space="preserve"> политики (НС</w:t>
            </w:r>
            <w:r>
              <w:rPr>
                <w:lang w:val="bg-BG"/>
              </w:rPr>
              <w:t>АП</w:t>
            </w:r>
            <w:r w:rsidRPr="006C3504">
              <w:rPr>
                <w:lang w:val="bg-BG"/>
              </w:rPr>
              <w:t>).</w:t>
            </w:r>
          </w:p>
        </w:tc>
        <w:tc>
          <w:tcPr>
            <w:tcW w:w="3260" w:type="dxa"/>
            <w:tcBorders>
              <w:top w:val="single" w:sz="4" w:space="0" w:color="5B9BD5" w:themeColor="accent1"/>
            </w:tcBorders>
          </w:tcPr>
          <w:p w14:paraId="5B487FA9" w14:textId="77777777" w:rsidR="003C7AF7" w:rsidRPr="006C3504" w:rsidRDefault="003C7AF7" w:rsidP="003C7AF7">
            <w:pPr>
              <w:pStyle w:val="TableCell"/>
              <w:jc w:val="both"/>
              <w:rPr>
                <w:bCs/>
                <w:lang w:val="bg-BG"/>
              </w:rPr>
            </w:pPr>
            <w:r>
              <w:rPr>
                <w:bCs/>
                <w:lang w:val="bg-BG"/>
              </w:rPr>
              <w:t>Да се у</w:t>
            </w:r>
            <w:r w:rsidRPr="006C3504">
              <w:rPr>
                <w:bCs/>
                <w:lang w:val="bg-BG"/>
              </w:rPr>
              <w:t>креп</w:t>
            </w:r>
            <w:r>
              <w:rPr>
                <w:bCs/>
                <w:lang w:val="bg-BG"/>
              </w:rPr>
              <w:t>и</w:t>
            </w:r>
            <w:r w:rsidRPr="006C3504">
              <w:rPr>
                <w:bCs/>
                <w:lang w:val="bg-BG"/>
              </w:rPr>
              <w:t xml:space="preserve"> институционалната рамка чрез представяне на всички заинтересовани страни в </w:t>
            </w:r>
            <w:r w:rsidRPr="006C3504">
              <w:rPr>
                <w:lang w:val="bg-BG"/>
              </w:rPr>
              <w:t>НС</w:t>
            </w:r>
            <w:r>
              <w:rPr>
                <w:lang w:val="bg-BG"/>
              </w:rPr>
              <w:t>АП</w:t>
            </w:r>
            <w:r w:rsidRPr="006C3504">
              <w:rPr>
                <w:bCs/>
                <w:lang w:val="bg-BG"/>
              </w:rPr>
              <w:t xml:space="preserve"> и изясняване на механизмите за мониторинг, оценка и докладване.</w:t>
            </w:r>
          </w:p>
        </w:tc>
        <w:tc>
          <w:tcPr>
            <w:tcW w:w="3260" w:type="dxa"/>
            <w:tcBorders>
              <w:top w:val="single" w:sz="4" w:space="0" w:color="5B9BD5" w:themeColor="accent1"/>
            </w:tcBorders>
          </w:tcPr>
          <w:p w14:paraId="07566B36" w14:textId="77777777" w:rsidR="003C7AF7" w:rsidRPr="00FD464B" w:rsidRDefault="003C7AF7" w:rsidP="003C7AF7">
            <w:pPr>
              <w:pStyle w:val="TableCell"/>
              <w:jc w:val="both"/>
              <w:rPr>
                <w:b/>
                <w:bCs/>
                <w:lang w:val="bg-BG"/>
              </w:rPr>
            </w:pPr>
            <w:r w:rsidRPr="00FD464B">
              <w:rPr>
                <w:b/>
                <w:bCs/>
                <w:lang w:val="bg-BG"/>
              </w:rPr>
              <w:t>Република България изразява принципно съгласие с препоръката.</w:t>
            </w:r>
          </w:p>
        </w:tc>
      </w:tr>
      <w:tr w:rsidR="003C7AF7" w:rsidRPr="00005C86" w14:paraId="1FC662F3" w14:textId="77777777" w:rsidTr="00BD042C">
        <w:tc>
          <w:tcPr>
            <w:tcW w:w="2552" w:type="dxa"/>
          </w:tcPr>
          <w:p w14:paraId="6D9EC09F" w14:textId="77777777" w:rsidR="003C7AF7" w:rsidRPr="00DA0B37" w:rsidRDefault="003C7AF7" w:rsidP="003C7AF7">
            <w:pPr>
              <w:pStyle w:val="TableRow"/>
              <w:spacing w:before="60" w:after="60"/>
              <w:rPr>
                <w:b/>
                <w:lang w:val="bg-BG"/>
              </w:rPr>
            </w:pPr>
            <w:r w:rsidRPr="00DA0B37">
              <w:rPr>
                <w:b/>
                <w:lang w:val="bg-BG"/>
              </w:rPr>
              <w:t>Премах</w:t>
            </w:r>
            <w:r>
              <w:rPr>
                <w:b/>
                <w:lang w:val="bg-BG"/>
              </w:rPr>
              <w:t>нати са</w:t>
            </w:r>
            <w:r w:rsidRPr="00DA0B37">
              <w:rPr>
                <w:b/>
                <w:lang w:val="bg-BG"/>
              </w:rPr>
              <w:t xml:space="preserve"> ограниченията за индивидуални дарения на политически партии и разходите на трети страни в предизборни кампании не се регулират.</w:t>
            </w:r>
          </w:p>
        </w:tc>
        <w:tc>
          <w:tcPr>
            <w:tcW w:w="3260" w:type="dxa"/>
          </w:tcPr>
          <w:p w14:paraId="7E5075C4" w14:textId="77777777" w:rsidR="003C7AF7" w:rsidRPr="006C3504" w:rsidRDefault="003C7AF7" w:rsidP="003C7AF7">
            <w:pPr>
              <w:pStyle w:val="TableCell"/>
              <w:jc w:val="both"/>
              <w:rPr>
                <w:b/>
                <w:lang w:val="bg-BG"/>
              </w:rPr>
            </w:pPr>
            <w:r>
              <w:rPr>
                <w:b/>
                <w:lang w:val="bg-BG"/>
              </w:rPr>
              <w:t>Да се регулират</w:t>
            </w:r>
            <w:r w:rsidRPr="006C3504">
              <w:rPr>
                <w:b/>
                <w:lang w:val="bg-BG"/>
              </w:rPr>
              <w:t xml:space="preserve"> разходите на трети страни в предизборните кампании.</w:t>
            </w:r>
          </w:p>
        </w:tc>
        <w:tc>
          <w:tcPr>
            <w:tcW w:w="3260" w:type="dxa"/>
          </w:tcPr>
          <w:p w14:paraId="6FC2D085" w14:textId="77777777" w:rsidR="003C7AF7" w:rsidRPr="00FD464B" w:rsidRDefault="003C7AF7" w:rsidP="003C7AF7">
            <w:pPr>
              <w:pStyle w:val="TableCell"/>
              <w:jc w:val="both"/>
              <w:rPr>
                <w:b/>
                <w:lang w:val="bg-BG"/>
              </w:rPr>
            </w:pPr>
            <w:r w:rsidRPr="00FD464B">
              <w:rPr>
                <w:b/>
                <w:lang w:val="bg-BG"/>
              </w:rPr>
              <w:t>Република България изразява съгласие с препоръката.</w:t>
            </w:r>
          </w:p>
        </w:tc>
      </w:tr>
      <w:tr w:rsidR="003C7AF7" w:rsidRPr="00005C86" w14:paraId="5A52A5A3" w14:textId="77777777" w:rsidTr="00BD042C">
        <w:tc>
          <w:tcPr>
            <w:tcW w:w="2552" w:type="dxa"/>
          </w:tcPr>
          <w:p w14:paraId="18CEB5A8" w14:textId="77777777" w:rsidR="003C7AF7" w:rsidRPr="006C3504" w:rsidRDefault="003C7AF7" w:rsidP="003C7AF7">
            <w:pPr>
              <w:pStyle w:val="TableRow"/>
              <w:spacing w:before="60" w:after="60"/>
              <w:rPr>
                <w:lang w:val="bg-BG"/>
              </w:rPr>
            </w:pPr>
            <w:r>
              <w:rPr>
                <w:lang w:val="bg-BG"/>
              </w:rPr>
              <w:t>Настоящата</w:t>
            </w:r>
            <w:r w:rsidRPr="006C3504">
              <w:rPr>
                <w:lang w:val="bg-BG"/>
              </w:rPr>
              <w:t xml:space="preserve"> система за възлагане на обществени поръчки подкопава прозрачността на пазара и рискува възлага</w:t>
            </w:r>
            <w:r>
              <w:rPr>
                <w:lang w:val="bg-BG"/>
              </w:rPr>
              <w:t>не</w:t>
            </w:r>
            <w:r w:rsidRPr="006C3504">
              <w:rPr>
                <w:lang w:val="bg-BG"/>
              </w:rPr>
              <w:t xml:space="preserve"> </w:t>
            </w:r>
            <w:r>
              <w:rPr>
                <w:lang w:val="bg-BG"/>
              </w:rPr>
              <w:t xml:space="preserve">на </w:t>
            </w:r>
            <w:r w:rsidRPr="006C3504">
              <w:rPr>
                <w:lang w:val="bg-BG"/>
              </w:rPr>
              <w:t>поръчки на свързани фирми.</w:t>
            </w:r>
          </w:p>
        </w:tc>
        <w:tc>
          <w:tcPr>
            <w:tcW w:w="3260" w:type="dxa"/>
          </w:tcPr>
          <w:p w14:paraId="4D1BBC68" w14:textId="77777777" w:rsidR="003C7AF7" w:rsidRPr="006C3504" w:rsidRDefault="003C7AF7" w:rsidP="003C7AF7">
            <w:pPr>
              <w:pStyle w:val="TableCell"/>
              <w:jc w:val="both"/>
              <w:rPr>
                <w:lang w:val="bg-BG"/>
              </w:rPr>
            </w:pPr>
            <w:r>
              <w:rPr>
                <w:lang w:val="bg-BG"/>
              </w:rPr>
              <w:t>Да се консолидира</w:t>
            </w:r>
            <w:r w:rsidRPr="006C3504">
              <w:rPr>
                <w:lang w:val="bg-BG"/>
              </w:rPr>
              <w:t xml:space="preserve"> процеса на тръжни процедури и </w:t>
            </w:r>
            <w:r>
              <w:rPr>
                <w:lang w:val="bg-BG"/>
              </w:rPr>
              <w:t xml:space="preserve">да </w:t>
            </w:r>
            <w:r w:rsidRPr="006C3504">
              <w:rPr>
                <w:lang w:val="bg-BG"/>
              </w:rPr>
              <w:t>увелич</w:t>
            </w:r>
            <w:r>
              <w:rPr>
                <w:lang w:val="bg-BG"/>
              </w:rPr>
              <w:t>и</w:t>
            </w:r>
            <w:r w:rsidRPr="006C3504">
              <w:rPr>
                <w:lang w:val="bg-BG"/>
              </w:rPr>
              <w:t xml:space="preserve"> използването на критериите за най-добро съотношение цена-качество.</w:t>
            </w:r>
          </w:p>
          <w:p w14:paraId="3C17BB79" w14:textId="77777777" w:rsidR="003C7AF7" w:rsidRPr="006C3504" w:rsidRDefault="003C7AF7" w:rsidP="003C7AF7">
            <w:pPr>
              <w:pStyle w:val="TableCell"/>
              <w:jc w:val="both"/>
              <w:rPr>
                <w:lang w:val="bg-BG"/>
              </w:rPr>
            </w:pPr>
            <w:r w:rsidRPr="006C3504">
              <w:rPr>
                <w:lang w:val="bg-BG"/>
              </w:rPr>
              <w:t>Всички предложени сделки, включващи значителни суми от публични средства или публични активи, да бъдат подлагани на проверки за конфликт на интереси.</w:t>
            </w:r>
          </w:p>
        </w:tc>
        <w:tc>
          <w:tcPr>
            <w:tcW w:w="3260" w:type="dxa"/>
          </w:tcPr>
          <w:p w14:paraId="757FD4B0" w14:textId="77777777" w:rsidR="003C7AF7" w:rsidRDefault="003C7AF7" w:rsidP="003C7AF7">
            <w:pPr>
              <w:pStyle w:val="TableCell"/>
              <w:jc w:val="both"/>
              <w:rPr>
                <w:b/>
                <w:lang w:val="bg-BG"/>
              </w:rPr>
            </w:pPr>
            <w:r w:rsidRPr="00C120EF">
              <w:rPr>
                <w:b/>
                <w:lang w:val="bg-BG"/>
              </w:rPr>
              <w:t xml:space="preserve">Република България </w:t>
            </w:r>
            <w:r w:rsidRPr="004D2DC0">
              <w:rPr>
                <w:b/>
                <w:lang w:val="bg-BG"/>
              </w:rPr>
              <w:t xml:space="preserve">изразява несъгласие със заключението </w:t>
            </w:r>
            <w:r>
              <w:rPr>
                <w:b/>
                <w:lang w:val="bg-BG"/>
              </w:rPr>
              <w:t xml:space="preserve">и </w:t>
            </w:r>
            <w:r w:rsidRPr="00C120EF">
              <w:rPr>
                <w:b/>
                <w:lang w:val="bg-BG"/>
              </w:rPr>
              <w:t>съгласие с препоръката.</w:t>
            </w:r>
          </w:p>
          <w:p w14:paraId="440F6BEF" w14:textId="77777777" w:rsidR="003C7AF7" w:rsidRDefault="000B124A" w:rsidP="003C7AF7">
            <w:pPr>
              <w:pStyle w:val="TableCell"/>
              <w:jc w:val="both"/>
              <w:rPr>
                <w:lang w:val="bg-BG"/>
              </w:rPr>
            </w:pPr>
            <w:r w:rsidRPr="009E25EC">
              <w:rPr>
                <w:b/>
                <w:i/>
                <w:u w:val="single"/>
                <w:lang w:val="bg-BG"/>
              </w:rPr>
              <w:t xml:space="preserve">Предложение за редакция на </w:t>
            </w:r>
            <w:r w:rsidR="00EF1345">
              <w:rPr>
                <w:b/>
                <w:i/>
                <w:u w:val="single"/>
                <w:lang w:val="bg-BG"/>
              </w:rPr>
              <w:t>з</w:t>
            </w:r>
            <w:r w:rsidR="003C7AF7" w:rsidRPr="009E25EC">
              <w:rPr>
                <w:b/>
                <w:i/>
                <w:u w:val="single"/>
                <w:lang w:val="bg-BG"/>
              </w:rPr>
              <w:t>аключението</w:t>
            </w:r>
            <w:r w:rsidRPr="009E25EC">
              <w:rPr>
                <w:b/>
                <w:i/>
                <w:u w:val="single"/>
                <w:lang w:val="bg-BG"/>
              </w:rPr>
              <w:t>:</w:t>
            </w:r>
            <w:r w:rsidR="003C7AF7" w:rsidRPr="003323FD">
              <w:rPr>
                <w:lang w:val="bg-BG"/>
              </w:rPr>
              <w:t xml:space="preserve"> </w:t>
            </w:r>
            <w:r w:rsidR="003C7AF7" w:rsidRPr="002532D0">
              <w:rPr>
                <w:b/>
                <w:lang w:val="bg-BG"/>
              </w:rPr>
              <w:t>Някои слабости на</w:t>
            </w:r>
            <w:r w:rsidR="003C7AF7" w:rsidRPr="003323FD">
              <w:rPr>
                <w:lang w:val="bg-BG"/>
              </w:rPr>
              <w:t xml:space="preserve"> </w:t>
            </w:r>
            <w:proofErr w:type="spellStart"/>
            <w:r w:rsidR="003C2F10" w:rsidRPr="009E25EC">
              <w:rPr>
                <w:strike/>
                <w:lang w:val="bg-BG"/>
              </w:rPr>
              <w:t>Н</w:t>
            </w:r>
            <w:r w:rsidR="003C7AF7" w:rsidRPr="003323FD">
              <w:rPr>
                <w:lang w:val="bg-BG"/>
              </w:rPr>
              <w:t>настоящата</w:t>
            </w:r>
            <w:proofErr w:type="spellEnd"/>
            <w:r w:rsidR="003C7AF7" w:rsidRPr="003323FD">
              <w:rPr>
                <w:lang w:val="bg-BG"/>
              </w:rPr>
              <w:t xml:space="preserve"> система за обществени поръчки подкопават прозрачността на пазара и рискуват възлаганет</w:t>
            </w:r>
            <w:r w:rsidR="003C7AF7">
              <w:rPr>
                <w:lang w:val="bg-BG"/>
              </w:rPr>
              <w:t>о на договори на свързани фирми</w:t>
            </w:r>
            <w:r w:rsidR="003C7AF7" w:rsidRPr="003323FD">
              <w:rPr>
                <w:lang w:val="bg-BG"/>
              </w:rPr>
              <w:t>.</w:t>
            </w:r>
          </w:p>
          <w:p w14:paraId="1EAC7D61" w14:textId="77777777" w:rsidR="003C7AF7" w:rsidRPr="004D2DC0" w:rsidRDefault="00B8032E" w:rsidP="003C7AF7">
            <w:pPr>
              <w:pStyle w:val="TableCell"/>
              <w:jc w:val="both"/>
              <w:rPr>
                <w:lang w:val="bg-BG"/>
              </w:rPr>
            </w:pPr>
            <w:r>
              <w:rPr>
                <w:b/>
                <w:i/>
                <w:u w:val="single"/>
                <w:lang w:val="bg-BG"/>
              </w:rPr>
              <w:t>Мотив</w:t>
            </w:r>
            <w:r w:rsidR="003C2F10">
              <w:rPr>
                <w:b/>
                <w:i/>
                <w:u w:val="single"/>
                <w:lang w:val="bg-BG"/>
              </w:rPr>
              <w:t>и</w:t>
            </w:r>
            <w:r w:rsidR="003C7AF7" w:rsidRPr="009E25EC">
              <w:rPr>
                <w:b/>
                <w:i/>
                <w:u w:val="single"/>
                <w:lang w:val="bg-BG"/>
              </w:rPr>
              <w:t>:</w:t>
            </w:r>
            <w:r w:rsidR="003C7AF7">
              <w:rPr>
                <w:lang w:val="bg-BG"/>
              </w:rPr>
              <w:t xml:space="preserve"> </w:t>
            </w:r>
            <w:r w:rsidR="003C7AF7" w:rsidRPr="004D2DC0">
              <w:rPr>
                <w:lang w:val="bg-BG"/>
              </w:rPr>
              <w:t>Изводът относно цялата система за обществени поръчки е твърде генерален и не съответства на резултатите от прегледа на България от Комитета по публично управление на ОИСР в същата област. В писмо от 7 октомври 2024 г. до изпълнителния директор на АОП, председателят на Работната група на водещите професионалисти в областта на обществените поръчки информира, че е приключила оценката на България от прегледа на националната система на обществените поръчки. Изведено е заключение, че законодателството,  политиките и практиките на България в областта на обществените поръчки съответстват на политиките и практиките на ОИСР.</w:t>
            </w:r>
          </w:p>
        </w:tc>
      </w:tr>
    </w:tbl>
    <w:p w14:paraId="2FA94F48" w14:textId="77777777" w:rsidR="008C2A4A" w:rsidRPr="00081D7A" w:rsidRDefault="008C2A4A" w:rsidP="00FF2DF1">
      <w:pPr>
        <w:rPr>
          <w:lang w:val="bg-BG"/>
        </w:rPr>
      </w:pPr>
    </w:p>
    <w:sectPr w:rsidR="008C2A4A" w:rsidRPr="00081D7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917F" w14:textId="77777777" w:rsidR="002F63AC" w:rsidRDefault="002F63AC" w:rsidP="00463E86">
      <w:r>
        <w:separator/>
      </w:r>
    </w:p>
  </w:endnote>
  <w:endnote w:type="continuationSeparator" w:id="0">
    <w:p w14:paraId="5E1F1A8E" w14:textId="77777777" w:rsidR="002F63AC" w:rsidRDefault="002F63AC" w:rsidP="0046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8613"/>
      <w:docPartObj>
        <w:docPartGallery w:val="Page Numbers (Bottom of Page)"/>
        <w:docPartUnique/>
      </w:docPartObj>
    </w:sdtPr>
    <w:sdtEndPr>
      <w:rPr>
        <w:noProof/>
      </w:rPr>
    </w:sdtEndPr>
    <w:sdtContent>
      <w:p w14:paraId="3AC83D25" w14:textId="77777777" w:rsidR="007C2B11" w:rsidRDefault="007C2B11">
        <w:pPr>
          <w:pStyle w:val="Footer"/>
          <w:jc w:val="right"/>
        </w:pPr>
        <w:r>
          <w:fldChar w:fldCharType="begin"/>
        </w:r>
        <w:r>
          <w:instrText xml:space="preserve"> PAGE   \* MERGEFORMAT </w:instrText>
        </w:r>
        <w:r>
          <w:fldChar w:fldCharType="separate"/>
        </w:r>
        <w:r w:rsidR="00005C86">
          <w:rPr>
            <w:noProof/>
          </w:rPr>
          <w:t>26</w:t>
        </w:r>
        <w:r>
          <w:rPr>
            <w:noProof/>
          </w:rPr>
          <w:fldChar w:fldCharType="end"/>
        </w:r>
      </w:p>
    </w:sdtContent>
  </w:sdt>
  <w:p w14:paraId="2EDE799A" w14:textId="77777777" w:rsidR="007C2B11" w:rsidRDefault="007C2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1FF9" w14:textId="77777777" w:rsidR="002F63AC" w:rsidRDefault="002F63AC" w:rsidP="00463E86">
      <w:r>
        <w:separator/>
      </w:r>
    </w:p>
  </w:footnote>
  <w:footnote w:type="continuationSeparator" w:id="0">
    <w:p w14:paraId="7E8D8083" w14:textId="77777777" w:rsidR="002F63AC" w:rsidRDefault="002F63AC" w:rsidP="00463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5A7B" w14:textId="77777777" w:rsidR="007C2B11" w:rsidRDefault="007C2B11" w:rsidP="000915A4">
    <w:pPr>
      <w:pStyle w:val="Header"/>
      <w:jc w:val="right"/>
    </w:pPr>
    <w:r>
      <w:rPr>
        <w:lang w:val="bg-BG"/>
      </w:rPr>
      <w:t>Приложение</w:t>
    </w:r>
  </w:p>
  <w:p w14:paraId="60A20FBA" w14:textId="77777777" w:rsidR="007C2B11" w:rsidRDefault="007C2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4A"/>
    <w:rsid w:val="00001520"/>
    <w:rsid w:val="00001DAB"/>
    <w:rsid w:val="00005C86"/>
    <w:rsid w:val="00005E21"/>
    <w:rsid w:val="00010AD6"/>
    <w:rsid w:val="0001533B"/>
    <w:rsid w:val="00022E52"/>
    <w:rsid w:val="00031B2C"/>
    <w:rsid w:val="00035039"/>
    <w:rsid w:val="0003697D"/>
    <w:rsid w:val="00037911"/>
    <w:rsid w:val="00037A56"/>
    <w:rsid w:val="00046FCD"/>
    <w:rsid w:val="0006271E"/>
    <w:rsid w:val="00071668"/>
    <w:rsid w:val="000765EA"/>
    <w:rsid w:val="0007767C"/>
    <w:rsid w:val="00081D7A"/>
    <w:rsid w:val="00082551"/>
    <w:rsid w:val="0008344A"/>
    <w:rsid w:val="000851E4"/>
    <w:rsid w:val="000852FC"/>
    <w:rsid w:val="000915A4"/>
    <w:rsid w:val="00091695"/>
    <w:rsid w:val="00092555"/>
    <w:rsid w:val="00092D2E"/>
    <w:rsid w:val="00093969"/>
    <w:rsid w:val="0009465C"/>
    <w:rsid w:val="000A3C95"/>
    <w:rsid w:val="000B124A"/>
    <w:rsid w:val="000B39FA"/>
    <w:rsid w:val="000C48DB"/>
    <w:rsid w:val="000C5E67"/>
    <w:rsid w:val="000D1850"/>
    <w:rsid w:val="000E19F3"/>
    <w:rsid w:val="000E41C9"/>
    <w:rsid w:val="00104F19"/>
    <w:rsid w:val="00111C5C"/>
    <w:rsid w:val="00113532"/>
    <w:rsid w:val="00116896"/>
    <w:rsid w:val="00120EBF"/>
    <w:rsid w:val="00125246"/>
    <w:rsid w:val="0013129A"/>
    <w:rsid w:val="0013385A"/>
    <w:rsid w:val="0013392D"/>
    <w:rsid w:val="001427ED"/>
    <w:rsid w:val="001458DF"/>
    <w:rsid w:val="00155CAE"/>
    <w:rsid w:val="00156057"/>
    <w:rsid w:val="00165835"/>
    <w:rsid w:val="001659EB"/>
    <w:rsid w:val="0016760C"/>
    <w:rsid w:val="00171C72"/>
    <w:rsid w:val="001773EA"/>
    <w:rsid w:val="00180F63"/>
    <w:rsid w:val="00181C8C"/>
    <w:rsid w:val="0018427B"/>
    <w:rsid w:val="00184ADE"/>
    <w:rsid w:val="00186FA9"/>
    <w:rsid w:val="00195C23"/>
    <w:rsid w:val="001A05AA"/>
    <w:rsid w:val="001A1245"/>
    <w:rsid w:val="001A2C6B"/>
    <w:rsid w:val="001B1045"/>
    <w:rsid w:val="001B2876"/>
    <w:rsid w:val="001B3646"/>
    <w:rsid w:val="001B6593"/>
    <w:rsid w:val="001C0FC3"/>
    <w:rsid w:val="001C7584"/>
    <w:rsid w:val="001D1C16"/>
    <w:rsid w:val="001D478F"/>
    <w:rsid w:val="001D4FDC"/>
    <w:rsid w:val="001E184D"/>
    <w:rsid w:val="001E6350"/>
    <w:rsid w:val="001F7F88"/>
    <w:rsid w:val="002031CE"/>
    <w:rsid w:val="00204E2E"/>
    <w:rsid w:val="00205FCD"/>
    <w:rsid w:val="002062C9"/>
    <w:rsid w:val="00206889"/>
    <w:rsid w:val="00207B87"/>
    <w:rsid w:val="00211F3F"/>
    <w:rsid w:val="002133F1"/>
    <w:rsid w:val="0021496C"/>
    <w:rsid w:val="00214F60"/>
    <w:rsid w:val="0021628D"/>
    <w:rsid w:val="0022006D"/>
    <w:rsid w:val="002315DB"/>
    <w:rsid w:val="00236197"/>
    <w:rsid w:val="00247774"/>
    <w:rsid w:val="002532D0"/>
    <w:rsid w:val="002610DF"/>
    <w:rsid w:val="002652EE"/>
    <w:rsid w:val="002662A6"/>
    <w:rsid w:val="002702A7"/>
    <w:rsid w:val="00270EA3"/>
    <w:rsid w:val="00276AFF"/>
    <w:rsid w:val="002801D7"/>
    <w:rsid w:val="00281FB8"/>
    <w:rsid w:val="0028455A"/>
    <w:rsid w:val="00284D0D"/>
    <w:rsid w:val="00293569"/>
    <w:rsid w:val="00293A39"/>
    <w:rsid w:val="00294B55"/>
    <w:rsid w:val="00297406"/>
    <w:rsid w:val="002A0FD8"/>
    <w:rsid w:val="002A6E77"/>
    <w:rsid w:val="002A7C8B"/>
    <w:rsid w:val="002C1452"/>
    <w:rsid w:val="002C5EAC"/>
    <w:rsid w:val="002C603A"/>
    <w:rsid w:val="002D232F"/>
    <w:rsid w:val="002D2B85"/>
    <w:rsid w:val="002D4A57"/>
    <w:rsid w:val="002D7B37"/>
    <w:rsid w:val="002F1CA7"/>
    <w:rsid w:val="002F63AC"/>
    <w:rsid w:val="00301F7D"/>
    <w:rsid w:val="003025A7"/>
    <w:rsid w:val="00303576"/>
    <w:rsid w:val="00305316"/>
    <w:rsid w:val="00323769"/>
    <w:rsid w:val="00331D65"/>
    <w:rsid w:val="003323FD"/>
    <w:rsid w:val="00347FAF"/>
    <w:rsid w:val="00353367"/>
    <w:rsid w:val="00353379"/>
    <w:rsid w:val="00355056"/>
    <w:rsid w:val="00355649"/>
    <w:rsid w:val="00364586"/>
    <w:rsid w:val="003654D8"/>
    <w:rsid w:val="00366EB1"/>
    <w:rsid w:val="00370B9E"/>
    <w:rsid w:val="00371E6C"/>
    <w:rsid w:val="00375031"/>
    <w:rsid w:val="00380ABC"/>
    <w:rsid w:val="00384693"/>
    <w:rsid w:val="00386F93"/>
    <w:rsid w:val="003931D0"/>
    <w:rsid w:val="00394BF1"/>
    <w:rsid w:val="0039713C"/>
    <w:rsid w:val="003A206E"/>
    <w:rsid w:val="003A3852"/>
    <w:rsid w:val="003A5D6E"/>
    <w:rsid w:val="003A6708"/>
    <w:rsid w:val="003B17B4"/>
    <w:rsid w:val="003B7B0A"/>
    <w:rsid w:val="003C1A68"/>
    <w:rsid w:val="003C2AA7"/>
    <w:rsid w:val="003C2DCD"/>
    <w:rsid w:val="003C2F10"/>
    <w:rsid w:val="003C5363"/>
    <w:rsid w:val="003C554C"/>
    <w:rsid w:val="003C6598"/>
    <w:rsid w:val="003C7AF7"/>
    <w:rsid w:val="003D148E"/>
    <w:rsid w:val="003D65F4"/>
    <w:rsid w:val="003E6575"/>
    <w:rsid w:val="004023D3"/>
    <w:rsid w:val="004060AD"/>
    <w:rsid w:val="00412670"/>
    <w:rsid w:val="00414510"/>
    <w:rsid w:val="0041618F"/>
    <w:rsid w:val="004163DF"/>
    <w:rsid w:val="00420AF7"/>
    <w:rsid w:val="00421B32"/>
    <w:rsid w:val="00422A89"/>
    <w:rsid w:val="004247B1"/>
    <w:rsid w:val="004249D0"/>
    <w:rsid w:val="00425438"/>
    <w:rsid w:val="00426A14"/>
    <w:rsid w:val="00436B26"/>
    <w:rsid w:val="00441352"/>
    <w:rsid w:val="00446855"/>
    <w:rsid w:val="00456571"/>
    <w:rsid w:val="00463E86"/>
    <w:rsid w:val="00464B84"/>
    <w:rsid w:val="00464C3A"/>
    <w:rsid w:val="004668A2"/>
    <w:rsid w:val="0047634A"/>
    <w:rsid w:val="004802A0"/>
    <w:rsid w:val="00484997"/>
    <w:rsid w:val="004A22E2"/>
    <w:rsid w:val="004A4300"/>
    <w:rsid w:val="004A75B3"/>
    <w:rsid w:val="004B26F1"/>
    <w:rsid w:val="004B2B47"/>
    <w:rsid w:val="004B6FBD"/>
    <w:rsid w:val="004B7898"/>
    <w:rsid w:val="004C1009"/>
    <w:rsid w:val="004D0A14"/>
    <w:rsid w:val="004D0BA1"/>
    <w:rsid w:val="004D2DC0"/>
    <w:rsid w:val="004D5AB5"/>
    <w:rsid w:val="004E0607"/>
    <w:rsid w:val="004E4DAE"/>
    <w:rsid w:val="004F249D"/>
    <w:rsid w:val="00501737"/>
    <w:rsid w:val="00503502"/>
    <w:rsid w:val="00517CA3"/>
    <w:rsid w:val="005205ED"/>
    <w:rsid w:val="00522C50"/>
    <w:rsid w:val="00524DE1"/>
    <w:rsid w:val="00527EF8"/>
    <w:rsid w:val="00531B50"/>
    <w:rsid w:val="00537D04"/>
    <w:rsid w:val="00542DCE"/>
    <w:rsid w:val="00543A5B"/>
    <w:rsid w:val="005462CF"/>
    <w:rsid w:val="00552966"/>
    <w:rsid w:val="0055556E"/>
    <w:rsid w:val="00556AB9"/>
    <w:rsid w:val="00561250"/>
    <w:rsid w:val="00564BAA"/>
    <w:rsid w:val="00570276"/>
    <w:rsid w:val="00570803"/>
    <w:rsid w:val="005733CC"/>
    <w:rsid w:val="0057358F"/>
    <w:rsid w:val="00574932"/>
    <w:rsid w:val="0057704C"/>
    <w:rsid w:val="00577A1B"/>
    <w:rsid w:val="00581AB2"/>
    <w:rsid w:val="00583CD3"/>
    <w:rsid w:val="005869F3"/>
    <w:rsid w:val="0058798F"/>
    <w:rsid w:val="00592F48"/>
    <w:rsid w:val="005A094E"/>
    <w:rsid w:val="005B0E92"/>
    <w:rsid w:val="005B567D"/>
    <w:rsid w:val="005C1C84"/>
    <w:rsid w:val="005C4AEB"/>
    <w:rsid w:val="005C7822"/>
    <w:rsid w:val="005C7D66"/>
    <w:rsid w:val="005D0CFD"/>
    <w:rsid w:val="005D1589"/>
    <w:rsid w:val="005D1CB6"/>
    <w:rsid w:val="005D2B28"/>
    <w:rsid w:val="005F4582"/>
    <w:rsid w:val="005F4A79"/>
    <w:rsid w:val="00600E5E"/>
    <w:rsid w:val="00603696"/>
    <w:rsid w:val="00615A20"/>
    <w:rsid w:val="00623C95"/>
    <w:rsid w:val="00632F25"/>
    <w:rsid w:val="00635422"/>
    <w:rsid w:val="006428D8"/>
    <w:rsid w:val="00645B90"/>
    <w:rsid w:val="00647667"/>
    <w:rsid w:val="00651109"/>
    <w:rsid w:val="00651EAD"/>
    <w:rsid w:val="0065339B"/>
    <w:rsid w:val="00660268"/>
    <w:rsid w:val="006604C9"/>
    <w:rsid w:val="00663003"/>
    <w:rsid w:val="00664329"/>
    <w:rsid w:val="00665BDE"/>
    <w:rsid w:val="006710AA"/>
    <w:rsid w:val="00676AA0"/>
    <w:rsid w:val="00697F17"/>
    <w:rsid w:val="006A6515"/>
    <w:rsid w:val="006A7127"/>
    <w:rsid w:val="006B4BAA"/>
    <w:rsid w:val="006B6806"/>
    <w:rsid w:val="006C3504"/>
    <w:rsid w:val="006C3989"/>
    <w:rsid w:val="006E1B74"/>
    <w:rsid w:val="006E4A22"/>
    <w:rsid w:val="006E5890"/>
    <w:rsid w:val="006F2418"/>
    <w:rsid w:val="006F339F"/>
    <w:rsid w:val="006F48DB"/>
    <w:rsid w:val="006F4EB9"/>
    <w:rsid w:val="006F50DB"/>
    <w:rsid w:val="006F6714"/>
    <w:rsid w:val="00702DFA"/>
    <w:rsid w:val="00706550"/>
    <w:rsid w:val="0071065C"/>
    <w:rsid w:val="00714F31"/>
    <w:rsid w:val="0072127F"/>
    <w:rsid w:val="0072174A"/>
    <w:rsid w:val="00737B1D"/>
    <w:rsid w:val="0074671D"/>
    <w:rsid w:val="00753462"/>
    <w:rsid w:val="00756A9D"/>
    <w:rsid w:val="00762332"/>
    <w:rsid w:val="007645BA"/>
    <w:rsid w:val="00764E07"/>
    <w:rsid w:val="00765FA1"/>
    <w:rsid w:val="00766D03"/>
    <w:rsid w:val="00770035"/>
    <w:rsid w:val="00773529"/>
    <w:rsid w:val="0077740F"/>
    <w:rsid w:val="00780F5A"/>
    <w:rsid w:val="007873E2"/>
    <w:rsid w:val="0079623A"/>
    <w:rsid w:val="007962CB"/>
    <w:rsid w:val="007A0FCA"/>
    <w:rsid w:val="007A2E0F"/>
    <w:rsid w:val="007B3000"/>
    <w:rsid w:val="007B34A2"/>
    <w:rsid w:val="007B6717"/>
    <w:rsid w:val="007B7D76"/>
    <w:rsid w:val="007C2924"/>
    <w:rsid w:val="007C2B11"/>
    <w:rsid w:val="007C34D7"/>
    <w:rsid w:val="007C77D3"/>
    <w:rsid w:val="007D1A5E"/>
    <w:rsid w:val="007D4442"/>
    <w:rsid w:val="007D4DD5"/>
    <w:rsid w:val="007D6C66"/>
    <w:rsid w:val="007D705E"/>
    <w:rsid w:val="007E0431"/>
    <w:rsid w:val="007E15C5"/>
    <w:rsid w:val="007E315C"/>
    <w:rsid w:val="007E379B"/>
    <w:rsid w:val="007E553E"/>
    <w:rsid w:val="007F3DA4"/>
    <w:rsid w:val="007F53DE"/>
    <w:rsid w:val="008047B2"/>
    <w:rsid w:val="00810B52"/>
    <w:rsid w:val="00811CBD"/>
    <w:rsid w:val="00812429"/>
    <w:rsid w:val="00812B15"/>
    <w:rsid w:val="00813DD3"/>
    <w:rsid w:val="008146F7"/>
    <w:rsid w:val="00820F57"/>
    <w:rsid w:val="00821900"/>
    <w:rsid w:val="00833471"/>
    <w:rsid w:val="00836C8A"/>
    <w:rsid w:val="008375A5"/>
    <w:rsid w:val="00843D6C"/>
    <w:rsid w:val="00847C79"/>
    <w:rsid w:val="00847D12"/>
    <w:rsid w:val="00853062"/>
    <w:rsid w:val="00861EFC"/>
    <w:rsid w:val="00863A91"/>
    <w:rsid w:val="00865EB8"/>
    <w:rsid w:val="00866EB9"/>
    <w:rsid w:val="00871716"/>
    <w:rsid w:val="008739F7"/>
    <w:rsid w:val="0087693D"/>
    <w:rsid w:val="00880AB9"/>
    <w:rsid w:val="00881022"/>
    <w:rsid w:val="00885221"/>
    <w:rsid w:val="008A6C89"/>
    <w:rsid w:val="008B1BD9"/>
    <w:rsid w:val="008B2086"/>
    <w:rsid w:val="008B39A7"/>
    <w:rsid w:val="008B5B5E"/>
    <w:rsid w:val="008C002A"/>
    <w:rsid w:val="008C2A4A"/>
    <w:rsid w:val="008C5A47"/>
    <w:rsid w:val="008D0CA0"/>
    <w:rsid w:val="008D34D6"/>
    <w:rsid w:val="008D40D7"/>
    <w:rsid w:val="008D5BC3"/>
    <w:rsid w:val="008D7CC8"/>
    <w:rsid w:val="008E2EE3"/>
    <w:rsid w:val="008F0E8F"/>
    <w:rsid w:val="008F60CF"/>
    <w:rsid w:val="009004C2"/>
    <w:rsid w:val="009034F9"/>
    <w:rsid w:val="00904F7D"/>
    <w:rsid w:val="0091453D"/>
    <w:rsid w:val="009176C3"/>
    <w:rsid w:val="00927183"/>
    <w:rsid w:val="00932087"/>
    <w:rsid w:val="009355B0"/>
    <w:rsid w:val="0094013F"/>
    <w:rsid w:val="00940BF6"/>
    <w:rsid w:val="009419A8"/>
    <w:rsid w:val="009449C0"/>
    <w:rsid w:val="00951EEC"/>
    <w:rsid w:val="00954EA6"/>
    <w:rsid w:val="00957785"/>
    <w:rsid w:val="00960C8B"/>
    <w:rsid w:val="009648B2"/>
    <w:rsid w:val="00965B14"/>
    <w:rsid w:val="00970270"/>
    <w:rsid w:val="00974057"/>
    <w:rsid w:val="00975CE2"/>
    <w:rsid w:val="00976783"/>
    <w:rsid w:val="009801E7"/>
    <w:rsid w:val="0098326F"/>
    <w:rsid w:val="0099347F"/>
    <w:rsid w:val="009951A6"/>
    <w:rsid w:val="009A254F"/>
    <w:rsid w:val="009A29AC"/>
    <w:rsid w:val="009A50FE"/>
    <w:rsid w:val="009B2B27"/>
    <w:rsid w:val="009B37B1"/>
    <w:rsid w:val="009B4001"/>
    <w:rsid w:val="009C1663"/>
    <w:rsid w:val="009C7CCA"/>
    <w:rsid w:val="009D46D8"/>
    <w:rsid w:val="009E20B4"/>
    <w:rsid w:val="009E25EC"/>
    <w:rsid w:val="009E7BA4"/>
    <w:rsid w:val="009F6595"/>
    <w:rsid w:val="009F7466"/>
    <w:rsid w:val="00A01AFB"/>
    <w:rsid w:val="00A01C23"/>
    <w:rsid w:val="00A03A65"/>
    <w:rsid w:val="00A12BFF"/>
    <w:rsid w:val="00A15AC4"/>
    <w:rsid w:val="00A21A1E"/>
    <w:rsid w:val="00A240BA"/>
    <w:rsid w:val="00A24480"/>
    <w:rsid w:val="00A24F5B"/>
    <w:rsid w:val="00A33E56"/>
    <w:rsid w:val="00A3594A"/>
    <w:rsid w:val="00A42760"/>
    <w:rsid w:val="00A55D25"/>
    <w:rsid w:val="00A631E8"/>
    <w:rsid w:val="00A63E9F"/>
    <w:rsid w:val="00A6537B"/>
    <w:rsid w:val="00A70FA8"/>
    <w:rsid w:val="00A73F90"/>
    <w:rsid w:val="00A80318"/>
    <w:rsid w:val="00A81C03"/>
    <w:rsid w:val="00A876D8"/>
    <w:rsid w:val="00A96EEE"/>
    <w:rsid w:val="00AA1386"/>
    <w:rsid w:val="00AA13B8"/>
    <w:rsid w:val="00AB6352"/>
    <w:rsid w:val="00AC5031"/>
    <w:rsid w:val="00AC6981"/>
    <w:rsid w:val="00AD1DD9"/>
    <w:rsid w:val="00AE766B"/>
    <w:rsid w:val="00AF32A9"/>
    <w:rsid w:val="00AF338A"/>
    <w:rsid w:val="00B06CA4"/>
    <w:rsid w:val="00B1510E"/>
    <w:rsid w:val="00B21C1C"/>
    <w:rsid w:val="00B24D85"/>
    <w:rsid w:val="00B278FD"/>
    <w:rsid w:val="00B30B3F"/>
    <w:rsid w:val="00B32C3F"/>
    <w:rsid w:val="00B32F12"/>
    <w:rsid w:val="00B334FA"/>
    <w:rsid w:val="00B36BDC"/>
    <w:rsid w:val="00B377E7"/>
    <w:rsid w:val="00B42071"/>
    <w:rsid w:val="00B57CBB"/>
    <w:rsid w:val="00B70B81"/>
    <w:rsid w:val="00B726B2"/>
    <w:rsid w:val="00B7663E"/>
    <w:rsid w:val="00B766F8"/>
    <w:rsid w:val="00B8032E"/>
    <w:rsid w:val="00B8298A"/>
    <w:rsid w:val="00B85E46"/>
    <w:rsid w:val="00B86502"/>
    <w:rsid w:val="00B87B82"/>
    <w:rsid w:val="00B91CEC"/>
    <w:rsid w:val="00B95AF1"/>
    <w:rsid w:val="00B97F1F"/>
    <w:rsid w:val="00BA5BFC"/>
    <w:rsid w:val="00BA5EEA"/>
    <w:rsid w:val="00BA77A9"/>
    <w:rsid w:val="00BB410E"/>
    <w:rsid w:val="00BB5EC2"/>
    <w:rsid w:val="00BC4737"/>
    <w:rsid w:val="00BC623A"/>
    <w:rsid w:val="00BC66D2"/>
    <w:rsid w:val="00BD042C"/>
    <w:rsid w:val="00BD0A28"/>
    <w:rsid w:val="00BE19D8"/>
    <w:rsid w:val="00BE7F11"/>
    <w:rsid w:val="00BF03CE"/>
    <w:rsid w:val="00BF2561"/>
    <w:rsid w:val="00C002AC"/>
    <w:rsid w:val="00C023AF"/>
    <w:rsid w:val="00C02D41"/>
    <w:rsid w:val="00C120EF"/>
    <w:rsid w:val="00C13838"/>
    <w:rsid w:val="00C206E6"/>
    <w:rsid w:val="00C20EF4"/>
    <w:rsid w:val="00C22130"/>
    <w:rsid w:val="00C27D09"/>
    <w:rsid w:val="00C27D37"/>
    <w:rsid w:val="00C37870"/>
    <w:rsid w:val="00C40CEF"/>
    <w:rsid w:val="00C41F69"/>
    <w:rsid w:val="00C456D7"/>
    <w:rsid w:val="00C47195"/>
    <w:rsid w:val="00C60C54"/>
    <w:rsid w:val="00C63453"/>
    <w:rsid w:val="00C6355B"/>
    <w:rsid w:val="00C635ED"/>
    <w:rsid w:val="00C65E0E"/>
    <w:rsid w:val="00C73098"/>
    <w:rsid w:val="00C759E7"/>
    <w:rsid w:val="00C7634B"/>
    <w:rsid w:val="00C80086"/>
    <w:rsid w:val="00C83820"/>
    <w:rsid w:val="00C867E0"/>
    <w:rsid w:val="00C870EE"/>
    <w:rsid w:val="00C900DC"/>
    <w:rsid w:val="00C922EE"/>
    <w:rsid w:val="00C93E98"/>
    <w:rsid w:val="00C94D20"/>
    <w:rsid w:val="00C960EC"/>
    <w:rsid w:val="00CA4204"/>
    <w:rsid w:val="00CA42D6"/>
    <w:rsid w:val="00CA768C"/>
    <w:rsid w:val="00CB02B4"/>
    <w:rsid w:val="00CB2B99"/>
    <w:rsid w:val="00CB4E49"/>
    <w:rsid w:val="00CB668B"/>
    <w:rsid w:val="00CD2798"/>
    <w:rsid w:val="00CD7EFB"/>
    <w:rsid w:val="00CE04C7"/>
    <w:rsid w:val="00CE3A7F"/>
    <w:rsid w:val="00CE44FC"/>
    <w:rsid w:val="00CE7DEF"/>
    <w:rsid w:val="00CF2DDC"/>
    <w:rsid w:val="00CF41BD"/>
    <w:rsid w:val="00CF570F"/>
    <w:rsid w:val="00CF6371"/>
    <w:rsid w:val="00D02D1F"/>
    <w:rsid w:val="00D02E38"/>
    <w:rsid w:val="00D04F88"/>
    <w:rsid w:val="00D05735"/>
    <w:rsid w:val="00D117C2"/>
    <w:rsid w:val="00D13F41"/>
    <w:rsid w:val="00D21288"/>
    <w:rsid w:val="00D21322"/>
    <w:rsid w:val="00D23814"/>
    <w:rsid w:val="00D30683"/>
    <w:rsid w:val="00D333DD"/>
    <w:rsid w:val="00D353CB"/>
    <w:rsid w:val="00D42B7D"/>
    <w:rsid w:val="00D43B81"/>
    <w:rsid w:val="00D4440E"/>
    <w:rsid w:val="00D44FF9"/>
    <w:rsid w:val="00D46BA9"/>
    <w:rsid w:val="00D47A9C"/>
    <w:rsid w:val="00D5747B"/>
    <w:rsid w:val="00D60294"/>
    <w:rsid w:val="00D61067"/>
    <w:rsid w:val="00D616ED"/>
    <w:rsid w:val="00D62687"/>
    <w:rsid w:val="00D647BB"/>
    <w:rsid w:val="00D700C6"/>
    <w:rsid w:val="00D779DE"/>
    <w:rsid w:val="00D8122F"/>
    <w:rsid w:val="00D81949"/>
    <w:rsid w:val="00D830E3"/>
    <w:rsid w:val="00D83780"/>
    <w:rsid w:val="00D83A7C"/>
    <w:rsid w:val="00D87D4E"/>
    <w:rsid w:val="00D93FFA"/>
    <w:rsid w:val="00D95315"/>
    <w:rsid w:val="00D95B32"/>
    <w:rsid w:val="00D9641B"/>
    <w:rsid w:val="00DA0B37"/>
    <w:rsid w:val="00DA3705"/>
    <w:rsid w:val="00DC65A4"/>
    <w:rsid w:val="00DC6FC9"/>
    <w:rsid w:val="00DD20CB"/>
    <w:rsid w:val="00DD2E41"/>
    <w:rsid w:val="00DE2127"/>
    <w:rsid w:val="00DE2578"/>
    <w:rsid w:val="00DE2927"/>
    <w:rsid w:val="00DE3906"/>
    <w:rsid w:val="00DF065B"/>
    <w:rsid w:val="00DF0C69"/>
    <w:rsid w:val="00DF1F96"/>
    <w:rsid w:val="00DF3939"/>
    <w:rsid w:val="00DF5E46"/>
    <w:rsid w:val="00E13EAD"/>
    <w:rsid w:val="00E15459"/>
    <w:rsid w:val="00E24E2A"/>
    <w:rsid w:val="00E30D8C"/>
    <w:rsid w:val="00E33F7E"/>
    <w:rsid w:val="00E42AB0"/>
    <w:rsid w:val="00E5721C"/>
    <w:rsid w:val="00E57EA6"/>
    <w:rsid w:val="00E57F3B"/>
    <w:rsid w:val="00E62828"/>
    <w:rsid w:val="00E637EA"/>
    <w:rsid w:val="00E66091"/>
    <w:rsid w:val="00E74568"/>
    <w:rsid w:val="00E808DA"/>
    <w:rsid w:val="00E83288"/>
    <w:rsid w:val="00E95451"/>
    <w:rsid w:val="00E95C83"/>
    <w:rsid w:val="00E96CBB"/>
    <w:rsid w:val="00EA7EEB"/>
    <w:rsid w:val="00EB1F94"/>
    <w:rsid w:val="00EB242E"/>
    <w:rsid w:val="00EB5A7E"/>
    <w:rsid w:val="00EB6FD4"/>
    <w:rsid w:val="00EC07B7"/>
    <w:rsid w:val="00EC31EC"/>
    <w:rsid w:val="00EC74D9"/>
    <w:rsid w:val="00ED04CA"/>
    <w:rsid w:val="00ED1E09"/>
    <w:rsid w:val="00ED21DF"/>
    <w:rsid w:val="00ED27A9"/>
    <w:rsid w:val="00EE0876"/>
    <w:rsid w:val="00EE1201"/>
    <w:rsid w:val="00EE30EA"/>
    <w:rsid w:val="00EE5BF7"/>
    <w:rsid w:val="00EF1345"/>
    <w:rsid w:val="00EF46FB"/>
    <w:rsid w:val="00F202E7"/>
    <w:rsid w:val="00F2314A"/>
    <w:rsid w:val="00F31A16"/>
    <w:rsid w:val="00F32255"/>
    <w:rsid w:val="00F3605F"/>
    <w:rsid w:val="00F37471"/>
    <w:rsid w:val="00F424F4"/>
    <w:rsid w:val="00F42A79"/>
    <w:rsid w:val="00F42C0C"/>
    <w:rsid w:val="00F46009"/>
    <w:rsid w:val="00F46240"/>
    <w:rsid w:val="00F47ED3"/>
    <w:rsid w:val="00F5148B"/>
    <w:rsid w:val="00F57D17"/>
    <w:rsid w:val="00F60689"/>
    <w:rsid w:val="00F62051"/>
    <w:rsid w:val="00F70B75"/>
    <w:rsid w:val="00F745D5"/>
    <w:rsid w:val="00F80A6F"/>
    <w:rsid w:val="00F86ACF"/>
    <w:rsid w:val="00FA3605"/>
    <w:rsid w:val="00FC3068"/>
    <w:rsid w:val="00FC3567"/>
    <w:rsid w:val="00FC3745"/>
    <w:rsid w:val="00FC4098"/>
    <w:rsid w:val="00FC40B9"/>
    <w:rsid w:val="00FC6F19"/>
    <w:rsid w:val="00FD2616"/>
    <w:rsid w:val="00FD464B"/>
    <w:rsid w:val="00FE10FE"/>
    <w:rsid w:val="00FF13F0"/>
    <w:rsid w:val="00FF2DF1"/>
    <w:rsid w:val="00FF31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3DA2"/>
  <w15:chartTrackingRefBased/>
  <w15:docId w15:val="{FBC00777-7B7F-49DE-8269-6BB79876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2A4A"/>
    <w:pPr>
      <w:widowControl w:val="0"/>
      <w:spacing w:after="0" w:line="240" w:lineRule="auto"/>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ell">
    <w:name w:val="Table Cell"/>
    <w:basedOn w:val="Normal"/>
    <w:uiPriority w:val="9"/>
    <w:qFormat/>
    <w:rsid w:val="008C2A4A"/>
    <w:pPr>
      <w:spacing w:before="10" w:after="20" w:line="200" w:lineRule="exact"/>
      <w:jc w:val="right"/>
    </w:pPr>
    <w:rPr>
      <w:rFonts w:ascii="Arial Narrow" w:hAnsi="Arial Narrow"/>
      <w:color w:val="000000" w:themeColor="text1"/>
      <w:sz w:val="17"/>
    </w:rPr>
  </w:style>
  <w:style w:type="table" w:customStyle="1" w:styleId="OECD">
    <w:name w:val="OECD"/>
    <w:basedOn w:val="TableSimple1"/>
    <w:uiPriority w:val="99"/>
    <w:rsid w:val="008C2A4A"/>
    <w:pPr>
      <w:widowControl/>
      <w:spacing w:before="10" w:after="20" w:line="200" w:lineRule="exact"/>
    </w:pPr>
    <w:rPr>
      <w:rFonts w:ascii="Arial Narrow" w:hAnsi="Arial Narrow"/>
      <w:sz w:val="17"/>
      <w:szCs w:val="20"/>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5B9BD5"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character" w:styleId="CommentReference">
    <w:name w:val="annotation reference"/>
    <w:basedOn w:val="DefaultParagraphFont"/>
    <w:uiPriority w:val="99"/>
    <w:semiHidden/>
    <w:unhideWhenUsed/>
    <w:rsid w:val="008C2A4A"/>
    <w:rPr>
      <w:sz w:val="16"/>
      <w:szCs w:val="16"/>
    </w:rPr>
  </w:style>
  <w:style w:type="paragraph" w:styleId="CommentText">
    <w:name w:val="annotation text"/>
    <w:basedOn w:val="Normal"/>
    <w:link w:val="CommentTextChar"/>
    <w:uiPriority w:val="99"/>
    <w:unhideWhenUsed/>
    <w:rsid w:val="008C2A4A"/>
    <w:rPr>
      <w:rFonts w:eastAsia="SimSun"/>
      <w:sz w:val="20"/>
      <w:szCs w:val="20"/>
    </w:rPr>
  </w:style>
  <w:style w:type="character" w:customStyle="1" w:styleId="CommentTextChar">
    <w:name w:val="Comment Text Char"/>
    <w:basedOn w:val="DefaultParagraphFont"/>
    <w:link w:val="CommentText"/>
    <w:uiPriority w:val="99"/>
    <w:rsid w:val="008C2A4A"/>
    <w:rPr>
      <w:rFonts w:eastAsia="SimSun"/>
      <w:sz w:val="20"/>
      <w:szCs w:val="20"/>
      <w:lang w:val="en-GB"/>
    </w:rPr>
  </w:style>
  <w:style w:type="table" w:styleId="TableSimple1">
    <w:name w:val="Table Simple 1"/>
    <w:basedOn w:val="TableNormal"/>
    <w:uiPriority w:val="99"/>
    <w:semiHidden/>
    <w:unhideWhenUsed/>
    <w:rsid w:val="008C2A4A"/>
    <w:pPr>
      <w:widowControl w:val="0"/>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C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4A"/>
    <w:rPr>
      <w:rFonts w:ascii="Segoe UI" w:hAnsi="Segoe UI" w:cs="Segoe UI"/>
      <w:sz w:val="18"/>
      <w:szCs w:val="18"/>
      <w:lang w:val="en-GB"/>
    </w:rPr>
  </w:style>
  <w:style w:type="paragraph" w:customStyle="1" w:styleId="TableRow">
    <w:name w:val="Table Row"/>
    <w:qFormat/>
    <w:rsid w:val="008C2A4A"/>
    <w:pPr>
      <w:spacing w:before="10" w:after="20" w:line="200" w:lineRule="exact"/>
    </w:pPr>
    <w:rPr>
      <w:rFonts w:ascii="Arial Narrow" w:hAnsi="Arial Narrow"/>
      <w:color w:val="000000" w:themeColor="text1"/>
      <w:sz w:val="17"/>
      <w:lang w:val="en-GB"/>
    </w:rPr>
  </w:style>
  <w:style w:type="paragraph" w:customStyle="1" w:styleId="TableColumn">
    <w:name w:val="Table Column"/>
    <w:qFormat/>
    <w:rsid w:val="008C2A4A"/>
    <w:pPr>
      <w:spacing w:before="20" w:after="0" w:line="220" w:lineRule="exact"/>
      <w:jc w:val="center"/>
    </w:pPr>
    <w:rPr>
      <w:rFonts w:ascii="Arial Narrow" w:hAnsi="Arial Narrow"/>
      <w:color w:val="000000" w:themeColor="text1"/>
      <w:sz w:val="18"/>
      <w:lang w:val="en-GB"/>
    </w:rPr>
  </w:style>
  <w:style w:type="paragraph" w:styleId="CommentSubject">
    <w:name w:val="annotation subject"/>
    <w:basedOn w:val="CommentText"/>
    <w:next w:val="CommentText"/>
    <w:link w:val="CommentSubjectChar"/>
    <w:uiPriority w:val="99"/>
    <w:semiHidden/>
    <w:unhideWhenUsed/>
    <w:rsid w:val="00615A20"/>
    <w:rPr>
      <w:rFonts w:eastAsiaTheme="minorHAnsi"/>
      <w:b/>
      <w:bCs/>
    </w:rPr>
  </w:style>
  <w:style w:type="character" w:customStyle="1" w:styleId="CommentSubjectChar">
    <w:name w:val="Comment Subject Char"/>
    <w:basedOn w:val="CommentTextChar"/>
    <w:link w:val="CommentSubject"/>
    <w:uiPriority w:val="99"/>
    <w:semiHidden/>
    <w:rsid w:val="00615A20"/>
    <w:rPr>
      <w:rFonts w:eastAsia="SimSun"/>
      <w:b/>
      <w:bCs/>
      <w:sz w:val="20"/>
      <w:szCs w:val="20"/>
      <w:lang w:val="en-GB"/>
    </w:rPr>
  </w:style>
  <w:style w:type="paragraph" w:styleId="Header">
    <w:name w:val="header"/>
    <w:basedOn w:val="Normal"/>
    <w:link w:val="HeaderChar"/>
    <w:uiPriority w:val="99"/>
    <w:unhideWhenUsed/>
    <w:rsid w:val="00463E86"/>
    <w:pPr>
      <w:tabs>
        <w:tab w:val="center" w:pos="4536"/>
        <w:tab w:val="right" w:pos="9072"/>
      </w:tabs>
    </w:pPr>
  </w:style>
  <w:style w:type="character" w:customStyle="1" w:styleId="HeaderChar">
    <w:name w:val="Header Char"/>
    <w:basedOn w:val="DefaultParagraphFont"/>
    <w:link w:val="Header"/>
    <w:uiPriority w:val="99"/>
    <w:rsid w:val="00463E86"/>
    <w:rPr>
      <w:lang w:val="en-GB"/>
    </w:rPr>
  </w:style>
  <w:style w:type="paragraph" w:styleId="Footer">
    <w:name w:val="footer"/>
    <w:basedOn w:val="Normal"/>
    <w:link w:val="FooterChar"/>
    <w:uiPriority w:val="99"/>
    <w:unhideWhenUsed/>
    <w:rsid w:val="00463E86"/>
    <w:pPr>
      <w:tabs>
        <w:tab w:val="center" w:pos="4536"/>
        <w:tab w:val="right" w:pos="9072"/>
      </w:tabs>
    </w:pPr>
  </w:style>
  <w:style w:type="character" w:customStyle="1" w:styleId="FooterChar">
    <w:name w:val="Footer Char"/>
    <w:basedOn w:val="DefaultParagraphFont"/>
    <w:link w:val="Footer"/>
    <w:uiPriority w:val="99"/>
    <w:rsid w:val="00463E86"/>
    <w:rPr>
      <w:lang w:val="en-GB"/>
    </w:rPr>
  </w:style>
  <w:style w:type="paragraph" w:customStyle="1" w:styleId="Default">
    <w:name w:val="Default"/>
    <w:rsid w:val="0077003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81022"/>
    <w:rPr>
      <w:b/>
      <w:bCs/>
    </w:rPr>
  </w:style>
  <w:style w:type="paragraph" w:styleId="Revision">
    <w:name w:val="Revision"/>
    <w:hidden/>
    <w:uiPriority w:val="99"/>
    <w:semiHidden/>
    <w:rsid w:val="00371E6C"/>
    <w:pPr>
      <w:spacing w:after="0" w:line="240" w:lineRule="auto"/>
    </w:pPr>
    <w:rPr>
      <w:lang w:val="en-GB"/>
    </w:rPr>
  </w:style>
  <w:style w:type="character" w:styleId="Hyperlink">
    <w:name w:val="Hyperlink"/>
    <w:basedOn w:val="DefaultParagraphFont"/>
    <w:uiPriority w:val="99"/>
    <w:semiHidden/>
    <w:unhideWhenUsed/>
    <w:rsid w:val="00BD042C"/>
    <w:rPr>
      <w:color w:val="0563C1"/>
      <w:u w:val="single"/>
    </w:rPr>
  </w:style>
  <w:style w:type="paragraph" w:styleId="ListParagraph">
    <w:name w:val="List Paragraph"/>
    <w:basedOn w:val="Normal"/>
    <w:uiPriority w:val="34"/>
    <w:qFormat/>
    <w:rsid w:val="009F6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19201">
      <w:bodyDiv w:val="1"/>
      <w:marLeft w:val="0"/>
      <w:marRight w:val="0"/>
      <w:marTop w:val="0"/>
      <w:marBottom w:val="0"/>
      <w:divBdr>
        <w:top w:val="none" w:sz="0" w:space="0" w:color="auto"/>
        <w:left w:val="none" w:sz="0" w:space="0" w:color="auto"/>
        <w:bottom w:val="none" w:sz="0" w:space="0" w:color="auto"/>
        <w:right w:val="none" w:sz="0" w:space="0" w:color="auto"/>
      </w:divBdr>
    </w:div>
    <w:div w:id="310595723">
      <w:bodyDiv w:val="1"/>
      <w:marLeft w:val="0"/>
      <w:marRight w:val="0"/>
      <w:marTop w:val="0"/>
      <w:marBottom w:val="0"/>
      <w:divBdr>
        <w:top w:val="none" w:sz="0" w:space="0" w:color="auto"/>
        <w:left w:val="none" w:sz="0" w:space="0" w:color="auto"/>
        <w:bottom w:val="none" w:sz="0" w:space="0" w:color="auto"/>
        <w:right w:val="none" w:sz="0" w:space="0" w:color="auto"/>
      </w:divBdr>
    </w:div>
    <w:div w:id="430398597">
      <w:bodyDiv w:val="1"/>
      <w:marLeft w:val="0"/>
      <w:marRight w:val="0"/>
      <w:marTop w:val="0"/>
      <w:marBottom w:val="0"/>
      <w:divBdr>
        <w:top w:val="none" w:sz="0" w:space="0" w:color="auto"/>
        <w:left w:val="none" w:sz="0" w:space="0" w:color="auto"/>
        <w:bottom w:val="none" w:sz="0" w:space="0" w:color="auto"/>
        <w:right w:val="none" w:sz="0" w:space="0" w:color="auto"/>
      </w:divBdr>
    </w:div>
    <w:div w:id="820541355">
      <w:bodyDiv w:val="1"/>
      <w:marLeft w:val="0"/>
      <w:marRight w:val="0"/>
      <w:marTop w:val="0"/>
      <w:marBottom w:val="0"/>
      <w:divBdr>
        <w:top w:val="none" w:sz="0" w:space="0" w:color="auto"/>
        <w:left w:val="none" w:sz="0" w:space="0" w:color="auto"/>
        <w:bottom w:val="none" w:sz="0" w:space="0" w:color="auto"/>
        <w:right w:val="none" w:sz="0" w:space="0" w:color="auto"/>
      </w:divBdr>
    </w:div>
    <w:div w:id="966356285">
      <w:bodyDiv w:val="1"/>
      <w:marLeft w:val="0"/>
      <w:marRight w:val="0"/>
      <w:marTop w:val="0"/>
      <w:marBottom w:val="0"/>
      <w:divBdr>
        <w:top w:val="none" w:sz="0" w:space="0" w:color="auto"/>
        <w:left w:val="none" w:sz="0" w:space="0" w:color="auto"/>
        <w:bottom w:val="none" w:sz="0" w:space="0" w:color="auto"/>
        <w:right w:val="none" w:sz="0" w:space="0" w:color="auto"/>
      </w:divBdr>
    </w:div>
    <w:div w:id="1119028528">
      <w:bodyDiv w:val="1"/>
      <w:marLeft w:val="0"/>
      <w:marRight w:val="0"/>
      <w:marTop w:val="0"/>
      <w:marBottom w:val="0"/>
      <w:divBdr>
        <w:top w:val="none" w:sz="0" w:space="0" w:color="auto"/>
        <w:left w:val="none" w:sz="0" w:space="0" w:color="auto"/>
        <w:bottom w:val="none" w:sz="0" w:space="0" w:color="auto"/>
        <w:right w:val="none" w:sz="0" w:space="0" w:color="auto"/>
      </w:divBdr>
    </w:div>
    <w:div w:id="1163425384">
      <w:bodyDiv w:val="1"/>
      <w:marLeft w:val="0"/>
      <w:marRight w:val="0"/>
      <w:marTop w:val="0"/>
      <w:marBottom w:val="0"/>
      <w:divBdr>
        <w:top w:val="none" w:sz="0" w:space="0" w:color="auto"/>
        <w:left w:val="none" w:sz="0" w:space="0" w:color="auto"/>
        <w:bottom w:val="none" w:sz="0" w:space="0" w:color="auto"/>
        <w:right w:val="none" w:sz="0" w:space="0" w:color="auto"/>
      </w:divBdr>
    </w:div>
    <w:div w:id="1241870639">
      <w:bodyDiv w:val="1"/>
      <w:marLeft w:val="0"/>
      <w:marRight w:val="0"/>
      <w:marTop w:val="0"/>
      <w:marBottom w:val="0"/>
      <w:divBdr>
        <w:top w:val="none" w:sz="0" w:space="0" w:color="auto"/>
        <w:left w:val="none" w:sz="0" w:space="0" w:color="auto"/>
        <w:bottom w:val="none" w:sz="0" w:space="0" w:color="auto"/>
        <w:right w:val="none" w:sz="0" w:space="0" w:color="auto"/>
      </w:divBdr>
    </w:div>
    <w:div w:id="1364289020">
      <w:bodyDiv w:val="1"/>
      <w:marLeft w:val="0"/>
      <w:marRight w:val="0"/>
      <w:marTop w:val="0"/>
      <w:marBottom w:val="0"/>
      <w:divBdr>
        <w:top w:val="none" w:sz="0" w:space="0" w:color="auto"/>
        <w:left w:val="none" w:sz="0" w:space="0" w:color="auto"/>
        <w:bottom w:val="none" w:sz="0" w:space="0" w:color="auto"/>
        <w:right w:val="none" w:sz="0" w:space="0" w:color="auto"/>
      </w:divBdr>
    </w:div>
    <w:div w:id="1639259038">
      <w:bodyDiv w:val="1"/>
      <w:marLeft w:val="0"/>
      <w:marRight w:val="0"/>
      <w:marTop w:val="0"/>
      <w:marBottom w:val="0"/>
      <w:divBdr>
        <w:top w:val="none" w:sz="0" w:space="0" w:color="auto"/>
        <w:left w:val="none" w:sz="0" w:space="0" w:color="auto"/>
        <w:bottom w:val="none" w:sz="0" w:space="0" w:color="auto"/>
        <w:right w:val="none" w:sz="0" w:space="0" w:color="auto"/>
      </w:divBdr>
    </w:div>
    <w:div w:id="1838306226">
      <w:bodyDiv w:val="1"/>
      <w:marLeft w:val="0"/>
      <w:marRight w:val="0"/>
      <w:marTop w:val="0"/>
      <w:marBottom w:val="0"/>
      <w:divBdr>
        <w:top w:val="none" w:sz="0" w:space="0" w:color="auto"/>
        <w:left w:val="none" w:sz="0" w:space="0" w:color="auto"/>
        <w:bottom w:val="none" w:sz="0" w:space="0" w:color="auto"/>
        <w:right w:val="none" w:sz="0" w:space="0" w:color="auto"/>
      </w:divBdr>
    </w:div>
    <w:div w:id="20480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v.parliament.bg/DVWeb/showMaterialDV.jsp?idMat=22880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b.apis.bg/p.php?code=2009&amp;base=NARH"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7CB227E4C7849B4B894363CED3B18" ma:contentTypeVersion="15" ma:contentTypeDescription="Create a new document." ma:contentTypeScope="" ma:versionID="3970efa7e1ca10685dea986a20003489">
  <xsd:schema xmlns:xsd="http://www.w3.org/2001/XMLSchema" xmlns:xs="http://www.w3.org/2001/XMLSchema" xmlns:p="http://schemas.microsoft.com/office/2006/metadata/properties" xmlns:ns2="1c2649c6-0f6a-432e-8083-5d1192364e9a" xmlns:ns3="5adc7b8d-49ae-46df-b2d3-cd95f9860e28" targetNamespace="http://schemas.microsoft.com/office/2006/metadata/properties" ma:root="true" ma:fieldsID="dd93eaed8bf05c5fcf7d3c9f953f8d26" ns2:_="" ns3:_="">
    <xsd:import namespace="1c2649c6-0f6a-432e-8083-5d1192364e9a"/>
    <xsd:import namespace="5adc7b8d-49ae-46df-b2d3-cd95f9860e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49c6-0f6a-432e-8083-5d1192364e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74366-0ffe-423f-bdf9-2b42b3272f2f}" ma:internalName="TaxCatchAll" ma:showField="CatchAllData" ma:web="1c2649c6-0f6a-432e-8083-5d1192364e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c7b8d-49ae-46df-b2d3-cd95f9860e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88280d-6a5f-48d4-a44b-cccce165743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2649c6-0f6a-432e-8083-5d1192364e9a" xsi:nil="true"/>
    <lcf76f155ced4ddcb4097134ff3c332f xmlns="5adc7b8d-49ae-46df-b2d3-cd95f9860e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1EB34-2754-49A1-8CC1-71072E78A1F4}">
  <ds:schemaRefs>
    <ds:schemaRef ds:uri="http://schemas.openxmlformats.org/officeDocument/2006/bibliography"/>
  </ds:schemaRefs>
</ds:datastoreItem>
</file>

<file path=customXml/itemProps2.xml><?xml version="1.0" encoding="utf-8"?>
<ds:datastoreItem xmlns:ds="http://schemas.openxmlformats.org/officeDocument/2006/customXml" ds:itemID="{75A6DB02-E585-42E1-8005-E70D9780C878}">
  <ds:schemaRefs>
    <ds:schemaRef ds:uri="http://schemas.microsoft.com/sharepoint/v3/contenttype/forms"/>
  </ds:schemaRefs>
</ds:datastoreItem>
</file>

<file path=customXml/itemProps3.xml><?xml version="1.0" encoding="utf-8"?>
<ds:datastoreItem xmlns:ds="http://schemas.openxmlformats.org/officeDocument/2006/customXml" ds:itemID="{9B1BC955-54D2-4214-8038-A2C49DB4D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49c6-0f6a-432e-8083-5d1192364e9a"/>
    <ds:schemaRef ds:uri="5adc7b8d-49ae-46df-b2d3-cd95f986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CF1FA-4C58-405D-82EC-6B8FE5B65146}">
  <ds:schemaRefs>
    <ds:schemaRef ds:uri="http://schemas.microsoft.com/office/2006/metadata/properties"/>
    <ds:schemaRef ds:uri="http://schemas.microsoft.com/office/infopath/2007/PartnerControls"/>
    <ds:schemaRef ds:uri="1c2649c6-0f6a-432e-8083-5d1192364e9a"/>
    <ds:schemaRef ds:uri="5adc7b8d-49ae-46df-b2d3-cd95f9860e2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12518</Words>
  <Characters>71357</Characters>
  <Application>Microsoft Office Word</Application>
  <DocSecurity>0</DocSecurity>
  <Lines>594</Lines>
  <Paragraphs>167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Ministry Of Finance</Company>
  <LinksUpToDate>false</LinksUpToDate>
  <CharactersWithSpaces>83708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EAEA</dc:creator>
  <cp:keywords/>
  <dc:description/>
  <cp:lastModifiedBy>Галина Смелова</cp:lastModifiedBy>
  <cp:revision>2</cp:revision>
  <dcterms:created xsi:type="dcterms:W3CDTF">2025-10-20T15:36:00Z</dcterms:created>
  <dcterms:modified xsi:type="dcterms:W3CDTF">2025-10-20T15:36:00Z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0x010100FE37CB227E4C7849B4B894363CED3B18</vt:lpwstr>
  </property>
</Properties>
</file>