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77777777" w:rsidR="00AD087A" w:rsidRPr="00FA1216" w:rsidRDefault="00AD087A">
      <w:pPr>
        <w:jc w:val="center"/>
        <w:rPr>
          <w:rFonts w:ascii="Times New Roman" w:hAnsi="Times New Roman"/>
          <w:b/>
          <w:sz w:val="26"/>
          <w:szCs w:val="26"/>
          <w:lang w:val="bg-BG"/>
        </w:rPr>
      </w:pPr>
    </w:p>
    <w:p w14:paraId="56D74E1A" w14:textId="77777777" w:rsidR="00AD087A" w:rsidRPr="00A00E97" w:rsidRDefault="00AD087A">
      <w:pPr>
        <w:jc w:val="center"/>
        <w:rPr>
          <w:rFonts w:ascii="Times New Roman" w:hAnsi="Times New Roman"/>
          <w:b/>
          <w:sz w:val="36"/>
          <w:szCs w:val="36"/>
          <w:lang w:val="bg-BG"/>
        </w:rPr>
      </w:pPr>
      <w:r w:rsidRPr="00A00E97">
        <w:rPr>
          <w:rFonts w:ascii="Times New Roman" w:hAnsi="Times New Roman"/>
          <w:b/>
          <w:sz w:val="36"/>
          <w:szCs w:val="36"/>
          <w:lang w:val="bg-BG"/>
        </w:rPr>
        <w:t>М  О  Т  И  В  И</w:t>
      </w:r>
    </w:p>
    <w:p w14:paraId="1CDC1A62" w14:textId="77777777" w:rsidR="00AD087A" w:rsidRPr="00FA1216" w:rsidRDefault="00AD087A">
      <w:pPr>
        <w:jc w:val="center"/>
        <w:rPr>
          <w:rFonts w:ascii="Times New Roman" w:hAnsi="Times New Roman"/>
          <w:b/>
          <w:sz w:val="26"/>
          <w:szCs w:val="26"/>
          <w:lang w:val="bg-BG"/>
        </w:rPr>
      </w:pPr>
    </w:p>
    <w:p w14:paraId="42ECDA66" w14:textId="12ED658A" w:rsidR="00AD087A" w:rsidRPr="00857BCB" w:rsidRDefault="00AD087A" w:rsidP="00A00E97">
      <w:pPr>
        <w:ind w:left="142" w:right="50"/>
        <w:jc w:val="both"/>
        <w:rPr>
          <w:rFonts w:ascii="Times New Roman" w:hAnsi="Times New Roman"/>
          <w:b/>
          <w:smallCaps/>
          <w:sz w:val="28"/>
          <w:szCs w:val="28"/>
          <w:lang w:val="bg-BG"/>
        </w:rPr>
      </w:pPr>
      <w:r w:rsidRPr="00857BCB">
        <w:rPr>
          <w:rFonts w:ascii="Times New Roman" w:hAnsi="Times New Roman"/>
          <w:b/>
          <w:smallCaps/>
          <w:sz w:val="28"/>
          <w:szCs w:val="28"/>
          <w:lang w:val="bg-BG"/>
        </w:rPr>
        <w:t xml:space="preserve">към проекта на Закон за </w:t>
      </w:r>
      <w:r w:rsidR="00A00E97" w:rsidRPr="00857BCB">
        <w:rPr>
          <w:rFonts w:ascii="Times New Roman" w:hAnsi="Times New Roman"/>
          <w:b/>
          <w:smallCaps/>
          <w:sz w:val="28"/>
          <w:szCs w:val="28"/>
          <w:lang w:val="bg-BG"/>
        </w:rPr>
        <w:t>ратифициране на Многостранното споразумение между компетентните органи за автоматичен обмен на информация съгласно Рамката за предоставяне на информация за криптоактиви и на Допълнението към Многостранното споразумение между компетентните органи за автоматичен обмен на информация за финансови сметки</w:t>
      </w:r>
    </w:p>
    <w:p w14:paraId="138348C2" w14:textId="77777777" w:rsidR="00AD087A" w:rsidRPr="00857BCB" w:rsidRDefault="00AD087A" w:rsidP="00D013AB">
      <w:pPr>
        <w:spacing w:line="288" w:lineRule="auto"/>
        <w:jc w:val="center"/>
        <w:rPr>
          <w:rFonts w:ascii="Times New Roman" w:hAnsi="Times New Roman"/>
          <w:b/>
          <w:sz w:val="26"/>
          <w:szCs w:val="26"/>
          <w:lang w:val="bg-BG"/>
        </w:rPr>
      </w:pPr>
    </w:p>
    <w:p w14:paraId="2F8CCB4B" w14:textId="355F4BA9" w:rsidR="00A00E97" w:rsidRPr="00857BCB" w:rsidRDefault="00A00E97" w:rsidP="00B37A2A">
      <w:pPr>
        <w:pStyle w:val="ListParagraph"/>
        <w:tabs>
          <w:tab w:val="left" w:pos="851"/>
        </w:tabs>
        <w:spacing w:before="120" w:after="0" w:line="288" w:lineRule="auto"/>
        <w:ind w:left="0" w:firstLine="1134"/>
        <w:jc w:val="both"/>
        <w:rPr>
          <w:rFonts w:ascii="Arial" w:hAnsi="Arial" w:cs="Arial"/>
          <w:bCs/>
          <w:sz w:val="28"/>
          <w:szCs w:val="28"/>
        </w:rPr>
      </w:pPr>
      <w:r w:rsidRPr="00857BCB">
        <w:rPr>
          <w:rFonts w:ascii="Arial" w:hAnsi="Arial" w:cs="Arial"/>
          <w:bCs/>
          <w:sz w:val="28"/>
          <w:szCs w:val="28"/>
        </w:rPr>
        <w:t xml:space="preserve">Многостранното споразумение между компетентните органи за автоматичен обмен на информация съгласно Рамката за предоставяне на информация за криптоактиви („Многостранното споразумение относно CARF“) и Допълнението към Многостранното споразумение между компетентните органи за автоматичен обмен на информация за финансови сметки („Допълнението към Многостранното споразумение относно CRS“) са подписани от Република България на 26 ноември 2024 г. в Асунсион по време на среща на 17-ото Пленарно заседание на Глобалния форум за прозрачност и обмен на информация за данъчни цели към Организацията за икономическо сътрудничество и развитие (ОИСР). Към настоящия момент 49 юрисдикции са се присъединили към Многостранното споразумение относно CARF и 52 юрисдикции </w:t>
      </w:r>
      <w:r w:rsidR="00A8589B">
        <w:rPr>
          <w:rFonts w:ascii="Arial" w:hAnsi="Arial" w:cs="Arial"/>
          <w:bCs/>
          <w:sz w:val="28"/>
          <w:szCs w:val="28"/>
        </w:rPr>
        <w:t>-</w:t>
      </w:r>
      <w:r w:rsidRPr="00857BCB">
        <w:rPr>
          <w:rFonts w:ascii="Arial" w:hAnsi="Arial" w:cs="Arial"/>
          <w:bCs/>
          <w:sz w:val="28"/>
          <w:szCs w:val="28"/>
        </w:rPr>
        <w:t xml:space="preserve"> към Допълнението към Многостранното споразумение относно CRS. </w:t>
      </w:r>
      <w:r w:rsidR="002546AF">
        <w:rPr>
          <w:rFonts w:ascii="Arial" w:hAnsi="Arial" w:cs="Arial"/>
          <w:bCs/>
          <w:sz w:val="28"/>
          <w:szCs w:val="28"/>
        </w:rPr>
        <w:br/>
      </w:r>
      <w:r w:rsidRPr="00857BCB">
        <w:rPr>
          <w:rFonts w:ascii="Arial" w:hAnsi="Arial" w:cs="Arial"/>
          <w:bCs/>
          <w:sz w:val="28"/>
          <w:szCs w:val="28"/>
        </w:rPr>
        <w:t>С решение по т. 2 от Протокол № 47 от заседанието на Министерския съвет на 13 ноември 2024 г. министърът на финансите е упълномощен да подпише декларациите за присъединяване на Република България към двата акта при условие за последваща ратификация.</w:t>
      </w:r>
    </w:p>
    <w:p w14:paraId="475FDB68" w14:textId="60865857" w:rsidR="00A00E97" w:rsidRPr="00857BCB" w:rsidRDefault="00A00E97" w:rsidP="00B37A2A">
      <w:pPr>
        <w:pStyle w:val="ListParagraph"/>
        <w:tabs>
          <w:tab w:val="left" w:pos="720"/>
          <w:tab w:val="left" w:pos="851"/>
        </w:tabs>
        <w:spacing w:before="120" w:after="0" w:line="288" w:lineRule="auto"/>
        <w:ind w:left="0" w:firstLine="1134"/>
        <w:jc w:val="both"/>
        <w:rPr>
          <w:rFonts w:ascii="Arial" w:hAnsi="Arial" w:cs="Arial"/>
          <w:bCs/>
          <w:sz w:val="28"/>
          <w:szCs w:val="28"/>
        </w:rPr>
      </w:pPr>
      <w:r w:rsidRPr="00857BCB">
        <w:rPr>
          <w:rFonts w:ascii="Arial" w:hAnsi="Arial" w:cs="Arial"/>
          <w:bCs/>
          <w:sz w:val="28"/>
          <w:szCs w:val="28"/>
        </w:rPr>
        <w:t xml:space="preserve">Двете споразумения са разработени от ОИСР за прилагане на новия стандарт за автоматичен обмен на информация за криптоактиви (CARF) и промените в Общия стандарт за предоставяне на информация (CRS), включени в документа „Международни стандарти за автоматичен обмен на информация по данъчни въпроси – Рамка за предоставяне на информация за криптоактиви и изменение на Общия стандарт за предоставяне на информация от 2023 г.“ (International Standards for Automatic Exchange of Information in Tax Matters - Crypto-Asset Reporting </w:t>
      </w:r>
      <w:r w:rsidRPr="00857BCB">
        <w:rPr>
          <w:rFonts w:ascii="Arial" w:hAnsi="Arial" w:cs="Arial"/>
          <w:bCs/>
          <w:sz w:val="28"/>
          <w:szCs w:val="28"/>
        </w:rPr>
        <w:lastRenderedPageBreak/>
        <w:t xml:space="preserve">Framework and 2023 update to the Common Reporting Standard). </w:t>
      </w:r>
      <w:r w:rsidR="00FC384A">
        <w:rPr>
          <w:rFonts w:ascii="Arial" w:hAnsi="Arial" w:cs="Arial"/>
          <w:bCs/>
          <w:sz w:val="28"/>
          <w:szCs w:val="28"/>
        </w:rPr>
        <w:br/>
      </w:r>
      <w:r w:rsidRPr="00857BCB">
        <w:rPr>
          <w:rFonts w:ascii="Arial" w:hAnsi="Arial" w:cs="Arial"/>
          <w:bCs/>
          <w:sz w:val="28"/>
          <w:szCs w:val="28"/>
        </w:rPr>
        <w:t>С документа се предлага въвеждането на нови глобални правила за автоматичен обмен на информация по отношение на криптоактивите, както и допълнения към автоматичния обмен на информация за финансови сметки. Тези два проекта са взаимосвързани, като целта на новите правила е да се повиши данъчната прозрачност по отношение на криптоактивите и електронните пари и да се подобри административното сътрудничество чрез обмен на получената информация между компетентните органи. При разработването на Рамката за предоставяне на информация за криптоактиви (Crypto-Asset Reporting Framework или CARF) за основа са взети действащите правила за автоматичен обмен на информация, като данъчните администрации ще си обменят важна за данъчното облагане информация относно сделките с криптоактиви. Правилата предвиждат предоставянето на информация и автоматичният ѝ обмен между компетентните органи да се извършват в стандартизиран формат. В CARF са дефинирани относимите криптоактиви в обхвата на правилата, доставчиците на услуги за криптоактиви, които ще подлежат на отчитане, процедурите за комплексна проверка, които трябва да прилагат, за да идентифицират своите клиенти, както и правилата за ефективно прилагане на стандарта. По този начин в CARF са отразени последните промени в глобалните стандарти за борба с изпирането на пари на Специалната група за финансови действия (Financial Action Task Force).</w:t>
      </w:r>
    </w:p>
    <w:p w14:paraId="4370F27B" w14:textId="300A5C5A" w:rsidR="00A00E97" w:rsidRPr="00857BCB" w:rsidRDefault="00A00E97" w:rsidP="00B37A2A">
      <w:pPr>
        <w:pStyle w:val="ListParagraph"/>
        <w:tabs>
          <w:tab w:val="left" w:pos="0"/>
          <w:tab w:val="left" w:pos="851"/>
        </w:tabs>
        <w:spacing w:before="120" w:after="0" w:line="288" w:lineRule="auto"/>
        <w:ind w:left="0" w:firstLine="1134"/>
        <w:jc w:val="both"/>
        <w:rPr>
          <w:rFonts w:ascii="Arial" w:hAnsi="Arial" w:cs="Arial"/>
          <w:bCs/>
          <w:sz w:val="28"/>
          <w:szCs w:val="28"/>
        </w:rPr>
      </w:pPr>
      <w:r w:rsidRPr="00857BCB">
        <w:rPr>
          <w:rFonts w:ascii="Arial" w:hAnsi="Arial" w:cs="Arial"/>
          <w:bCs/>
          <w:sz w:val="28"/>
          <w:szCs w:val="28"/>
        </w:rPr>
        <w:t xml:space="preserve">Наред с това въз основа на натрупаната практика и направен от ОИСР анализ на Общия стандарт за предоставяне на информация (CRS) се правят изменения и допълнения в съществуващите правила за автоматичен обмен на информация за финансови сметки. В обхвата на стандарта се включват електронните пари, цифрови валути на централни банки и косвените инвестиции в криптоактиви чрез деривати и инвестиционни инструменти. Също така се засилват изискванията за комплексна проверка и за предоставяне на информация. Към настоящия момент </w:t>
      </w:r>
      <w:r w:rsidRPr="00857BCB">
        <w:rPr>
          <w:rFonts w:ascii="Arial" w:hAnsi="Arial" w:cs="Arial"/>
          <w:bCs/>
          <w:sz w:val="28"/>
          <w:szCs w:val="28"/>
        </w:rPr>
        <w:lastRenderedPageBreak/>
        <w:t>правилата на стандарта са регламентирани в българското законодателство в Данъчно-осигурителния процесуален кодекс.</w:t>
      </w:r>
    </w:p>
    <w:p w14:paraId="5F134062" w14:textId="4B25E133" w:rsidR="00A00E97" w:rsidRPr="00857BCB" w:rsidRDefault="00A00E97" w:rsidP="00857BCB">
      <w:pPr>
        <w:pStyle w:val="ListParagraph"/>
        <w:tabs>
          <w:tab w:val="left" w:pos="0"/>
          <w:tab w:val="left" w:pos="851"/>
        </w:tabs>
        <w:spacing w:before="120" w:after="0" w:line="288" w:lineRule="auto"/>
        <w:ind w:left="0" w:firstLine="1134"/>
        <w:jc w:val="both"/>
        <w:rPr>
          <w:rFonts w:ascii="Arial" w:hAnsi="Arial" w:cs="Arial"/>
          <w:bCs/>
          <w:sz w:val="28"/>
          <w:szCs w:val="28"/>
        </w:rPr>
      </w:pPr>
      <w:r w:rsidRPr="00857BCB">
        <w:rPr>
          <w:rFonts w:ascii="Arial" w:hAnsi="Arial" w:cs="Arial"/>
          <w:bCs/>
          <w:sz w:val="28"/>
          <w:szCs w:val="28"/>
        </w:rPr>
        <w:t xml:space="preserve">Многостранното споразумение относно CARF и Допълнението към Многостранното споразумение относно CRS, които представляват правна рамка за практическото осъществяване на обмена между присъединените юрисдикции по горепосочените правила, се основават на чл. 6 от Конвенцията за взаимно административно сътрудничество по данъчни въпроси, изменена с Протокола за изменение от 2010 г., към която Република България се присъедини на 26 октомври 2015 г. Конвенцията за взаимно административно сътрудничество по данъчни въпроси е ратифицирана със закон </w:t>
      </w:r>
      <w:r w:rsidR="00167845">
        <w:rPr>
          <w:rFonts w:ascii="Arial" w:hAnsi="Arial" w:cs="Arial"/>
          <w:bCs/>
          <w:sz w:val="28"/>
          <w:szCs w:val="28"/>
        </w:rPr>
        <w:t>(</w:t>
      </w:r>
      <w:r w:rsidRPr="00857BCB">
        <w:rPr>
          <w:rFonts w:ascii="Arial" w:hAnsi="Arial" w:cs="Arial"/>
          <w:bCs/>
          <w:sz w:val="28"/>
          <w:szCs w:val="28"/>
        </w:rPr>
        <w:t xml:space="preserve">обн., ДВ, бр. 14 от 2016 г., в сила от </w:t>
      </w:r>
      <w:r w:rsidR="00167845">
        <w:rPr>
          <w:rFonts w:ascii="Arial" w:hAnsi="Arial" w:cs="Arial"/>
          <w:bCs/>
          <w:sz w:val="28"/>
          <w:szCs w:val="28"/>
        </w:rPr>
        <w:br/>
      </w:r>
      <w:r w:rsidRPr="00857BCB">
        <w:rPr>
          <w:rFonts w:ascii="Arial" w:hAnsi="Arial" w:cs="Arial"/>
          <w:bCs/>
          <w:sz w:val="28"/>
          <w:szCs w:val="28"/>
        </w:rPr>
        <w:t>1 юли 2016 г.</w:t>
      </w:r>
      <w:r w:rsidR="00167845">
        <w:rPr>
          <w:rFonts w:ascii="Arial" w:hAnsi="Arial" w:cs="Arial"/>
          <w:bCs/>
          <w:sz w:val="28"/>
          <w:szCs w:val="28"/>
        </w:rPr>
        <w:t>).</w:t>
      </w:r>
    </w:p>
    <w:p w14:paraId="0099D86E" w14:textId="4B390CA9" w:rsidR="00A00E97" w:rsidRPr="00857BCB" w:rsidRDefault="00A00E97" w:rsidP="00857BCB">
      <w:pPr>
        <w:pStyle w:val="ListParagraph"/>
        <w:tabs>
          <w:tab w:val="left" w:pos="0"/>
          <w:tab w:val="left" w:pos="851"/>
        </w:tabs>
        <w:spacing w:before="120" w:after="0" w:line="288" w:lineRule="auto"/>
        <w:ind w:left="0" w:firstLine="1134"/>
        <w:jc w:val="both"/>
        <w:rPr>
          <w:rFonts w:ascii="Arial" w:hAnsi="Arial" w:cs="Arial"/>
          <w:bCs/>
          <w:sz w:val="28"/>
          <w:szCs w:val="28"/>
        </w:rPr>
      </w:pPr>
      <w:r w:rsidRPr="00857BCB">
        <w:rPr>
          <w:rFonts w:ascii="Arial" w:hAnsi="Arial" w:cs="Arial"/>
          <w:bCs/>
          <w:sz w:val="28"/>
          <w:szCs w:val="28"/>
        </w:rPr>
        <w:t>В Многостранното споразумение относно CARF са включени правила във връзка с обхвата на обменяната информация за криптоактиви, регламентирани са времето и начин</w:t>
      </w:r>
      <w:r w:rsidR="00167845">
        <w:rPr>
          <w:rFonts w:ascii="Arial" w:hAnsi="Arial" w:cs="Arial"/>
          <w:bCs/>
          <w:sz w:val="28"/>
          <w:szCs w:val="28"/>
        </w:rPr>
        <w:t>ът</w:t>
      </w:r>
      <w:r w:rsidRPr="00857BCB">
        <w:rPr>
          <w:rFonts w:ascii="Arial" w:hAnsi="Arial" w:cs="Arial"/>
          <w:bCs/>
          <w:sz w:val="28"/>
          <w:szCs w:val="28"/>
        </w:rPr>
        <w:t>, по който ще се извършва автоматичния</w:t>
      </w:r>
      <w:r w:rsidR="00167845">
        <w:rPr>
          <w:rFonts w:ascii="Arial" w:hAnsi="Arial" w:cs="Arial"/>
          <w:bCs/>
          <w:sz w:val="28"/>
          <w:szCs w:val="28"/>
        </w:rPr>
        <w:t>т</w:t>
      </w:r>
      <w:r w:rsidRPr="00857BCB">
        <w:rPr>
          <w:rFonts w:ascii="Arial" w:hAnsi="Arial" w:cs="Arial"/>
          <w:bCs/>
          <w:sz w:val="28"/>
          <w:szCs w:val="28"/>
        </w:rPr>
        <w:t xml:space="preserve"> обмен, както и сътрудничеството между компетентните органи в случаите на установени грешки и неспазване на правилата от доставчиците на услуги за криптоактиви. Споразумението урежда и приложимите правила за поверителност и защита на данните. За влизането в действие на Многостранното споразумение е необходимо българският компетентен орган да подаде уведомления до Секретариата на Координиращия орган съгласно чл. 7 от него, като на първо място е уведомлението относно наличие на национално законодателство, с коeто се въвеждат правилата на CARF. Останалите уведомления касаят това дали информацията ще се обменя на нереципрочна основа, методите за предаване на данните, въпроси, свързани със защита на личните данни, потвърждение за мерките за поверителност и защита на данните, както и юрисдикциите, с които ще се обменя информация. След депозиране на всички уведомления Многостранното споразумение относно CARF ще влезе в действие и ще се прилага по отношение на Република България. </w:t>
      </w:r>
    </w:p>
    <w:p w14:paraId="2910ABDC" w14:textId="77777777" w:rsidR="00A00E97" w:rsidRPr="00857BCB" w:rsidRDefault="00A00E97" w:rsidP="00857BCB">
      <w:pPr>
        <w:pStyle w:val="ListParagraph"/>
        <w:tabs>
          <w:tab w:val="left" w:pos="0"/>
          <w:tab w:val="left" w:pos="851"/>
        </w:tabs>
        <w:spacing w:before="120" w:after="0" w:line="288" w:lineRule="auto"/>
        <w:ind w:left="0" w:firstLine="1134"/>
        <w:jc w:val="both"/>
        <w:rPr>
          <w:rFonts w:ascii="Arial" w:hAnsi="Arial" w:cs="Arial"/>
          <w:bCs/>
          <w:sz w:val="28"/>
          <w:szCs w:val="28"/>
        </w:rPr>
      </w:pPr>
      <w:r w:rsidRPr="00857BCB">
        <w:rPr>
          <w:rFonts w:ascii="Arial" w:hAnsi="Arial" w:cs="Arial"/>
          <w:bCs/>
          <w:sz w:val="28"/>
          <w:szCs w:val="28"/>
        </w:rPr>
        <w:t xml:space="preserve">В Допълнението на Многостранното споразумение относно CRS са включени правила относно допълнителния обхват на </w:t>
      </w:r>
      <w:r w:rsidRPr="00857BCB">
        <w:rPr>
          <w:rFonts w:ascii="Arial" w:hAnsi="Arial" w:cs="Arial"/>
          <w:bCs/>
          <w:sz w:val="28"/>
          <w:szCs w:val="28"/>
        </w:rPr>
        <w:lastRenderedPageBreak/>
        <w:t xml:space="preserve">обменяната информация за финансови сметки. Предвидени са също и уведомления, които трябва да бъдат представени на Секретариата на Координиращия орган, за да може Допълнението да влезе в действие и да се прилага по отношение на Република България.  </w:t>
      </w:r>
    </w:p>
    <w:p w14:paraId="7F9DDDBA" w14:textId="78A5F521" w:rsidR="00A00E97" w:rsidRPr="00857BCB" w:rsidRDefault="00A00E97" w:rsidP="00857BCB">
      <w:pPr>
        <w:pStyle w:val="ListParagraph"/>
        <w:tabs>
          <w:tab w:val="left" w:pos="0"/>
          <w:tab w:val="left" w:pos="851"/>
        </w:tabs>
        <w:spacing w:before="120" w:after="0" w:line="288" w:lineRule="auto"/>
        <w:ind w:left="0" w:firstLine="1134"/>
        <w:jc w:val="both"/>
        <w:rPr>
          <w:rFonts w:ascii="Arial" w:hAnsi="Arial" w:cs="Arial"/>
          <w:bCs/>
          <w:sz w:val="28"/>
          <w:szCs w:val="28"/>
        </w:rPr>
      </w:pPr>
      <w:r w:rsidRPr="00857BCB">
        <w:rPr>
          <w:rFonts w:ascii="Arial" w:hAnsi="Arial" w:cs="Arial"/>
          <w:bCs/>
          <w:sz w:val="28"/>
          <w:szCs w:val="28"/>
        </w:rPr>
        <w:t>Ратифицирането и влизането в сила по отношение на българския компетентен орган на Многостранното споразумение относно CARF и на Допълнението към Многостранното споразумение относно CRS, които представляват правна рамка за практическото осъществяване на обмена между присъединените юрисдикции, ще позволи обмен на информация и с партньорски юрисдикции извън Европейския съюз и ще има изключително позитивно отражение върху имиджа на страната ни като държава, която следва и прилага международните стандарти за данъчна прозрачност и ефективно административно сътрудничество със своите партньори. Въз основа на тези споразумения  страната ни ще получава изключително важна информация, която е от съществено значение за определянето на данъчните задължения на български местни лица и бизнеси за доходи и активи, които притежават в чужбина.</w:t>
      </w:r>
    </w:p>
    <w:p w14:paraId="2E8AFBD1" w14:textId="23E66D5C" w:rsidR="00AD087A" w:rsidRPr="00857BCB" w:rsidRDefault="00A00E97" w:rsidP="00857BCB">
      <w:pPr>
        <w:pStyle w:val="ListParagraph"/>
        <w:tabs>
          <w:tab w:val="left" w:pos="0"/>
          <w:tab w:val="left" w:pos="851"/>
        </w:tabs>
        <w:spacing w:before="120" w:after="0" w:line="288" w:lineRule="auto"/>
        <w:ind w:left="0" w:firstLine="1134"/>
        <w:jc w:val="both"/>
        <w:rPr>
          <w:rFonts w:ascii="Arial" w:hAnsi="Arial" w:cs="Arial"/>
          <w:bCs/>
          <w:sz w:val="28"/>
          <w:szCs w:val="28"/>
        </w:rPr>
      </w:pPr>
      <w:r w:rsidRPr="00857BCB">
        <w:rPr>
          <w:rFonts w:ascii="Arial" w:hAnsi="Arial" w:cs="Arial"/>
          <w:bCs/>
          <w:sz w:val="28"/>
          <w:szCs w:val="28"/>
        </w:rPr>
        <w:t xml:space="preserve">Многостранното споразумение относно CARF подлежи на ратифициране от Народното събрание със закон на основание </w:t>
      </w:r>
      <w:r w:rsidR="002546AF">
        <w:rPr>
          <w:rFonts w:ascii="Arial" w:hAnsi="Arial" w:cs="Arial"/>
          <w:bCs/>
          <w:sz w:val="28"/>
          <w:szCs w:val="28"/>
        </w:rPr>
        <w:br/>
      </w:r>
      <w:r w:rsidRPr="00857BCB">
        <w:rPr>
          <w:rFonts w:ascii="Arial" w:hAnsi="Arial" w:cs="Arial"/>
          <w:bCs/>
          <w:sz w:val="28"/>
          <w:szCs w:val="28"/>
        </w:rPr>
        <w:t>чл. 85, ал. 1, т. 7 от Конституцията на Република България. Допълнението към Многостранното споразумение относно CRS подлежи на ратифициране от Народното събрание със закон  на основание чл. 85, ал. 1, т. 7 и ал. 3 от Конституцията на Република България.</w:t>
      </w:r>
    </w:p>
    <w:p w14:paraId="1226746A"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026182A" w14:textId="77777777" w:rsidR="00167845" w:rsidRDefault="00167845"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84CBA35"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29069D4" w14:textId="25D2B0A1" w:rsidR="00AD087A" w:rsidRPr="003B1FC8" w:rsidRDefault="00AD087A" w:rsidP="004B4A70">
      <w:pPr>
        <w:tabs>
          <w:tab w:val="left" w:pos="1790"/>
        </w:tabs>
        <w:ind w:left="1134"/>
        <w:rPr>
          <w:rFonts w:ascii="Times New Roman" w:hAnsi="Times New Roman"/>
          <w:b/>
          <w:sz w:val="26"/>
          <w:szCs w:val="26"/>
        </w:rPr>
      </w:pPr>
      <w:bookmarkStart w:id="0" w:name="_Hlk92799938"/>
      <w:r w:rsidRPr="003B1FC8">
        <w:rPr>
          <w:rFonts w:ascii="Times New Roman" w:hAnsi="Times New Roman"/>
          <w:b/>
          <w:sz w:val="26"/>
          <w:szCs w:val="26"/>
        </w:rPr>
        <w:t>МИНИСТЪР-ПРЕДСЕДАТЕЛ:</w:t>
      </w:r>
    </w:p>
    <w:bookmarkEnd w:id="0"/>
    <w:p w14:paraId="5938DD67" w14:textId="73532DC8" w:rsidR="00AD087A" w:rsidRPr="00167845" w:rsidRDefault="00647650" w:rsidP="004B4A70">
      <w:pPr>
        <w:tabs>
          <w:tab w:val="left" w:pos="1790"/>
        </w:tabs>
        <w:jc w:val="right"/>
        <w:rPr>
          <w:rFonts w:asciiTheme="minorHAnsi" w:hAnsiTheme="minorHAnsi"/>
          <w:sz w:val="26"/>
          <w:szCs w:val="26"/>
          <w:lang w:val="bg-BG"/>
        </w:rPr>
      </w:pPr>
      <w:r>
        <w:rPr>
          <w:sz w:val="26"/>
          <w:szCs w:val="26"/>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816E61CD-A9F0-436B-A566-7BBA946E27C3}" provid="{00000000-0000-0000-0000-000000000000}" issignatureline="t"/>
          </v:shape>
        </w:pict>
      </w:r>
    </w:p>
    <w:sectPr w:rsidR="00AD087A" w:rsidRPr="00167845"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62D4" w14:textId="77777777" w:rsidR="000C486A" w:rsidRDefault="000C486A">
      <w:r>
        <w:separator/>
      </w:r>
    </w:p>
  </w:endnote>
  <w:endnote w:type="continuationSeparator" w:id="0">
    <w:p w14:paraId="7BF941A3" w14:textId="77777777" w:rsidR="000C486A" w:rsidRDefault="000C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77777777" w:rsidR="00AD087A" w:rsidRPr="0052153C" w:rsidRDefault="0064765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77777777" w:rsidR="00AD087A" w:rsidRPr="0052153C" w:rsidRDefault="0064765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70AC" w14:textId="77777777" w:rsidR="000C486A" w:rsidRDefault="000C486A">
      <w:r>
        <w:separator/>
      </w:r>
    </w:p>
  </w:footnote>
  <w:footnote w:type="continuationSeparator" w:id="0">
    <w:p w14:paraId="7B5BA7CE" w14:textId="77777777" w:rsidR="000C486A" w:rsidRDefault="000C4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D6FECFB" w14:textId="77777777" w:rsidR="00AD087A" w:rsidRPr="004343CF" w:rsidRDefault="00AD087A">
    <w:pPr>
      <w:pStyle w:val="Header"/>
      <w:rPr>
        <w:rFonts w:ascii="Times New Roman" w:hAnsi="Times New Roman"/>
        <w:lang w:val="bg-BG"/>
      </w:rPr>
    </w:pPr>
  </w:p>
  <w:p w14:paraId="59E32BFA" w14:textId="77777777" w:rsidR="00AD087A" w:rsidRDefault="00AD087A">
    <w:pPr>
      <w:pStyle w:val="Header"/>
      <w:rPr>
        <w:rFonts w:ascii="Times New Roman" w:hAnsi="Times New Roman"/>
        <w:lang w:val="bg-BG"/>
      </w:rPr>
    </w:pPr>
  </w:p>
  <w:p w14:paraId="7B1B0B0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2103450270">
    <w:abstractNumId w:val="4"/>
  </w:num>
  <w:num w:numId="2" w16cid:durableId="1518542976">
    <w:abstractNumId w:val="2"/>
  </w:num>
  <w:num w:numId="3" w16cid:durableId="41105145">
    <w:abstractNumId w:val="0"/>
  </w:num>
  <w:num w:numId="4" w16cid:durableId="1565724158">
    <w:abstractNumId w:val="1"/>
  </w:num>
  <w:num w:numId="5" w16cid:durableId="1570577068">
    <w:abstractNumId w:val="5"/>
  </w:num>
  <w:num w:numId="6" w16cid:durableId="1222248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56C4A"/>
    <w:rsid w:val="0006233E"/>
    <w:rsid w:val="00065B09"/>
    <w:rsid w:val="0006731A"/>
    <w:rsid w:val="00076940"/>
    <w:rsid w:val="00080705"/>
    <w:rsid w:val="000A7804"/>
    <w:rsid w:val="000B3D48"/>
    <w:rsid w:val="000B3F5C"/>
    <w:rsid w:val="000C486A"/>
    <w:rsid w:val="000F4878"/>
    <w:rsid w:val="000F6735"/>
    <w:rsid w:val="00101719"/>
    <w:rsid w:val="001019D1"/>
    <w:rsid w:val="0011488D"/>
    <w:rsid w:val="00114EA5"/>
    <w:rsid w:val="00147990"/>
    <w:rsid w:val="00167845"/>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34F17"/>
    <w:rsid w:val="002469B9"/>
    <w:rsid w:val="00251D6E"/>
    <w:rsid w:val="002546AF"/>
    <w:rsid w:val="002553AB"/>
    <w:rsid w:val="00255B7D"/>
    <w:rsid w:val="00263307"/>
    <w:rsid w:val="002743E4"/>
    <w:rsid w:val="00287754"/>
    <w:rsid w:val="002C0227"/>
    <w:rsid w:val="002C08C4"/>
    <w:rsid w:val="002C6AFA"/>
    <w:rsid w:val="002D76CB"/>
    <w:rsid w:val="002E08B6"/>
    <w:rsid w:val="003160E8"/>
    <w:rsid w:val="00322981"/>
    <w:rsid w:val="00327C7B"/>
    <w:rsid w:val="00357B65"/>
    <w:rsid w:val="00361393"/>
    <w:rsid w:val="003A24FF"/>
    <w:rsid w:val="003A2A0D"/>
    <w:rsid w:val="003A3992"/>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6581"/>
    <w:rsid w:val="00487D19"/>
    <w:rsid w:val="00490227"/>
    <w:rsid w:val="004945E7"/>
    <w:rsid w:val="004B14EC"/>
    <w:rsid w:val="004B4A70"/>
    <w:rsid w:val="004B5B01"/>
    <w:rsid w:val="004B668B"/>
    <w:rsid w:val="004C4EC3"/>
    <w:rsid w:val="004C5C6C"/>
    <w:rsid w:val="005033E0"/>
    <w:rsid w:val="005075C6"/>
    <w:rsid w:val="005202D7"/>
    <w:rsid w:val="0052153C"/>
    <w:rsid w:val="00524A62"/>
    <w:rsid w:val="005321AB"/>
    <w:rsid w:val="005374EB"/>
    <w:rsid w:val="005431A9"/>
    <w:rsid w:val="00543CA4"/>
    <w:rsid w:val="00544B67"/>
    <w:rsid w:val="005503AA"/>
    <w:rsid w:val="00557EA5"/>
    <w:rsid w:val="0057321B"/>
    <w:rsid w:val="0058543A"/>
    <w:rsid w:val="00590DC5"/>
    <w:rsid w:val="005B7B97"/>
    <w:rsid w:val="005E23BB"/>
    <w:rsid w:val="005E2FAA"/>
    <w:rsid w:val="00601E7F"/>
    <w:rsid w:val="006112DA"/>
    <w:rsid w:val="006126B0"/>
    <w:rsid w:val="006260C6"/>
    <w:rsid w:val="006374F1"/>
    <w:rsid w:val="00647650"/>
    <w:rsid w:val="00680C33"/>
    <w:rsid w:val="00695542"/>
    <w:rsid w:val="006D149C"/>
    <w:rsid w:val="006D7DBF"/>
    <w:rsid w:val="006E20E3"/>
    <w:rsid w:val="006F4CBD"/>
    <w:rsid w:val="007006FE"/>
    <w:rsid w:val="0071097D"/>
    <w:rsid w:val="007216A1"/>
    <w:rsid w:val="00737F39"/>
    <w:rsid w:val="00775FF6"/>
    <w:rsid w:val="00791C0B"/>
    <w:rsid w:val="007C0969"/>
    <w:rsid w:val="007D0119"/>
    <w:rsid w:val="007E5BD8"/>
    <w:rsid w:val="007F2214"/>
    <w:rsid w:val="00801C3F"/>
    <w:rsid w:val="00804255"/>
    <w:rsid w:val="0083405F"/>
    <w:rsid w:val="00841E82"/>
    <w:rsid w:val="008424E0"/>
    <w:rsid w:val="008464CC"/>
    <w:rsid w:val="00857BCB"/>
    <w:rsid w:val="0087096A"/>
    <w:rsid w:val="008739FF"/>
    <w:rsid w:val="00881B55"/>
    <w:rsid w:val="00897D13"/>
    <w:rsid w:val="008A019C"/>
    <w:rsid w:val="008A0F64"/>
    <w:rsid w:val="008B02D8"/>
    <w:rsid w:val="008C11C0"/>
    <w:rsid w:val="008E1559"/>
    <w:rsid w:val="008F293A"/>
    <w:rsid w:val="008F7AE5"/>
    <w:rsid w:val="00904DD3"/>
    <w:rsid w:val="00905B61"/>
    <w:rsid w:val="00916222"/>
    <w:rsid w:val="009214E6"/>
    <w:rsid w:val="00932CF8"/>
    <w:rsid w:val="0099021C"/>
    <w:rsid w:val="00990366"/>
    <w:rsid w:val="00994D64"/>
    <w:rsid w:val="009B2C89"/>
    <w:rsid w:val="009B4B81"/>
    <w:rsid w:val="009B68B3"/>
    <w:rsid w:val="009B76A3"/>
    <w:rsid w:val="009D21FD"/>
    <w:rsid w:val="009D7025"/>
    <w:rsid w:val="009F6341"/>
    <w:rsid w:val="00A00E97"/>
    <w:rsid w:val="00A018E4"/>
    <w:rsid w:val="00A02A74"/>
    <w:rsid w:val="00A14E68"/>
    <w:rsid w:val="00A25CC8"/>
    <w:rsid w:val="00A27685"/>
    <w:rsid w:val="00A31E3E"/>
    <w:rsid w:val="00A34F2C"/>
    <w:rsid w:val="00A52257"/>
    <w:rsid w:val="00A57A93"/>
    <w:rsid w:val="00A6158C"/>
    <w:rsid w:val="00A83BB6"/>
    <w:rsid w:val="00A8589B"/>
    <w:rsid w:val="00A92287"/>
    <w:rsid w:val="00A93DD8"/>
    <w:rsid w:val="00A94298"/>
    <w:rsid w:val="00A95806"/>
    <w:rsid w:val="00A97573"/>
    <w:rsid w:val="00AA1688"/>
    <w:rsid w:val="00AB2D4B"/>
    <w:rsid w:val="00AD087A"/>
    <w:rsid w:val="00AD3749"/>
    <w:rsid w:val="00AF2C6E"/>
    <w:rsid w:val="00B03B72"/>
    <w:rsid w:val="00B10EA3"/>
    <w:rsid w:val="00B1430E"/>
    <w:rsid w:val="00B37A2A"/>
    <w:rsid w:val="00B77163"/>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94123"/>
    <w:rsid w:val="00CA3F1E"/>
    <w:rsid w:val="00CB73D9"/>
    <w:rsid w:val="00CC4E18"/>
    <w:rsid w:val="00CE3631"/>
    <w:rsid w:val="00CF4BBF"/>
    <w:rsid w:val="00CF5B6C"/>
    <w:rsid w:val="00CF73BF"/>
    <w:rsid w:val="00D013AB"/>
    <w:rsid w:val="00D1528B"/>
    <w:rsid w:val="00D26731"/>
    <w:rsid w:val="00D573B1"/>
    <w:rsid w:val="00D71501"/>
    <w:rsid w:val="00D7339A"/>
    <w:rsid w:val="00D80E80"/>
    <w:rsid w:val="00D86E39"/>
    <w:rsid w:val="00D92A8F"/>
    <w:rsid w:val="00D9679C"/>
    <w:rsid w:val="00DC6199"/>
    <w:rsid w:val="00DE1005"/>
    <w:rsid w:val="00DE2D91"/>
    <w:rsid w:val="00DF29A2"/>
    <w:rsid w:val="00E01A69"/>
    <w:rsid w:val="00E07AEE"/>
    <w:rsid w:val="00E17DBD"/>
    <w:rsid w:val="00E27B98"/>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17A1F"/>
    <w:rsid w:val="00F24630"/>
    <w:rsid w:val="00F41459"/>
    <w:rsid w:val="00F44114"/>
    <w:rsid w:val="00F90BFF"/>
    <w:rsid w:val="00F9263A"/>
    <w:rsid w:val="00FA009F"/>
    <w:rsid w:val="00FA1216"/>
    <w:rsid w:val="00FC384A"/>
    <w:rsid w:val="00FD5C41"/>
    <w:rsid w:val="00FD7825"/>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szCs w:val="20"/>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basedOn w:val="DefaultParagraphFont"/>
    <w:link w:val="Heading6"/>
    <w:uiPriority w:val="99"/>
    <w:semiHidden/>
    <w:locked/>
    <w:rsid w:val="005503AA"/>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basedOn w:val="DefaultParagraphFont"/>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basedOn w:val="DefaultParagraphFont"/>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basedOn w:val="DefaultParagraphFont"/>
    <w:link w:val="Footer"/>
    <w:uiPriority w:val="99"/>
    <w:semiHidden/>
    <w:locked/>
    <w:rsid w:val="005503AA"/>
    <w:rPr>
      <w:rFonts w:ascii="Hebar" w:hAnsi="Hebar" w:cs="Times New Roman"/>
      <w:sz w:val="20"/>
      <w:szCs w:val="20"/>
      <w:lang w:val="en-GB" w:eastAsia="en-US"/>
    </w:rPr>
  </w:style>
  <w:style w:type="character" w:styleId="PageNumber">
    <w:name w:val="page number"/>
    <w:basedOn w:val="DefaultParagraphFont"/>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basedOn w:val="DefaultParagraphFont"/>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basedOn w:val="DefaultParagraphFont"/>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basedOn w:val="DefaultParagraphFont"/>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basedOn w:val="DefaultParagraphFont"/>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6380</Characters>
  <Application>Microsoft Office Word</Application>
  <DocSecurity>0</DocSecurity>
  <Lines>53</Lines>
  <Paragraphs>14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2025-10-27T12:40:00Z</dcterms:created>
  <dcterms:modified xsi:type="dcterms:W3CDTF">2025-10-27T12:40:00Z</dcterms:modified>
</cp:coreProperties>
</file>