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34FBE49" w:rsidR="00683DAE" w:rsidRDefault="00683DAE">
      <w:pPr>
        <w:pStyle w:val="Title"/>
        <w:rPr>
          <w:rFonts w:asciiTheme="minorHAnsi" w:hAnsiTheme="minorHAnsi"/>
          <w:noProof/>
          <w:lang w:val="bg-BG"/>
        </w:rPr>
      </w:pPr>
    </w:p>
    <w:p w14:paraId="2D25CC9C" w14:textId="77777777" w:rsidR="00952761" w:rsidRDefault="00952761">
      <w:pPr>
        <w:pStyle w:val="Title"/>
        <w:rPr>
          <w:rFonts w:asciiTheme="minorHAnsi" w:hAnsiTheme="minorHAnsi"/>
          <w:noProof/>
          <w:lang w:val="bg-BG"/>
        </w:rPr>
      </w:pPr>
    </w:p>
    <w:p w14:paraId="01C00A25" w14:textId="77777777" w:rsidR="00952761" w:rsidRPr="00952761" w:rsidRDefault="00952761">
      <w:pPr>
        <w:pStyle w:val="Title"/>
        <w:rPr>
          <w:rFonts w:asciiTheme="minorHAnsi" w:hAnsiTheme="minorHAnsi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0FE9DF6A" w:rsidR="0069784B" w:rsidRPr="00067840" w:rsidRDefault="00E8160F" w:rsidP="00D36EA5">
      <w:pPr>
        <w:jc w:val="right"/>
        <w:rPr>
          <w:rFonts w:ascii="Arial" w:hAnsi="Arial"/>
          <w:szCs w:val="24"/>
          <w:lang w:val="bg-BG"/>
        </w:rPr>
      </w:pPr>
      <w:r w:rsidRPr="00E8160F">
        <w:rPr>
          <w:rFonts w:ascii="Arial" w:hAnsi="Arial"/>
          <w:b/>
          <w:szCs w:val="24"/>
          <w:lang w:val="bg-BG"/>
        </w:rPr>
        <w:t>Препис</w:t>
      </w: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4A8C08E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E8160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231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4629F68F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8160F">
        <w:rPr>
          <w:rFonts w:ascii="Times New Roman" w:hAnsi="Times New Roman"/>
          <w:b/>
          <w:sz w:val="30"/>
          <w:szCs w:val="30"/>
          <w:lang w:val="bg-BG"/>
        </w:rPr>
        <w:t>5  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450F8D7F" w14:textId="68A1B445" w:rsidR="00F95A0C" w:rsidRPr="00184E98" w:rsidRDefault="0069784B" w:rsidP="00F95A0C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D16E50" w:rsidRPr="001022B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A0C" w:rsidRPr="00184E98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и допълнение на </w:t>
      </w:r>
      <w:r w:rsidR="001B2AA8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F95A0C" w:rsidRPr="00184E98">
        <w:rPr>
          <w:rFonts w:ascii="Arial" w:hAnsi="Arial" w:cs="Arial"/>
          <w:b/>
          <w:smallCaps/>
          <w:sz w:val="28"/>
          <w:szCs w:val="28"/>
          <w:lang w:val="bg-BG"/>
        </w:rPr>
        <w:t xml:space="preserve">остановление </w:t>
      </w:r>
      <w:r w:rsidR="00F95A0C" w:rsidRPr="00184E98">
        <w:rPr>
          <w:rFonts w:ascii="Arial" w:hAnsi="Arial" w:cs="Arial"/>
          <w:b/>
          <w:smallCaps/>
          <w:sz w:val="28"/>
          <w:szCs w:val="28"/>
          <w:lang w:val="bg-BG"/>
        </w:rPr>
        <w:br/>
        <w:t xml:space="preserve">№ 226 на Министерския съвет от 2021 г. за приемане на показатели за определяне на изследователските висши училища и условията и реда за актуализиране на </w:t>
      </w:r>
      <w:r w:rsidR="001B2AA8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F95A0C" w:rsidRPr="00184E98">
        <w:rPr>
          <w:rFonts w:ascii="Arial" w:hAnsi="Arial" w:cs="Arial"/>
          <w:b/>
          <w:smallCaps/>
          <w:sz w:val="28"/>
          <w:szCs w:val="28"/>
          <w:lang w:val="bg-BG"/>
        </w:rPr>
        <w:t xml:space="preserve">писъка на изследователските висши училища </w:t>
      </w:r>
      <w:r w:rsidR="00F95A0C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F95A0C" w:rsidRPr="00184E98">
        <w:rPr>
          <w:rFonts w:ascii="Arial" w:hAnsi="Arial" w:cs="Arial"/>
          <w:b/>
          <w:smallCaps/>
          <w:sz w:val="28"/>
          <w:szCs w:val="28"/>
          <w:lang w:val="bg-BG"/>
        </w:rPr>
        <w:t xml:space="preserve">(обн., ДВ, </w:t>
      </w:r>
      <w:r w:rsidR="001B2AA8">
        <w:rPr>
          <w:rFonts w:ascii="Arial" w:hAnsi="Arial" w:cs="Arial"/>
          <w:b/>
          <w:smallCaps/>
          <w:sz w:val="28"/>
          <w:szCs w:val="28"/>
          <w:lang w:val="bg-BG"/>
        </w:rPr>
        <w:t xml:space="preserve">бр. </w:t>
      </w:r>
      <w:r w:rsidR="00F95A0C" w:rsidRPr="00184E98">
        <w:rPr>
          <w:rFonts w:ascii="Arial" w:hAnsi="Arial" w:cs="Arial"/>
          <w:b/>
          <w:smallCaps/>
          <w:sz w:val="28"/>
          <w:szCs w:val="28"/>
          <w:lang w:val="bg-BG"/>
        </w:rPr>
        <w:t>58 от 2021 г.</w:t>
      </w:r>
      <w:r w:rsidR="00BB2572">
        <w:rPr>
          <w:rFonts w:ascii="Arial" w:hAnsi="Arial" w:cs="Arial"/>
          <w:b/>
          <w:smallCaps/>
          <w:sz w:val="28"/>
          <w:szCs w:val="28"/>
          <w:lang w:val="bg-BG"/>
        </w:rPr>
        <w:t>; изм.,</w:t>
      </w:r>
      <w:r w:rsidR="00F95A0C" w:rsidRPr="00184E98">
        <w:rPr>
          <w:rFonts w:ascii="Arial" w:hAnsi="Arial" w:cs="Arial"/>
          <w:b/>
          <w:smallCaps/>
          <w:sz w:val="28"/>
          <w:szCs w:val="28"/>
          <w:lang w:val="bg-BG"/>
        </w:rPr>
        <w:t xml:space="preserve"> бр. 43 от 2022 г.)</w:t>
      </w:r>
    </w:p>
    <w:p w14:paraId="4EA99E59" w14:textId="77777777" w:rsidR="00E22D77" w:rsidRPr="00041FE5" w:rsidRDefault="00E22D77" w:rsidP="00E22D77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5C2CA0F6" w14:textId="77777777" w:rsidR="00E22D77" w:rsidRPr="00041FE5" w:rsidRDefault="00E22D77" w:rsidP="00E22D77">
      <w:pPr>
        <w:jc w:val="center"/>
        <w:rPr>
          <w:rFonts w:ascii="Times New Roman" w:hAnsi="Times New Roman"/>
          <w:smallCaps/>
          <w:sz w:val="20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041FE5" w:rsidRDefault="0069784B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071FC1C2" w14:textId="77777777" w:rsidR="00D706BF" w:rsidRPr="00041FE5" w:rsidRDefault="00D706BF" w:rsidP="00CB6660">
      <w:pPr>
        <w:jc w:val="center"/>
        <w:rPr>
          <w:rFonts w:ascii="Times New Roman" w:hAnsi="Times New Roman"/>
          <w:smallCaps/>
          <w:sz w:val="20"/>
          <w:lang w:val="bg-BG"/>
        </w:rPr>
      </w:pPr>
    </w:p>
    <w:p w14:paraId="30AE8F3E" w14:textId="10EB7CEB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1B2AA8">
        <w:rPr>
          <w:rFonts w:ascii="Arial" w:hAnsi="Arial"/>
          <w:sz w:val="28"/>
          <w:szCs w:val="28"/>
          <w:lang w:val="bg-BG"/>
        </w:rPr>
        <w:t xml:space="preserve"> В чл. 2</w:t>
      </w:r>
      <w:r w:rsidR="00BF6C02">
        <w:rPr>
          <w:rFonts w:ascii="Arial" w:hAnsi="Arial"/>
          <w:sz w:val="28"/>
          <w:szCs w:val="28"/>
          <w:lang w:val="bg-BG"/>
        </w:rPr>
        <w:t xml:space="preserve"> се правят следните изменения</w:t>
      </w:r>
      <w:r w:rsidRPr="001B2AA8">
        <w:rPr>
          <w:rFonts w:ascii="Arial" w:hAnsi="Arial"/>
          <w:sz w:val="28"/>
          <w:szCs w:val="28"/>
          <w:lang w:val="bg-BG"/>
        </w:rPr>
        <w:t>:</w:t>
      </w:r>
    </w:p>
    <w:p w14:paraId="33BA0D40" w14:textId="77777777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t>1. Алинея 1 се изменя така:</w:t>
      </w:r>
    </w:p>
    <w:p w14:paraId="039B0DEC" w14:textId="1DDBB9A4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t xml:space="preserve">„(1) За изследователско висше училище по смисъла на </w:t>
      </w:r>
      <w:r w:rsidR="00C165A5">
        <w:rPr>
          <w:rFonts w:ascii="Arial" w:hAnsi="Arial"/>
          <w:sz w:val="28"/>
          <w:szCs w:val="28"/>
          <w:lang w:val="bg-BG"/>
        </w:rPr>
        <w:br/>
      </w:r>
      <w:r w:rsidRPr="001B2AA8">
        <w:rPr>
          <w:rFonts w:ascii="Arial" w:hAnsi="Arial"/>
          <w:sz w:val="28"/>
          <w:szCs w:val="28"/>
          <w:lang w:val="bg-BG"/>
        </w:rPr>
        <w:t>чл. 17а, ал. 1 от Закона за висшето образование се определя висше училище, което дава значим принос за развитието на важни обществени области чрез върхови научни изследвания и има високи резултати от научноизследователска дейност, оценени съгласно приложението.“</w:t>
      </w:r>
    </w:p>
    <w:p w14:paraId="6E71B6A7" w14:textId="614D630C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t>2. Алинея 2 се отменя</w:t>
      </w:r>
      <w:r w:rsidR="00BB2572">
        <w:rPr>
          <w:rFonts w:ascii="Arial" w:hAnsi="Arial"/>
          <w:sz w:val="28"/>
          <w:szCs w:val="28"/>
          <w:lang w:val="bg-BG"/>
        </w:rPr>
        <w:t>.</w:t>
      </w:r>
    </w:p>
    <w:p w14:paraId="1B790D0C" w14:textId="77777777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t>3. Алинея 3 се изменя така:</w:t>
      </w:r>
    </w:p>
    <w:p w14:paraId="0DF639E3" w14:textId="4EC6BCA6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t xml:space="preserve">„(3) Висше училище, което е оценено съгласно ал. 1 с не </w:t>
      </w:r>
      <w:r w:rsidR="00C165A5">
        <w:rPr>
          <w:rFonts w:ascii="Arial" w:hAnsi="Arial"/>
          <w:sz w:val="28"/>
          <w:szCs w:val="28"/>
          <w:lang w:val="bg-BG"/>
        </w:rPr>
        <w:br/>
      </w:r>
      <w:r w:rsidRPr="001B2AA8">
        <w:rPr>
          <w:rFonts w:ascii="Arial" w:hAnsi="Arial"/>
          <w:sz w:val="28"/>
          <w:szCs w:val="28"/>
          <w:lang w:val="bg-BG"/>
        </w:rPr>
        <w:t>по-малко от 8000 точки, се включва в Списъка на изследователските висши училища за срок 4 години.“</w:t>
      </w:r>
    </w:p>
    <w:p w14:paraId="4BEEF156" w14:textId="77777777" w:rsidR="00041FE5" w:rsidRPr="00041FE5" w:rsidRDefault="00041FE5" w:rsidP="00C165A5">
      <w:pPr>
        <w:spacing w:before="120" w:line="288" w:lineRule="auto"/>
        <w:ind w:firstLine="1134"/>
        <w:jc w:val="both"/>
        <w:rPr>
          <w:rFonts w:ascii="Arial" w:hAnsi="Arial"/>
          <w:b/>
          <w:bCs/>
          <w:sz w:val="16"/>
          <w:szCs w:val="16"/>
          <w:lang w:val="bg-BG"/>
        </w:rPr>
      </w:pPr>
    </w:p>
    <w:p w14:paraId="3A17799B" w14:textId="32C00F33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b/>
          <w:bCs/>
          <w:sz w:val="28"/>
          <w:szCs w:val="28"/>
          <w:lang w:val="bg-BG"/>
        </w:rPr>
        <w:t xml:space="preserve">§ 2. </w:t>
      </w:r>
      <w:r w:rsidRPr="001B2AA8">
        <w:rPr>
          <w:rFonts w:ascii="Arial" w:hAnsi="Arial"/>
          <w:sz w:val="28"/>
          <w:szCs w:val="28"/>
          <w:lang w:val="bg-BG"/>
        </w:rPr>
        <w:t>В чл. 3</w:t>
      </w:r>
      <w:r w:rsidR="00BF6C02">
        <w:rPr>
          <w:rFonts w:ascii="Arial" w:hAnsi="Arial"/>
          <w:sz w:val="28"/>
          <w:szCs w:val="28"/>
          <w:lang w:val="bg-BG"/>
        </w:rPr>
        <w:t xml:space="preserve"> се правят следните изменения</w:t>
      </w:r>
      <w:r w:rsidRPr="001B2AA8">
        <w:rPr>
          <w:rFonts w:ascii="Arial" w:hAnsi="Arial"/>
          <w:sz w:val="28"/>
          <w:szCs w:val="28"/>
          <w:lang w:val="bg-BG"/>
        </w:rPr>
        <w:t>:</w:t>
      </w:r>
    </w:p>
    <w:p w14:paraId="31A0F55E" w14:textId="664181BE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lastRenderedPageBreak/>
        <w:t>1. В ал. 2 думите „1 септември“ се заменят с „1 април“</w:t>
      </w:r>
      <w:r w:rsidR="006412DD">
        <w:rPr>
          <w:rFonts w:ascii="Arial" w:hAnsi="Arial"/>
          <w:sz w:val="28"/>
          <w:szCs w:val="28"/>
          <w:lang w:val="bg-BG"/>
        </w:rPr>
        <w:t>.</w:t>
      </w:r>
    </w:p>
    <w:p w14:paraId="06F1EA9F" w14:textId="77777777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t>2. Алинея 3 се изменя така:</w:t>
      </w:r>
    </w:p>
    <w:p w14:paraId="09C29694" w14:textId="70DDB386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t>„(3) При необходимост към искането по ал. 2 се предоставят и доказателства (справки и други документи) за обстоятелствата, необходими за изчисление по формулите в приложението към чл. 2, ал. 1.“</w:t>
      </w:r>
    </w:p>
    <w:p w14:paraId="091763D1" w14:textId="2AA6157B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b/>
          <w:bCs/>
          <w:sz w:val="28"/>
          <w:szCs w:val="28"/>
          <w:lang w:val="bg-BG"/>
        </w:rPr>
        <w:t xml:space="preserve">§ 3. </w:t>
      </w:r>
      <w:r w:rsidRPr="001B2AA8">
        <w:rPr>
          <w:rFonts w:ascii="Arial" w:hAnsi="Arial"/>
          <w:sz w:val="28"/>
          <w:szCs w:val="28"/>
          <w:lang w:val="bg-BG"/>
        </w:rPr>
        <w:t>В чл. 4</w:t>
      </w:r>
      <w:r w:rsidR="00BF6C02">
        <w:rPr>
          <w:rFonts w:ascii="Arial" w:hAnsi="Arial"/>
          <w:sz w:val="28"/>
          <w:szCs w:val="28"/>
          <w:lang w:val="bg-BG"/>
        </w:rPr>
        <w:t xml:space="preserve"> се правят следните изменения и допълнения</w:t>
      </w:r>
      <w:r w:rsidRPr="001B2AA8">
        <w:rPr>
          <w:rFonts w:ascii="Arial" w:hAnsi="Arial"/>
          <w:sz w:val="28"/>
          <w:szCs w:val="28"/>
          <w:lang w:val="bg-BG"/>
        </w:rPr>
        <w:t>:</w:t>
      </w:r>
    </w:p>
    <w:p w14:paraId="615CF74E" w14:textId="048E6ED8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t>1. В ал. 1 думите „Съвета на ректорите“ се заменят със „Селскостопанската академия“, а след думата „показателите“ се добавя  „в приложението“</w:t>
      </w:r>
      <w:r w:rsidR="006412DD">
        <w:rPr>
          <w:rFonts w:ascii="Arial" w:hAnsi="Arial"/>
          <w:sz w:val="28"/>
          <w:szCs w:val="28"/>
          <w:lang w:val="bg-BG"/>
        </w:rPr>
        <w:t>.</w:t>
      </w:r>
    </w:p>
    <w:p w14:paraId="468855E2" w14:textId="77777777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t>2. Създава се нова ал. 2:</w:t>
      </w:r>
    </w:p>
    <w:p w14:paraId="7753A42D" w14:textId="673EFC67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t>„(2) Членовете на комисията по ал. 1 не могат да работят по трудов договор във висше училище или да изпълняват дейности по договор за изработка във висше училище през последните три години към датата на извършване на оценката, с изключение на случаите, когато договорът за изработка е за участие като външен член в научно жури по Закона за развитието на академичния състав в Република България или като ментор за провеждане на практическо обучение по проекти, финансирани от бюджета на Европейския съюз.“</w:t>
      </w:r>
    </w:p>
    <w:p w14:paraId="5ECE53D2" w14:textId="75CA3257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t>3. Създават се ал</w:t>
      </w:r>
      <w:r w:rsidR="006412DD">
        <w:rPr>
          <w:rFonts w:ascii="Arial" w:hAnsi="Arial"/>
          <w:sz w:val="28"/>
          <w:szCs w:val="28"/>
          <w:lang w:val="bg-BG"/>
        </w:rPr>
        <w:t>.</w:t>
      </w:r>
      <w:r w:rsidRPr="001B2AA8">
        <w:rPr>
          <w:rFonts w:ascii="Arial" w:hAnsi="Arial"/>
          <w:sz w:val="28"/>
          <w:szCs w:val="28"/>
          <w:lang w:val="bg-BG"/>
        </w:rPr>
        <w:t xml:space="preserve"> 3 и 4:</w:t>
      </w:r>
    </w:p>
    <w:p w14:paraId="2C729AB3" w14:textId="77777777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t xml:space="preserve">„(3) Комисията се подпомага от независими експерти, притежаващи експертиза в ключови области, свързани с извличане и/или верифициране на данни от бази данни с </w:t>
      </w:r>
      <w:proofErr w:type="spellStart"/>
      <w:r w:rsidRPr="001B2AA8">
        <w:rPr>
          <w:rFonts w:ascii="Arial" w:hAnsi="Arial"/>
          <w:sz w:val="28"/>
          <w:szCs w:val="28"/>
          <w:lang w:val="bg-BG"/>
        </w:rPr>
        <w:t>наукометрична</w:t>
      </w:r>
      <w:proofErr w:type="spellEnd"/>
      <w:r w:rsidRPr="001B2AA8">
        <w:rPr>
          <w:rFonts w:ascii="Arial" w:hAnsi="Arial"/>
          <w:sz w:val="28"/>
          <w:szCs w:val="28"/>
          <w:lang w:val="bg-BG"/>
        </w:rPr>
        <w:t xml:space="preserve"> информация.</w:t>
      </w:r>
    </w:p>
    <w:p w14:paraId="43A57EB9" w14:textId="68FA32E8" w:rsidR="001B2AA8" w:rsidRPr="001B2AA8" w:rsidRDefault="001B2AA8" w:rsidP="00C165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t>(4) Комисията приема правила за работата си, които се утвърждават от министъра на образованието и науката.“</w:t>
      </w:r>
    </w:p>
    <w:p w14:paraId="3EFB53CD" w14:textId="77777777" w:rsidR="001B2AA8" w:rsidRPr="001B2AA8" w:rsidRDefault="001B2AA8" w:rsidP="003E64A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t>4. Досегашната ал. 2 става ал. 5 и в нея думите „чл. 2, ал. 2“ се заменят с „чл. 2, ал. 3“.</w:t>
      </w:r>
    </w:p>
    <w:p w14:paraId="30A20A52" w14:textId="7A2D57F1" w:rsidR="00201799" w:rsidRPr="007C47A3" w:rsidRDefault="00201799" w:rsidP="003E64AE">
      <w:pPr>
        <w:spacing w:before="120" w:line="288" w:lineRule="auto"/>
        <w:ind w:firstLine="1134"/>
        <w:jc w:val="both"/>
        <w:rPr>
          <w:rFonts w:ascii="Arial" w:hAnsi="Arial"/>
          <w:b/>
          <w:bCs/>
          <w:sz w:val="20"/>
          <w:lang w:val="bg-BG"/>
        </w:rPr>
      </w:pPr>
    </w:p>
    <w:p w14:paraId="084C5ECD" w14:textId="77777777" w:rsidR="007C47A3" w:rsidRPr="007C47A3" w:rsidRDefault="007C47A3" w:rsidP="003E64AE">
      <w:pPr>
        <w:spacing w:before="120" w:line="288" w:lineRule="auto"/>
        <w:ind w:firstLine="1134"/>
        <w:jc w:val="both"/>
        <w:rPr>
          <w:rFonts w:ascii="Arial" w:hAnsi="Arial"/>
          <w:b/>
          <w:bCs/>
          <w:sz w:val="20"/>
          <w:lang w:val="bg-BG"/>
        </w:rPr>
      </w:pPr>
    </w:p>
    <w:p w14:paraId="5E9E5EF3" w14:textId="68EDDD36" w:rsidR="001B2AA8" w:rsidRPr="001B2AA8" w:rsidRDefault="001B2AA8" w:rsidP="003E64A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b/>
          <w:bCs/>
          <w:sz w:val="28"/>
          <w:szCs w:val="28"/>
          <w:lang w:val="bg-BG"/>
        </w:rPr>
        <w:t xml:space="preserve">§ 4. </w:t>
      </w:r>
      <w:r w:rsidRPr="001B2AA8">
        <w:rPr>
          <w:rFonts w:ascii="Arial" w:hAnsi="Arial"/>
          <w:sz w:val="28"/>
          <w:szCs w:val="28"/>
          <w:lang w:val="bg-BG"/>
        </w:rPr>
        <w:t>Приложение № 1 към чл. 2, ал. 1, т. 1 се изменя така:</w:t>
      </w:r>
    </w:p>
    <w:p w14:paraId="3311C896" w14:textId="77777777" w:rsidR="003E64AE" w:rsidRPr="007C47A3" w:rsidRDefault="003E64AE" w:rsidP="003E64AE">
      <w:pPr>
        <w:spacing w:before="120" w:line="288" w:lineRule="auto"/>
        <w:ind w:firstLine="5245"/>
        <w:jc w:val="right"/>
        <w:rPr>
          <w:rFonts w:ascii="Arial" w:hAnsi="Arial"/>
          <w:sz w:val="20"/>
          <w:lang w:val="bg-BG"/>
        </w:rPr>
      </w:pPr>
    </w:p>
    <w:p w14:paraId="7CAD6AA3" w14:textId="54AE0565" w:rsidR="001B2AA8" w:rsidRPr="001B2AA8" w:rsidRDefault="001B2AA8" w:rsidP="00C2223B">
      <w:pPr>
        <w:spacing w:before="120" w:line="288" w:lineRule="auto"/>
        <w:ind w:firstLine="4962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lastRenderedPageBreak/>
        <w:t>„Приложение към чл. 2, ал. 1</w:t>
      </w:r>
    </w:p>
    <w:p w14:paraId="23E0F1AB" w14:textId="77777777" w:rsidR="001B2AA8" w:rsidRDefault="001B2AA8" w:rsidP="00AC23A3">
      <w:pPr>
        <w:spacing w:before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1B2AA8">
        <w:rPr>
          <w:rFonts w:ascii="Arial" w:hAnsi="Arial"/>
          <w:b/>
          <w:bCs/>
          <w:sz w:val="28"/>
          <w:szCs w:val="28"/>
          <w:lang w:val="bg-BG"/>
        </w:rPr>
        <w:t>Формула за оценяване</w:t>
      </w:r>
    </w:p>
    <w:p w14:paraId="07A3E9BE" w14:textId="77777777" w:rsidR="001B2AA8" w:rsidRPr="001B2AA8" w:rsidRDefault="001B2AA8" w:rsidP="001B2AA8">
      <w:pPr>
        <w:spacing w:before="120" w:line="288" w:lineRule="auto"/>
        <w:ind w:firstLine="1134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t>Обща оценка = П1 + П2 + П3 + П4, където: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1"/>
        <w:gridCol w:w="3039"/>
      </w:tblGrid>
      <w:tr w:rsidR="001B2AA8" w:rsidRPr="001B2AA8" w14:paraId="085CCF33" w14:textId="77777777" w:rsidTr="00201799">
        <w:trPr>
          <w:trHeight w:val="20"/>
        </w:trPr>
        <w:tc>
          <w:tcPr>
            <w:tcW w:w="6601" w:type="dxa"/>
            <w:tcMar>
              <w:top w:w="68" w:type="dxa"/>
              <w:left w:w="57" w:type="dxa"/>
              <w:bottom w:w="113" w:type="dxa"/>
              <w:right w:w="57" w:type="dxa"/>
            </w:tcMar>
            <w:hideMark/>
          </w:tcPr>
          <w:p w14:paraId="364ACF7A" w14:textId="5372A662" w:rsidR="001B2AA8" w:rsidRPr="001B2AA8" w:rsidRDefault="001B2AA8" w:rsidP="001B2AA8">
            <w:pPr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Показател П1 се определя от броя научни публикации (N) в издания, реферирани в международни бази данни </w:t>
            </w:r>
            <w:proofErr w:type="spellStart"/>
            <w:r w:rsidRPr="001B2AA8">
              <w:rPr>
                <w:rFonts w:ascii="Arial" w:hAnsi="Arial"/>
                <w:sz w:val="28"/>
                <w:szCs w:val="28"/>
                <w:lang w:val="bg-BG"/>
              </w:rPr>
              <w:t>Scopus</w:t>
            </w:r>
            <w:proofErr w:type="spellEnd"/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и </w:t>
            </w:r>
            <w:proofErr w:type="spellStart"/>
            <w:r w:rsidRPr="001B2AA8">
              <w:rPr>
                <w:rFonts w:ascii="Arial" w:hAnsi="Arial"/>
                <w:sz w:val="28"/>
                <w:szCs w:val="28"/>
                <w:lang w:val="bg-BG"/>
              </w:rPr>
              <w:t>Web</w:t>
            </w:r>
            <w:proofErr w:type="spellEnd"/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1B2AA8">
              <w:rPr>
                <w:rFonts w:ascii="Arial" w:hAnsi="Arial"/>
                <w:sz w:val="28"/>
                <w:szCs w:val="28"/>
                <w:lang w:val="bg-BG"/>
              </w:rPr>
              <w:t>of</w:t>
            </w:r>
            <w:proofErr w:type="spellEnd"/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Science за четиригодишен период, предхождащ годината на оценка, като се отчита категорията на изданието чрез системата от </w:t>
            </w:r>
            <w:proofErr w:type="spellStart"/>
            <w:r w:rsidRPr="001B2AA8">
              <w:rPr>
                <w:rFonts w:ascii="Arial" w:hAnsi="Arial"/>
                <w:sz w:val="28"/>
                <w:szCs w:val="28"/>
                <w:lang w:val="bg-BG"/>
              </w:rPr>
              <w:t>квартили</w:t>
            </w:r>
            <w:proofErr w:type="spellEnd"/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(Q) за съответната база данни.</w:t>
            </w:r>
          </w:p>
          <w:p w14:paraId="6F0650A9" w14:textId="77777777" w:rsidR="001B2AA8" w:rsidRPr="001B2AA8" w:rsidRDefault="001B2AA8" w:rsidP="001B2AA8">
            <w:pPr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>Категорията на изданията, в които са публикувани статиите, се отчита с коефициент, с който се умножава броят на публикациите в издания със съответната категория:</w:t>
            </w:r>
          </w:p>
          <w:p w14:paraId="60515F53" w14:textId="77777777" w:rsidR="001B2AA8" w:rsidRPr="001B2AA8" w:rsidRDefault="001B2AA8" w:rsidP="001B2AA8">
            <w:pPr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>- в издания от категория Q1: коефициент a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1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= 10</w:t>
            </w:r>
          </w:p>
          <w:p w14:paraId="2CC2DDC7" w14:textId="77777777" w:rsidR="001B2AA8" w:rsidRPr="001B2AA8" w:rsidRDefault="001B2AA8" w:rsidP="001B2AA8">
            <w:pPr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>- в издания от категория Q2: коефициент a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2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= 6</w:t>
            </w:r>
          </w:p>
          <w:p w14:paraId="4AC2E0FA" w14:textId="77777777" w:rsidR="001B2AA8" w:rsidRPr="001B2AA8" w:rsidRDefault="001B2AA8" w:rsidP="001B2AA8">
            <w:pPr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>- в издания от категория Q3: коефициент а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3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= 3</w:t>
            </w:r>
          </w:p>
          <w:p w14:paraId="313DADD0" w14:textId="77777777" w:rsidR="001B2AA8" w:rsidRPr="001B2AA8" w:rsidRDefault="001B2AA8" w:rsidP="001B2AA8">
            <w:pPr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>- в издания от категория Q4, глави от книги и статии, публикувани в сборници от научни конференции: коефициент а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4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= 1</w:t>
            </w:r>
          </w:p>
        </w:tc>
        <w:tc>
          <w:tcPr>
            <w:tcW w:w="3039" w:type="dxa"/>
            <w:tcMar>
              <w:top w:w="68" w:type="dxa"/>
              <w:left w:w="57" w:type="dxa"/>
              <w:bottom w:w="113" w:type="dxa"/>
              <w:right w:w="57" w:type="dxa"/>
            </w:tcMar>
            <w:hideMark/>
          </w:tcPr>
          <w:p w14:paraId="2641D9FC" w14:textId="77777777" w:rsidR="001B2AA8" w:rsidRPr="001B2AA8" w:rsidRDefault="001B2AA8" w:rsidP="00201799">
            <w:pPr>
              <w:ind w:firstLine="15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>П1 = a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1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Q1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+ a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2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Q2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+</w:t>
            </w:r>
          </w:p>
          <w:p w14:paraId="47544EB8" w14:textId="77777777" w:rsidR="001B2AA8" w:rsidRPr="001B2AA8" w:rsidRDefault="001B2AA8" w:rsidP="00201799">
            <w:pPr>
              <w:ind w:firstLine="15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>a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3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Q3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+ </w:t>
            </w:r>
            <w:r w:rsidRPr="001B2AA8">
              <w:rPr>
                <w:rFonts w:ascii="Arial" w:hAnsi="Arial"/>
                <w:sz w:val="28"/>
                <w:szCs w:val="28"/>
                <w:lang w:val="en-US"/>
              </w:rPr>
              <w:t>a4NQ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en-US"/>
              </w:rPr>
              <w:t>4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</w:t>
            </w:r>
          </w:p>
        </w:tc>
      </w:tr>
      <w:tr w:rsidR="001B2AA8" w:rsidRPr="001B2AA8" w14:paraId="491B12E1" w14:textId="77777777" w:rsidTr="00201799">
        <w:trPr>
          <w:trHeight w:val="60"/>
        </w:trPr>
        <w:tc>
          <w:tcPr>
            <w:tcW w:w="6601" w:type="dxa"/>
            <w:tcMar>
              <w:top w:w="68" w:type="dxa"/>
              <w:left w:w="57" w:type="dxa"/>
              <w:bottom w:w="113" w:type="dxa"/>
              <w:right w:w="57" w:type="dxa"/>
            </w:tcMar>
            <w:hideMark/>
          </w:tcPr>
          <w:p w14:paraId="6B858FA5" w14:textId="3D239C60" w:rsidR="001B2AA8" w:rsidRPr="001B2AA8" w:rsidRDefault="001B2AA8" w:rsidP="001B2AA8">
            <w:pPr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>Показател П2 се определя от броя научни монографии (</w:t>
            </w:r>
            <w:proofErr w:type="spellStart"/>
            <w:r w:rsidRPr="001B2AA8">
              <w:rPr>
                <w:rFonts w:ascii="Arial" w:hAnsi="Arial"/>
                <w:sz w:val="28"/>
                <w:szCs w:val="28"/>
                <w:lang w:val="bg-BG"/>
              </w:rPr>
              <w:t>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м</w:t>
            </w:r>
            <w:proofErr w:type="spellEnd"/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), видими в базите данни </w:t>
            </w:r>
            <w:proofErr w:type="spellStart"/>
            <w:r w:rsidRPr="001B2AA8">
              <w:rPr>
                <w:rFonts w:ascii="Arial" w:hAnsi="Arial"/>
                <w:sz w:val="28"/>
                <w:szCs w:val="28"/>
                <w:lang w:val="bg-BG"/>
              </w:rPr>
              <w:t>Scopus</w:t>
            </w:r>
            <w:proofErr w:type="spellEnd"/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и </w:t>
            </w:r>
            <w:proofErr w:type="spellStart"/>
            <w:r w:rsidRPr="001B2AA8">
              <w:rPr>
                <w:rFonts w:ascii="Arial" w:hAnsi="Arial"/>
                <w:sz w:val="28"/>
                <w:szCs w:val="28"/>
                <w:lang w:val="bg-BG"/>
              </w:rPr>
              <w:t>Web</w:t>
            </w:r>
            <w:proofErr w:type="spellEnd"/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1B2AA8">
              <w:rPr>
                <w:rFonts w:ascii="Arial" w:hAnsi="Arial"/>
                <w:sz w:val="28"/>
                <w:szCs w:val="28"/>
                <w:lang w:val="bg-BG"/>
              </w:rPr>
              <w:t>of</w:t>
            </w:r>
            <w:proofErr w:type="spellEnd"/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Science за четиригодишен период, предхождащ годината на оценка, умножени съответно с коефициент b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1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=30.</w:t>
            </w:r>
          </w:p>
        </w:tc>
        <w:tc>
          <w:tcPr>
            <w:tcW w:w="3039" w:type="dxa"/>
            <w:tcMar>
              <w:top w:w="68" w:type="dxa"/>
              <w:left w:w="57" w:type="dxa"/>
              <w:bottom w:w="113" w:type="dxa"/>
              <w:right w:w="57" w:type="dxa"/>
            </w:tcMar>
            <w:hideMark/>
          </w:tcPr>
          <w:p w14:paraId="7DE4AF03" w14:textId="77777777" w:rsidR="001B2AA8" w:rsidRPr="001B2AA8" w:rsidRDefault="001B2AA8" w:rsidP="00201799">
            <w:pPr>
              <w:ind w:firstLine="15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>П2=b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1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М</w:t>
            </w:r>
          </w:p>
        </w:tc>
      </w:tr>
      <w:tr w:rsidR="001B2AA8" w:rsidRPr="001B2AA8" w14:paraId="02A64520" w14:textId="77777777" w:rsidTr="00201799">
        <w:trPr>
          <w:trHeight w:val="60"/>
        </w:trPr>
        <w:tc>
          <w:tcPr>
            <w:tcW w:w="6601" w:type="dxa"/>
            <w:tcMar>
              <w:top w:w="68" w:type="dxa"/>
              <w:left w:w="57" w:type="dxa"/>
              <w:bottom w:w="113" w:type="dxa"/>
              <w:right w:w="57" w:type="dxa"/>
            </w:tcMar>
            <w:hideMark/>
          </w:tcPr>
          <w:p w14:paraId="2EB02744" w14:textId="77777777" w:rsidR="001B2AA8" w:rsidRPr="001B2AA8" w:rsidRDefault="001B2AA8" w:rsidP="001B2AA8">
            <w:pPr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Показател П3 се определя от броя независими цитирания (без автоцитирания) в </w:t>
            </w:r>
            <w:proofErr w:type="spellStart"/>
            <w:r w:rsidRPr="001B2AA8">
              <w:rPr>
                <w:rFonts w:ascii="Arial" w:hAnsi="Arial"/>
                <w:sz w:val="28"/>
                <w:szCs w:val="28"/>
                <w:lang w:val="bg-BG"/>
              </w:rPr>
              <w:t>Scopus</w:t>
            </w:r>
            <w:proofErr w:type="spellEnd"/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и </w:t>
            </w:r>
            <w:proofErr w:type="spellStart"/>
            <w:r w:rsidRPr="001B2AA8">
              <w:rPr>
                <w:rFonts w:ascii="Arial" w:hAnsi="Arial"/>
                <w:sz w:val="28"/>
                <w:szCs w:val="28"/>
                <w:lang w:val="bg-BG"/>
              </w:rPr>
              <w:t>Web</w:t>
            </w:r>
            <w:proofErr w:type="spellEnd"/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1B2AA8">
              <w:rPr>
                <w:rFonts w:ascii="Arial" w:hAnsi="Arial"/>
                <w:sz w:val="28"/>
                <w:szCs w:val="28"/>
                <w:lang w:val="bg-BG"/>
              </w:rPr>
              <w:t>of</w:t>
            </w:r>
            <w:proofErr w:type="spellEnd"/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Science през оценявания период на научните публикации от П1 (N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С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).</w:t>
            </w:r>
          </w:p>
          <w:p w14:paraId="36DF3A43" w14:textId="56DA6020" w:rsidR="001B2AA8" w:rsidRPr="001B2AA8" w:rsidRDefault="001B2AA8" w:rsidP="001B2AA8">
            <w:pPr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i/>
                <w:iCs/>
                <w:sz w:val="28"/>
                <w:szCs w:val="28"/>
                <w:lang w:val="bg-BG"/>
              </w:rPr>
              <w:t>Забележка</w:t>
            </w:r>
            <w:r w:rsidR="00BB2572">
              <w:rPr>
                <w:rFonts w:ascii="Arial" w:hAnsi="Arial"/>
                <w:i/>
                <w:iCs/>
                <w:sz w:val="28"/>
                <w:szCs w:val="28"/>
                <w:lang w:val="bg-BG"/>
              </w:rPr>
              <w:t>.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</w:t>
            </w:r>
            <w:r w:rsidRPr="001B2AA8">
              <w:rPr>
                <w:rFonts w:ascii="Arial" w:hAnsi="Arial"/>
                <w:i/>
                <w:iCs/>
                <w:sz w:val="28"/>
                <w:szCs w:val="28"/>
                <w:lang w:val="bg-BG"/>
              </w:rPr>
              <w:t>Прилага се коефициент А=1,5, който определя относителната тежест на показател П3 в стойността на общата оценка.</w:t>
            </w:r>
          </w:p>
        </w:tc>
        <w:tc>
          <w:tcPr>
            <w:tcW w:w="3039" w:type="dxa"/>
            <w:tcMar>
              <w:top w:w="68" w:type="dxa"/>
              <w:left w:w="57" w:type="dxa"/>
              <w:bottom w:w="113" w:type="dxa"/>
              <w:right w:w="57" w:type="dxa"/>
            </w:tcMar>
            <w:hideMark/>
          </w:tcPr>
          <w:p w14:paraId="2CCAFF06" w14:textId="77777777" w:rsidR="001B2AA8" w:rsidRPr="001B2AA8" w:rsidRDefault="001B2AA8" w:rsidP="00201799">
            <w:pPr>
              <w:ind w:firstLine="15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>П3=</w:t>
            </w:r>
            <w:proofErr w:type="spellStart"/>
            <w:r w:rsidRPr="001B2AA8">
              <w:rPr>
                <w:rFonts w:ascii="Arial" w:hAnsi="Arial"/>
                <w:sz w:val="28"/>
                <w:szCs w:val="28"/>
                <w:lang w:val="bg-BG"/>
              </w:rPr>
              <w:t>AxN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С</w:t>
            </w:r>
            <w:proofErr w:type="spellEnd"/>
          </w:p>
        </w:tc>
      </w:tr>
      <w:tr w:rsidR="001B2AA8" w:rsidRPr="001B2AA8" w14:paraId="2EE89D09" w14:textId="77777777" w:rsidTr="00201799">
        <w:trPr>
          <w:trHeight w:val="32"/>
        </w:trPr>
        <w:tc>
          <w:tcPr>
            <w:tcW w:w="6601" w:type="dxa"/>
            <w:tcMar>
              <w:top w:w="68" w:type="dxa"/>
              <w:left w:w="57" w:type="dxa"/>
              <w:bottom w:w="113" w:type="dxa"/>
              <w:right w:w="57" w:type="dxa"/>
            </w:tcMar>
            <w:hideMark/>
          </w:tcPr>
          <w:p w14:paraId="3FB69C17" w14:textId="1A32D875" w:rsidR="001B2AA8" w:rsidRPr="001B2AA8" w:rsidRDefault="001B2AA8" w:rsidP="001B2AA8">
            <w:pPr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Показател П4 се определя от броя подадени и публикувани в официалния бюлетин 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lastRenderedPageBreak/>
              <w:t>на съответното ведомство за четиригодишен период, предхождащ годината на оценка:</w:t>
            </w:r>
          </w:p>
          <w:p w14:paraId="5B8EF26D" w14:textId="77777777" w:rsidR="001B2AA8" w:rsidRPr="001B2AA8" w:rsidRDefault="001B2AA8" w:rsidP="001B2AA8">
            <w:pPr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>- патенти за изобретения – чуждестранни и европейски (N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Р1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) и български (N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Р2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);</w:t>
            </w:r>
          </w:p>
          <w:p w14:paraId="15F728CD" w14:textId="77777777" w:rsidR="001B2AA8" w:rsidRPr="001B2AA8" w:rsidRDefault="001B2AA8" w:rsidP="00041FE5">
            <w:pPr>
              <w:tabs>
                <w:tab w:val="left" w:pos="1366"/>
              </w:tabs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>- заявки за чуждестранни и европейски патенти за изобретения (N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Р3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) и български заявки (N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Р4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);</w:t>
            </w:r>
          </w:p>
          <w:p w14:paraId="45E4F4D9" w14:textId="77777777" w:rsidR="001B2AA8" w:rsidRPr="001B2AA8" w:rsidRDefault="001B2AA8" w:rsidP="001B2AA8">
            <w:pPr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>- полезни модели – чуждестранни (N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Р5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) и български (N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Р6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);</w:t>
            </w:r>
          </w:p>
          <w:p w14:paraId="7B920165" w14:textId="77777777" w:rsidR="001B2AA8" w:rsidRPr="001B2AA8" w:rsidRDefault="001B2AA8" w:rsidP="001B2AA8">
            <w:pPr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>- сертификати за сортове растения и породи животни (N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Р7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),</w:t>
            </w:r>
          </w:p>
          <w:p w14:paraId="2B4C745B" w14:textId="77777777" w:rsidR="001B2AA8" w:rsidRPr="001B2AA8" w:rsidRDefault="001B2AA8" w:rsidP="001B2AA8">
            <w:pPr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умножени съответно с коефициенти 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Р1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=30; 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Р2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=15; 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Р3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=20; 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Р4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=10; 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Р5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=15; 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Р6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=7 и 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Р7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=15.</w:t>
            </w:r>
          </w:p>
          <w:p w14:paraId="2F1899DB" w14:textId="2E9BDE4C" w:rsidR="001B2AA8" w:rsidRPr="001B2AA8" w:rsidRDefault="001B2AA8" w:rsidP="001B2AA8">
            <w:pPr>
              <w:ind w:firstLine="1134"/>
              <w:rPr>
                <w:rFonts w:ascii="Arial" w:hAnsi="Arial"/>
                <w:i/>
                <w:iCs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i/>
                <w:iCs/>
                <w:sz w:val="28"/>
                <w:szCs w:val="28"/>
                <w:lang w:val="bg-BG"/>
              </w:rPr>
              <w:t>Забележка</w:t>
            </w:r>
            <w:r w:rsidR="00BB2572">
              <w:rPr>
                <w:rFonts w:ascii="Arial" w:hAnsi="Arial"/>
                <w:i/>
                <w:iCs/>
                <w:sz w:val="28"/>
                <w:szCs w:val="28"/>
                <w:lang w:val="bg-BG"/>
              </w:rPr>
              <w:t>.</w:t>
            </w:r>
            <w:r w:rsidRPr="001B2AA8">
              <w:rPr>
                <w:rFonts w:ascii="Arial" w:hAnsi="Arial"/>
                <w:i/>
                <w:iCs/>
                <w:sz w:val="28"/>
                <w:szCs w:val="28"/>
                <w:lang w:val="bg-BG"/>
              </w:rPr>
              <w:t xml:space="preserve"> Броят продукти на интелектуална собственост се отчита за изследователския състав на висшето училище към момента на регистрацията на тези продукти.</w:t>
            </w:r>
          </w:p>
        </w:tc>
        <w:tc>
          <w:tcPr>
            <w:tcW w:w="3039" w:type="dxa"/>
            <w:tcMar>
              <w:top w:w="68" w:type="dxa"/>
              <w:left w:w="57" w:type="dxa"/>
              <w:bottom w:w="113" w:type="dxa"/>
              <w:right w:w="57" w:type="dxa"/>
            </w:tcMar>
            <w:hideMark/>
          </w:tcPr>
          <w:p w14:paraId="5DD33562" w14:textId="77777777" w:rsidR="001B2AA8" w:rsidRPr="001B2AA8" w:rsidRDefault="001B2AA8" w:rsidP="007C34D5">
            <w:pPr>
              <w:ind w:left="12" w:firstLine="142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lastRenderedPageBreak/>
              <w:t>П4 = р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1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Р1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 + р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2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>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 xml:space="preserve">Р2 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+ </w:t>
            </w:r>
            <w:r w:rsidRPr="001B2AA8">
              <w:rPr>
                <w:rFonts w:ascii="Arial" w:hAnsi="Arial"/>
                <w:sz w:val="28"/>
                <w:szCs w:val="28"/>
                <w:lang w:val="en-US"/>
              </w:rPr>
              <w:t>p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3</w:t>
            </w:r>
            <w:r w:rsidRPr="001B2AA8">
              <w:rPr>
                <w:rFonts w:ascii="Arial" w:hAnsi="Arial"/>
                <w:sz w:val="28"/>
                <w:szCs w:val="28"/>
                <w:lang w:val="en-US"/>
              </w:rPr>
              <w:t>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en-US"/>
              </w:rPr>
              <w:t>p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 xml:space="preserve">3 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+ </w:t>
            </w:r>
            <w:r w:rsidRPr="001B2AA8">
              <w:rPr>
                <w:rFonts w:ascii="Arial" w:hAnsi="Arial"/>
                <w:sz w:val="28"/>
                <w:szCs w:val="28"/>
                <w:lang w:val="en-US"/>
              </w:rPr>
              <w:t>p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4</w:t>
            </w:r>
            <w:r w:rsidRPr="001B2AA8">
              <w:rPr>
                <w:rFonts w:ascii="Arial" w:hAnsi="Arial"/>
                <w:sz w:val="28"/>
                <w:szCs w:val="28"/>
                <w:lang w:val="en-US"/>
              </w:rPr>
              <w:t>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en-US"/>
              </w:rPr>
              <w:t>p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 xml:space="preserve">4 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+ </w:t>
            </w:r>
            <w:r w:rsidRPr="001B2AA8">
              <w:rPr>
                <w:rFonts w:ascii="Arial" w:hAnsi="Arial"/>
                <w:sz w:val="28"/>
                <w:szCs w:val="28"/>
                <w:lang w:val="en-US"/>
              </w:rPr>
              <w:t>p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5</w:t>
            </w:r>
            <w:r w:rsidRPr="001B2AA8">
              <w:rPr>
                <w:rFonts w:ascii="Arial" w:hAnsi="Arial"/>
                <w:sz w:val="28"/>
                <w:szCs w:val="28"/>
                <w:lang w:val="en-US"/>
              </w:rPr>
              <w:t>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en-US"/>
              </w:rPr>
              <w:t>p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 xml:space="preserve">5 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+ </w:t>
            </w:r>
            <w:r w:rsidRPr="001B2AA8">
              <w:rPr>
                <w:rFonts w:ascii="Arial" w:hAnsi="Arial"/>
                <w:sz w:val="28"/>
                <w:szCs w:val="28"/>
                <w:lang w:val="en-US"/>
              </w:rPr>
              <w:t>p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6</w:t>
            </w:r>
            <w:r w:rsidRPr="001B2AA8">
              <w:rPr>
                <w:rFonts w:ascii="Arial" w:hAnsi="Arial"/>
                <w:sz w:val="28"/>
                <w:szCs w:val="28"/>
                <w:lang w:val="en-US"/>
              </w:rPr>
              <w:t>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en-US"/>
              </w:rPr>
              <w:t>p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 xml:space="preserve">6 </w:t>
            </w:r>
            <w:r w:rsidRPr="001B2AA8">
              <w:rPr>
                <w:rFonts w:ascii="Arial" w:hAnsi="Arial"/>
                <w:sz w:val="28"/>
                <w:szCs w:val="28"/>
                <w:lang w:val="bg-BG"/>
              </w:rPr>
              <w:t xml:space="preserve">+ </w:t>
            </w:r>
            <w:r w:rsidRPr="001B2AA8">
              <w:rPr>
                <w:rFonts w:ascii="Arial" w:hAnsi="Arial"/>
                <w:sz w:val="28"/>
                <w:szCs w:val="28"/>
                <w:lang w:val="en-US"/>
              </w:rPr>
              <w:t>p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7</w:t>
            </w:r>
            <w:r w:rsidRPr="001B2AA8">
              <w:rPr>
                <w:rFonts w:ascii="Arial" w:hAnsi="Arial"/>
                <w:sz w:val="28"/>
                <w:szCs w:val="28"/>
                <w:lang w:val="en-US"/>
              </w:rPr>
              <w:t>N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en-US"/>
              </w:rPr>
              <w:t>p</w:t>
            </w:r>
            <w:r w:rsidRPr="001B2AA8">
              <w:rPr>
                <w:rFonts w:ascii="Arial" w:hAnsi="Arial"/>
                <w:sz w:val="28"/>
                <w:szCs w:val="28"/>
                <w:vertAlign w:val="subscript"/>
                <w:lang w:val="bg-BG"/>
              </w:rPr>
              <w:t>7</w:t>
            </w:r>
          </w:p>
          <w:p w14:paraId="0AB3CDBE" w14:textId="77777777" w:rsidR="001B2AA8" w:rsidRPr="001B2AA8" w:rsidRDefault="001B2AA8" w:rsidP="001B2AA8">
            <w:pPr>
              <w:ind w:firstLine="1134"/>
              <w:rPr>
                <w:rFonts w:ascii="Arial" w:hAnsi="Arial"/>
                <w:sz w:val="28"/>
                <w:szCs w:val="28"/>
                <w:lang w:val="bg-BG"/>
              </w:rPr>
            </w:pPr>
            <w:r w:rsidRPr="001B2AA8">
              <w:rPr>
                <w:rFonts w:ascii="Arial" w:hAnsi="Arial"/>
                <w:sz w:val="28"/>
                <w:szCs w:val="28"/>
                <w:lang w:val="bg-BG"/>
              </w:rPr>
              <w:lastRenderedPageBreak/>
              <w:t> </w:t>
            </w:r>
          </w:p>
        </w:tc>
      </w:tr>
    </w:tbl>
    <w:p w14:paraId="0F2C3D1E" w14:textId="44D5C175" w:rsidR="007C34D5" w:rsidRPr="007C47A3" w:rsidRDefault="00AC23A3" w:rsidP="006655A6">
      <w:pPr>
        <w:spacing w:before="120" w:line="288" w:lineRule="auto"/>
        <w:ind w:left="1134" w:firstLine="8222"/>
        <w:jc w:val="both"/>
        <w:rPr>
          <w:rFonts w:ascii="Arial" w:hAnsi="Arial"/>
          <w:sz w:val="20"/>
          <w:lang w:val="bg-BG"/>
        </w:rPr>
      </w:pPr>
      <w:r w:rsidRPr="001B2AA8">
        <w:rPr>
          <w:rFonts w:ascii="Arial" w:hAnsi="Arial"/>
          <w:sz w:val="28"/>
          <w:szCs w:val="28"/>
          <w:lang w:val="bg-BG"/>
        </w:rPr>
        <w:lastRenderedPageBreak/>
        <w:t>“</w:t>
      </w:r>
    </w:p>
    <w:p w14:paraId="3A1940BB" w14:textId="0FB43399" w:rsidR="001B2AA8" w:rsidRPr="001B2AA8" w:rsidRDefault="001B2AA8" w:rsidP="00041FE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B2AA8">
        <w:rPr>
          <w:rFonts w:ascii="Arial" w:hAnsi="Arial"/>
          <w:b/>
          <w:bCs/>
          <w:sz w:val="28"/>
          <w:szCs w:val="28"/>
          <w:lang w:val="bg-BG"/>
        </w:rPr>
        <w:t xml:space="preserve">§ 5. </w:t>
      </w:r>
      <w:r w:rsidRPr="001B2AA8">
        <w:rPr>
          <w:rFonts w:ascii="Arial" w:hAnsi="Arial"/>
          <w:sz w:val="28"/>
          <w:szCs w:val="28"/>
          <w:lang w:val="bg-BG"/>
        </w:rPr>
        <w:t>Приложение № 2 към чл. 2, ал. 1, т. 2, Приложение № 3 към чл. 2, ал. 1, т. 3 и Приложение № 4 към чл. 2, ал. 2 се отменят.</w:t>
      </w:r>
    </w:p>
    <w:p w14:paraId="75D5102F" w14:textId="77777777" w:rsidR="001B2AA8" w:rsidRPr="001B2AA8" w:rsidRDefault="001B2AA8" w:rsidP="003E64AE">
      <w:pPr>
        <w:spacing w:before="120" w:line="288" w:lineRule="auto"/>
        <w:ind w:firstLine="1134"/>
        <w:jc w:val="both"/>
        <w:rPr>
          <w:rFonts w:ascii="Arial" w:hAnsi="Arial"/>
          <w:sz w:val="6"/>
          <w:szCs w:val="6"/>
          <w:lang w:val="bg-BG"/>
        </w:rPr>
      </w:pPr>
    </w:p>
    <w:p w14:paraId="09DADB81" w14:textId="77777777" w:rsidR="001B2AA8" w:rsidRPr="001B2AA8" w:rsidRDefault="001B2AA8" w:rsidP="003E64AE">
      <w:pPr>
        <w:spacing w:before="120" w:line="288" w:lineRule="auto"/>
        <w:jc w:val="center"/>
        <w:rPr>
          <w:rFonts w:ascii="Arial" w:hAnsi="Arial"/>
          <w:b/>
          <w:sz w:val="28"/>
          <w:szCs w:val="28"/>
          <w:lang w:val="bg-BG"/>
        </w:rPr>
      </w:pPr>
      <w:r w:rsidRPr="001B2AA8">
        <w:rPr>
          <w:rFonts w:ascii="Arial" w:hAnsi="Arial"/>
          <w:b/>
          <w:sz w:val="28"/>
          <w:szCs w:val="28"/>
          <w:lang w:val="bg-BG"/>
        </w:rPr>
        <w:t>ЗАКЛЮЧИТЕЛНА РАЗПОРЕДБА</w:t>
      </w:r>
    </w:p>
    <w:p w14:paraId="2C23A43A" w14:textId="77777777" w:rsidR="001B2AA8" w:rsidRPr="001B2AA8" w:rsidRDefault="001B2AA8" w:rsidP="003E64AE">
      <w:pPr>
        <w:spacing w:before="120" w:line="288" w:lineRule="auto"/>
        <w:ind w:firstLine="1134"/>
        <w:jc w:val="both"/>
        <w:rPr>
          <w:rFonts w:ascii="Arial" w:hAnsi="Arial"/>
          <w:sz w:val="6"/>
          <w:szCs w:val="6"/>
          <w:lang w:val="bg-BG"/>
        </w:rPr>
      </w:pPr>
    </w:p>
    <w:p w14:paraId="6E602008" w14:textId="77FE35D7" w:rsidR="001B2AA8" w:rsidRPr="001B2AA8" w:rsidRDefault="00041FE5" w:rsidP="00041FE5">
      <w:pPr>
        <w:tabs>
          <w:tab w:val="left" w:pos="1134"/>
          <w:tab w:val="left" w:pos="1276"/>
          <w:tab w:val="left" w:pos="1418"/>
        </w:tabs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B2AA8">
        <w:rPr>
          <w:rFonts w:ascii="Arial" w:hAnsi="Arial"/>
          <w:b/>
          <w:bCs/>
          <w:sz w:val="28"/>
          <w:szCs w:val="28"/>
          <w:lang w:val="bg-BG"/>
        </w:rPr>
        <w:t xml:space="preserve">§ </w:t>
      </w:r>
      <w:r>
        <w:rPr>
          <w:rFonts w:ascii="Arial" w:hAnsi="Arial"/>
          <w:b/>
          <w:bCs/>
          <w:sz w:val="28"/>
          <w:szCs w:val="28"/>
          <w:lang w:val="bg-BG"/>
        </w:rPr>
        <w:t>6</w:t>
      </w:r>
      <w:r w:rsidRPr="001B2AA8">
        <w:rPr>
          <w:rFonts w:ascii="Arial" w:hAnsi="Arial"/>
          <w:b/>
          <w:bCs/>
          <w:sz w:val="28"/>
          <w:szCs w:val="28"/>
          <w:lang w:val="bg-BG"/>
        </w:rPr>
        <w:t xml:space="preserve">. </w:t>
      </w:r>
      <w:r w:rsidR="001B2AA8" w:rsidRPr="001B2AA8">
        <w:rPr>
          <w:rFonts w:ascii="Arial" w:hAnsi="Arial"/>
          <w:sz w:val="28"/>
          <w:szCs w:val="28"/>
          <w:lang w:val="bg-BG"/>
        </w:rPr>
        <w:t>Постановлението влиза в сила от деня на обнародването му в „Държавен вестник“ с изключение на § 2, т. 1, който влиза в сила от 1 януари 2026 г.</w:t>
      </w:r>
    </w:p>
    <w:p w14:paraId="78B9C060" w14:textId="77777777" w:rsidR="001B2AA8" w:rsidRDefault="001B2AA8" w:rsidP="003E64AE">
      <w:pPr>
        <w:ind w:firstLine="1134"/>
        <w:jc w:val="both"/>
        <w:rPr>
          <w:rFonts w:ascii="Arial" w:hAnsi="Arial"/>
          <w:sz w:val="20"/>
          <w:lang w:val="bg-BG"/>
        </w:rPr>
      </w:pPr>
    </w:p>
    <w:p w14:paraId="599F9C78" w14:textId="77777777" w:rsidR="00E8160F" w:rsidRPr="007C47A3" w:rsidRDefault="00E8160F" w:rsidP="003E64AE">
      <w:pPr>
        <w:ind w:firstLine="1134"/>
        <w:jc w:val="both"/>
        <w:rPr>
          <w:rFonts w:ascii="Arial" w:hAnsi="Arial"/>
          <w:sz w:val="20"/>
          <w:lang w:val="bg-BG"/>
        </w:rPr>
      </w:pPr>
    </w:p>
    <w:p w14:paraId="0B089D9C" w14:textId="77777777" w:rsidR="007C47A3" w:rsidRPr="007C47A3" w:rsidRDefault="007C47A3" w:rsidP="003E64AE">
      <w:pPr>
        <w:ind w:firstLine="1134"/>
        <w:jc w:val="both"/>
        <w:rPr>
          <w:rFonts w:ascii="Arial" w:hAnsi="Arial"/>
          <w:sz w:val="20"/>
          <w:lang w:val="bg-BG"/>
        </w:rPr>
      </w:pPr>
    </w:p>
    <w:p w14:paraId="1E8D53B0" w14:textId="77777777" w:rsidR="00E8160F" w:rsidRPr="00657F87" w:rsidRDefault="00E8160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2ED04415" w14:textId="77777777" w:rsidR="00E8160F" w:rsidRPr="00657F87" w:rsidRDefault="00E8160F">
      <w:pPr>
        <w:ind w:firstLine="1134"/>
        <w:rPr>
          <w:rFonts w:ascii="Arial" w:hAnsi="Arial" w:cs="Arial"/>
          <w:b/>
        </w:rPr>
      </w:pPr>
    </w:p>
    <w:p w14:paraId="06D09580" w14:textId="77777777" w:rsidR="00E8160F" w:rsidRPr="00657F87" w:rsidRDefault="00E8160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0B040800" w14:textId="77777777" w:rsidR="00E8160F" w:rsidRPr="00657F87" w:rsidRDefault="00E8160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34B399D4" w14:textId="77777777" w:rsidR="00E8160F" w:rsidRPr="00657F87" w:rsidRDefault="00E8160F">
      <w:pPr>
        <w:ind w:left="1134"/>
        <w:rPr>
          <w:rFonts w:ascii="Arial" w:hAnsi="Arial" w:cs="Arial"/>
          <w:b/>
        </w:rPr>
      </w:pPr>
    </w:p>
    <w:sectPr w:rsidR="00E8160F" w:rsidRPr="00657F87" w:rsidSect="00BB2572">
      <w:headerReference w:type="even" r:id="rId6"/>
      <w:headerReference w:type="default" r:id="rId7"/>
      <w:pgSz w:w="11906" w:h="16838" w:code="9"/>
      <w:pgMar w:top="568" w:right="1274" w:bottom="1134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EF6F" w14:textId="77777777" w:rsidR="00DF067D" w:rsidRDefault="00DF067D">
      <w:r>
        <w:separator/>
      </w:r>
    </w:p>
  </w:endnote>
  <w:endnote w:type="continuationSeparator" w:id="0">
    <w:p w14:paraId="7B46682F" w14:textId="77777777" w:rsidR="00DF067D" w:rsidRDefault="00DF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A158" w14:textId="77777777" w:rsidR="00DF067D" w:rsidRDefault="00DF067D">
      <w:r>
        <w:separator/>
      </w:r>
    </w:p>
  </w:footnote>
  <w:footnote w:type="continuationSeparator" w:id="0">
    <w:p w14:paraId="3FF2B045" w14:textId="77777777" w:rsidR="00DF067D" w:rsidRDefault="00DF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D8BE275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64A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13BCC"/>
    <w:rsid w:val="00021FCE"/>
    <w:rsid w:val="00023EE3"/>
    <w:rsid w:val="00041FE5"/>
    <w:rsid w:val="0004228B"/>
    <w:rsid w:val="0006327C"/>
    <w:rsid w:val="00067840"/>
    <w:rsid w:val="000900B0"/>
    <w:rsid w:val="00092519"/>
    <w:rsid w:val="000A280B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84E98"/>
    <w:rsid w:val="00196159"/>
    <w:rsid w:val="00197ECB"/>
    <w:rsid w:val="001B2AA8"/>
    <w:rsid w:val="001C50AA"/>
    <w:rsid w:val="00201799"/>
    <w:rsid w:val="00211F51"/>
    <w:rsid w:val="00216388"/>
    <w:rsid w:val="00227A73"/>
    <w:rsid w:val="002415EA"/>
    <w:rsid w:val="00252E84"/>
    <w:rsid w:val="00264BAE"/>
    <w:rsid w:val="0027415E"/>
    <w:rsid w:val="00276539"/>
    <w:rsid w:val="00285C83"/>
    <w:rsid w:val="002909BD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97523"/>
    <w:rsid w:val="003A400D"/>
    <w:rsid w:val="003B35E1"/>
    <w:rsid w:val="003B3E9B"/>
    <w:rsid w:val="003B7E56"/>
    <w:rsid w:val="003C09E4"/>
    <w:rsid w:val="003C605A"/>
    <w:rsid w:val="003D070C"/>
    <w:rsid w:val="003E0565"/>
    <w:rsid w:val="003E5FC1"/>
    <w:rsid w:val="003E64AE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0224"/>
    <w:rsid w:val="006412DD"/>
    <w:rsid w:val="0064254B"/>
    <w:rsid w:val="00644E50"/>
    <w:rsid w:val="00647707"/>
    <w:rsid w:val="006510AF"/>
    <w:rsid w:val="00656943"/>
    <w:rsid w:val="0066353A"/>
    <w:rsid w:val="006655A6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6F4590"/>
    <w:rsid w:val="007001C1"/>
    <w:rsid w:val="0074689D"/>
    <w:rsid w:val="007532CE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34D5"/>
    <w:rsid w:val="007C47A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1AC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5276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C23A3"/>
    <w:rsid w:val="00AD095F"/>
    <w:rsid w:val="00AD318C"/>
    <w:rsid w:val="00AE2DE6"/>
    <w:rsid w:val="00AE3D48"/>
    <w:rsid w:val="00B11989"/>
    <w:rsid w:val="00B11B93"/>
    <w:rsid w:val="00B1764A"/>
    <w:rsid w:val="00B17ECD"/>
    <w:rsid w:val="00B2692D"/>
    <w:rsid w:val="00B42829"/>
    <w:rsid w:val="00B6268D"/>
    <w:rsid w:val="00B87109"/>
    <w:rsid w:val="00B907F8"/>
    <w:rsid w:val="00BB2572"/>
    <w:rsid w:val="00BB5CC5"/>
    <w:rsid w:val="00BC41D2"/>
    <w:rsid w:val="00BE219E"/>
    <w:rsid w:val="00BE443F"/>
    <w:rsid w:val="00BE78D2"/>
    <w:rsid w:val="00BF6C02"/>
    <w:rsid w:val="00BF6DD0"/>
    <w:rsid w:val="00C013F7"/>
    <w:rsid w:val="00C165A5"/>
    <w:rsid w:val="00C2223B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6442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067D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0F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2947"/>
    <w:rsid w:val="00F43D91"/>
    <w:rsid w:val="00F5141D"/>
    <w:rsid w:val="00F55AAE"/>
    <w:rsid w:val="00F569AB"/>
    <w:rsid w:val="00F6574E"/>
    <w:rsid w:val="00F67D0A"/>
    <w:rsid w:val="00F95A0C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4212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2025-11-05T08:19:00Z</cp:lastPrinted>
  <dcterms:created xsi:type="dcterms:W3CDTF">2025-11-06T08:38:00Z</dcterms:created>
  <dcterms:modified xsi:type="dcterms:W3CDTF">2025-11-06T08:38:00Z</dcterms:modified>
</cp:coreProperties>
</file>