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79117D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4687E4" w14:textId="77777777" w:rsidR="0004091A" w:rsidRDefault="0004091A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3C6E7A1" w14:textId="77777777" w:rsidR="001D6269" w:rsidRPr="00781F0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81F0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81F0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81F0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81F0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81F0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81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20E6EDF" w:rsidR="001D6269" w:rsidRPr="00781F00" w:rsidRDefault="00803B29" w:rsidP="0040560B">
      <w:pPr>
        <w:jc w:val="right"/>
        <w:rPr>
          <w:rFonts w:ascii="Arial" w:hAnsi="Arial"/>
          <w:b/>
          <w:szCs w:val="24"/>
          <w:lang w:val="bg-BG"/>
        </w:rPr>
      </w:pPr>
      <w:r w:rsidRPr="00803B29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5B17DA08" w14:textId="77777777" w:rsidR="00DB0DFF" w:rsidRPr="00781F00" w:rsidRDefault="00DB0DFF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4F32B54" w:rsidR="001D6269" w:rsidRPr="00781F0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81F0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03B2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755</w:t>
      </w:r>
    </w:p>
    <w:p w14:paraId="560FFC16" w14:textId="77777777" w:rsidR="001D6269" w:rsidRPr="00561EC6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1C6DD7FE" w:rsidR="001D6269" w:rsidRPr="00781F0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81F0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81F0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03B29">
        <w:rPr>
          <w:rFonts w:ascii="Times New Roman" w:hAnsi="Times New Roman"/>
          <w:b/>
          <w:sz w:val="30"/>
          <w:szCs w:val="30"/>
          <w:lang w:val="bg-BG"/>
        </w:rPr>
        <w:t xml:space="preserve">5 </w:t>
      </w:r>
      <w:r w:rsidR="001D6269" w:rsidRPr="00781F00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803B29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781F00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781F00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81F00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81F0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81F0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561EC6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561EC6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6E7B2B2E" w:rsidR="00891781" w:rsidRPr="00781F00" w:rsidRDefault="001D6269" w:rsidP="00DB0DFF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81F0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DB0DFF" w:rsidRPr="00DB0DFF">
        <w:rPr>
          <w:rFonts w:ascii="Arial" w:hAnsi="Arial" w:cs="Arial"/>
          <w:b/>
          <w:smallCaps/>
          <w:sz w:val="28"/>
          <w:szCs w:val="28"/>
          <w:lang w:val="bg-BG"/>
        </w:rPr>
        <w:t xml:space="preserve">допълнение на Решение № 623 на Министерския съвет от 2023 г. за определяне на областните информационни центрове по чл. 20, ал. 1 от Закона за управление на средствата от Европейските фондове при споделено управление за структури по изпълнение на реформа C4.R5 „Обслужване на едно гише“ от </w:t>
      </w:r>
      <w:r w:rsidR="002C3FF6" w:rsidRPr="00DB0DFF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DB0DFF" w:rsidRPr="00DB0DFF">
        <w:rPr>
          <w:rFonts w:ascii="Arial" w:hAnsi="Arial" w:cs="Arial"/>
          <w:b/>
          <w:smallCaps/>
          <w:sz w:val="28"/>
          <w:szCs w:val="28"/>
          <w:lang w:val="bg-BG"/>
        </w:rPr>
        <w:t>ационалния план за възстановяване и устойчивост</w:t>
      </w:r>
    </w:p>
    <w:p w14:paraId="3012945B" w14:textId="77777777" w:rsidR="008B1025" w:rsidRPr="00561EC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561EC6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781F0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81F0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81F0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61EC6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561EC6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789CBCF3" w14:textId="77777777" w:rsidR="00781F00" w:rsidRPr="00781F00" w:rsidRDefault="00781F00" w:rsidP="002767AC">
      <w:pPr>
        <w:pStyle w:val="ListParagraph"/>
        <w:numPr>
          <w:ilvl w:val="0"/>
          <w:numId w:val="19"/>
        </w:numPr>
        <w:tabs>
          <w:tab w:val="left" w:pos="1560"/>
        </w:tabs>
        <w:spacing w:before="10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781F00">
        <w:rPr>
          <w:rFonts w:ascii="Arial" w:hAnsi="Arial" w:cs="Arial"/>
          <w:sz w:val="28"/>
          <w:szCs w:val="28"/>
        </w:rPr>
        <w:t>В т. 1 се създава изречение второ:</w:t>
      </w:r>
    </w:p>
    <w:p w14:paraId="3009B0A3" w14:textId="7D22D70D" w:rsidR="00781F00" w:rsidRPr="00781F00" w:rsidRDefault="00781F00" w:rsidP="002767AC">
      <w:pPr>
        <w:pStyle w:val="ListParagraph"/>
        <w:spacing w:before="10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781F00">
        <w:rPr>
          <w:rFonts w:ascii="Arial" w:hAnsi="Arial" w:cs="Arial"/>
          <w:sz w:val="28"/>
          <w:szCs w:val="28"/>
        </w:rPr>
        <w:t xml:space="preserve">„Пълен списък на 27-те изградени областни информационни центрове  – един общ център за територията на София-град и София област и по един център в останалите 26 областни града, действащи като структури за обслужване на едно гише </w:t>
      </w:r>
      <w:r w:rsidRPr="00781F00">
        <w:rPr>
          <w:rFonts w:ascii="Arial" w:eastAsia="Calibri" w:hAnsi="Arial" w:cs="Arial"/>
          <w:sz w:val="28"/>
          <w:szCs w:val="28"/>
        </w:rPr>
        <w:t>(шест пилотни и по едно в останалите райони на страната)</w:t>
      </w:r>
      <w:r w:rsidRPr="00781F00">
        <w:rPr>
          <w:rFonts w:ascii="Arial" w:hAnsi="Arial" w:cs="Arial"/>
          <w:sz w:val="28"/>
          <w:szCs w:val="28"/>
        </w:rPr>
        <w:t xml:space="preserve"> за осигуряване на консултации и информация, техен административен адрес и електронна поща е посочен в  приложението</w:t>
      </w:r>
      <w:r w:rsidR="00A729AB">
        <w:rPr>
          <w:rFonts w:ascii="Arial" w:hAnsi="Arial" w:cs="Arial"/>
          <w:sz w:val="28"/>
          <w:szCs w:val="28"/>
        </w:rPr>
        <w:t>.</w:t>
      </w:r>
      <w:r w:rsidRPr="00781F00">
        <w:rPr>
          <w:rFonts w:ascii="Arial" w:hAnsi="Arial" w:cs="Arial"/>
          <w:sz w:val="28"/>
          <w:szCs w:val="28"/>
        </w:rPr>
        <w:t>“</w:t>
      </w:r>
    </w:p>
    <w:p w14:paraId="7ECA2884" w14:textId="77777777" w:rsidR="00781F00" w:rsidRPr="00781F00" w:rsidRDefault="00781F00" w:rsidP="002767AC">
      <w:pPr>
        <w:pStyle w:val="ListParagraph"/>
        <w:numPr>
          <w:ilvl w:val="0"/>
          <w:numId w:val="19"/>
        </w:numPr>
        <w:tabs>
          <w:tab w:val="left" w:pos="1560"/>
        </w:tabs>
        <w:spacing w:before="100" w:after="0" w:line="288" w:lineRule="auto"/>
        <w:ind w:left="0" w:firstLine="1134"/>
        <w:jc w:val="both"/>
        <w:rPr>
          <w:rFonts w:ascii="Arial" w:eastAsia="Times New Roman" w:hAnsi="Arial" w:cs="Arial"/>
          <w:sz w:val="28"/>
          <w:szCs w:val="28"/>
        </w:rPr>
      </w:pPr>
      <w:r w:rsidRPr="00781F00">
        <w:rPr>
          <w:rFonts w:ascii="Arial" w:eastAsia="Times New Roman" w:hAnsi="Arial" w:cs="Arial"/>
          <w:sz w:val="28"/>
          <w:szCs w:val="28"/>
        </w:rPr>
        <w:t>Създава се приложение към т. 1:</w:t>
      </w:r>
    </w:p>
    <w:p w14:paraId="2C813ED9" w14:textId="3CA10396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hAnsi="Arial" w:cs="Arial"/>
          <w:sz w:val="28"/>
          <w:szCs w:val="28"/>
          <w:lang w:val="bg-BG"/>
        </w:rPr>
        <w:t>„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>Пълен списък на 27-те изградени областни информационни центрове – един общ център за територията на София-град и София област и по един център в останалите 26 областни града, действащи като структури за обслужване на едно гише (шест пилотни и по едно в останалите райони на страната) за осигуряване на консултации и информация, техен административен адрес и електронна поща:</w:t>
      </w:r>
    </w:p>
    <w:p w14:paraId="7554DE13" w14:textId="11B6B9E1" w:rsidR="00781F00" w:rsidRPr="00781F00" w:rsidRDefault="00561EC6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>
        <w:rPr>
          <w:rFonts w:ascii="Arial" w:eastAsia="Calibri" w:hAnsi="Arial" w:cs="Arial"/>
          <w:sz w:val="28"/>
          <w:szCs w:val="28"/>
          <w:lang w:val="bg-BG"/>
        </w:rPr>
        <w:t>І.</w:t>
      </w:r>
      <w:r w:rsidR="00781F00" w:rsidRPr="00781F00">
        <w:rPr>
          <w:rFonts w:ascii="Arial" w:eastAsia="Calibri" w:hAnsi="Arial" w:cs="Arial"/>
          <w:sz w:val="28"/>
          <w:szCs w:val="28"/>
          <w:lang w:val="bg-BG"/>
        </w:rPr>
        <w:t xml:space="preserve"> Пилотни структури за обслужване на едно гише:</w:t>
      </w:r>
    </w:p>
    <w:p w14:paraId="326EADB1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lastRenderedPageBreak/>
        <w:t xml:space="preserve">1. Областен информационен център Благоевград, действащ като структура за обслужване на едно гише с адрес: пл. „Георги Измирлиев – </w:t>
      </w:r>
      <w:proofErr w:type="spellStart"/>
      <w:r w:rsidRPr="00781F00">
        <w:rPr>
          <w:rFonts w:ascii="Arial" w:eastAsia="Calibri" w:hAnsi="Arial" w:cs="Arial"/>
          <w:sz w:val="28"/>
          <w:szCs w:val="28"/>
          <w:lang w:val="bg-BG"/>
        </w:rPr>
        <w:t>Македончето</w:t>
      </w:r>
      <w:proofErr w:type="spellEnd"/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“ № 5, гр. Благоевград 2700, електронен адрес: </w:t>
      </w:r>
      <w:hyperlink r:id="rId7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oic.blagoevgrad@gmail.com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5B0A40DB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2. Областен информационен център Монтана, действащ като структура за обслужване на едно гише с адрес: ул. „Иван Аврамов“ № 10, гр. Монтана 3400, електронен адрес: </w:t>
      </w:r>
      <w:hyperlink r:id="rId8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oic@montana.bg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3366FE6E" w14:textId="2A05B652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3. Областен информационен център Русе, действащ като структура за обслужване на едно гише с адрес: ул. „Свобода“ № 4, </w:t>
      </w:r>
      <w:r w:rsidR="00561EC6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гр. Русе 7000, електронен адрес: </w:t>
      </w:r>
      <w:hyperlink r:id="rId9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oic_ruse@abv.bg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113B98E2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4. Областен информационен център Варна, действащ като структура за обслужване на едно гише с адрес: ул. „Свети Кирил и Методий“ № 2 (Козирката), гр. Варна 9000, електронен адрес: </w:t>
      </w:r>
      <w:hyperlink r:id="rId10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oic_varna@abv.bg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3664BE30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5. Областен информационен център Бургас, действащ като структура за обслужване на едно гише с адрес: ул. „Княз Александър Батенберг“ № 28, гр. Бургас 8000, електронен адрес: </w:t>
      </w:r>
      <w:hyperlink r:id="rId11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oic.burgas@gmail.com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51E11818" w14:textId="7BB9C07D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6. Областен информационен център Хасково, действащ като структура за обслужване на едно гише с адрес: бул. „България“ </w:t>
      </w:r>
      <w:r w:rsidR="00561EC6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№ 140, Хасково 6300, електронен адрес: </w:t>
      </w:r>
      <w:hyperlink r:id="rId12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oichaskovo@abv.bg</w:t>
        </w:r>
      </w:hyperlink>
      <w:r w:rsidR="00561EC6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436636B2" w14:textId="10875DC8" w:rsidR="00781F00" w:rsidRPr="00781F00" w:rsidRDefault="00561EC6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>
        <w:rPr>
          <w:rFonts w:ascii="Arial" w:eastAsia="Calibri" w:hAnsi="Arial" w:cs="Arial"/>
          <w:sz w:val="28"/>
          <w:szCs w:val="28"/>
          <w:lang w:val="bg-BG"/>
        </w:rPr>
        <w:t>ІІ.</w:t>
      </w:r>
      <w:r w:rsidR="00781F00" w:rsidRPr="00781F00">
        <w:rPr>
          <w:rFonts w:ascii="Arial" w:eastAsia="Calibri" w:hAnsi="Arial" w:cs="Arial"/>
          <w:sz w:val="28"/>
          <w:szCs w:val="28"/>
          <w:lang w:val="bg-BG"/>
        </w:rPr>
        <w:t xml:space="preserve"> Структури, разкрити в останалите райони на страната:</w:t>
      </w:r>
    </w:p>
    <w:p w14:paraId="434D2CAC" w14:textId="26754B60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1. Областен информационен център Пазарджик, действащ като структура за обслужване на едно гише с адрес: бул. „България“ № 2, гр. Пазарджик 4440, електронен адрес: oic.pazardzhik@gmail.com;</w:t>
      </w:r>
    </w:p>
    <w:p w14:paraId="02B78C71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2. Областен информационен център Силистра, действащ като структура за обслужване на едно гише с адрес: ул. „Симеон Велики“ № 49, Силистра 7500, електронен адрес: </w:t>
      </w:r>
      <w:hyperlink r:id="rId13" w:history="1">
        <w:r w:rsidRPr="00781F00">
          <w:rPr>
            <w:rStyle w:val="Hyperlink"/>
            <w:rFonts w:ascii="Arial" w:eastAsia="Calibri" w:hAnsi="Arial" w:cs="Arial"/>
            <w:sz w:val="28"/>
            <w:szCs w:val="28"/>
            <w:lang w:val="bg-BG"/>
          </w:rPr>
          <w:t>oic_silistra@abv.bg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5693893D" w14:textId="074B258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3. Областен информационен център Габрово, действащ като структура за обслужване на едно гише с адрес: площад </w:t>
      </w:r>
      <w:r w:rsidR="00A729AB">
        <w:rPr>
          <w:rFonts w:ascii="Arial" w:eastAsia="Calibri" w:hAnsi="Arial" w:cs="Arial"/>
          <w:sz w:val="28"/>
          <w:szCs w:val="28"/>
          <w:lang w:val="bg-BG"/>
        </w:rPr>
        <w:t>„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>Възраждане</w:t>
      </w:r>
      <w:r w:rsidR="00A729AB">
        <w:rPr>
          <w:rFonts w:ascii="Arial" w:eastAsia="Calibri" w:hAnsi="Arial" w:cs="Arial"/>
          <w:sz w:val="28"/>
          <w:szCs w:val="28"/>
          <w:lang w:val="bg-BG"/>
        </w:rPr>
        <w:t>“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 № 3, Габрово 5300, електронен адрес: </w:t>
      </w:r>
      <w:hyperlink r:id="rId14" w:history="1">
        <w:r w:rsidRPr="00781F00">
          <w:rPr>
            <w:rFonts w:ascii="Arial" w:eastAsia="Calibri" w:hAnsi="Arial" w:cs="Arial"/>
            <w:sz w:val="28"/>
            <w:szCs w:val="28"/>
            <w:u w:val="single"/>
            <w:shd w:val="clear" w:color="auto" w:fill="FFFFFF"/>
            <w:lang w:val="bg-BG"/>
          </w:rPr>
          <w:t>oic@gabrovo.bg</w:t>
        </w:r>
      </w:hyperlink>
      <w:r w:rsidRPr="00781F00">
        <w:rPr>
          <w:rFonts w:ascii="Arial" w:eastAsia="Calibri" w:hAnsi="Arial" w:cs="Arial"/>
          <w:sz w:val="28"/>
          <w:szCs w:val="28"/>
          <w:shd w:val="clear" w:color="auto" w:fill="FFFFFF"/>
          <w:lang w:val="bg-BG"/>
        </w:rPr>
        <w:t>;</w:t>
      </w:r>
    </w:p>
    <w:p w14:paraId="7504E038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lastRenderedPageBreak/>
        <w:t>4. Областен информационен център Добрич, действащ като структура за обслужване на едно гише с адрес: ул. „България“ № 12, гр. Добрич 9300, електронен адрес: oic_dobrich@abv.bg;</w:t>
      </w:r>
    </w:p>
    <w:p w14:paraId="571ACD3D" w14:textId="27B57C96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5. Областен информационен център Перник, действащ като структура за обслужване на едно гише с адрес: ул. „Кракра“ № 15, </w:t>
      </w:r>
      <w:r w:rsidR="002767AC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гр. Перник 2300, електронен адрес: </w:t>
      </w:r>
      <w:hyperlink r:id="rId15" w:history="1">
        <w:r w:rsidRPr="00781F00">
          <w:rPr>
            <w:rFonts w:ascii="Arial" w:eastAsia="Calibri" w:hAnsi="Arial" w:cs="Arial"/>
            <w:sz w:val="28"/>
            <w:szCs w:val="28"/>
            <w:u w:val="single"/>
            <w:lang w:val="bg-BG"/>
          </w:rPr>
          <w:t>oic_pernik@abv.bg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3A40719B" w14:textId="6E226CD6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6. Областен информационен център Сливен, действащ като структура за обслужване на едно гише с адрес: бул. </w:t>
      </w:r>
      <w:r w:rsidR="00A729AB">
        <w:rPr>
          <w:rFonts w:ascii="Arial" w:eastAsia="Calibri" w:hAnsi="Arial" w:cs="Arial"/>
          <w:sz w:val="28"/>
          <w:szCs w:val="28"/>
          <w:lang w:val="bg-BG"/>
        </w:rPr>
        <w:t>„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>Цар Освободител</w:t>
      </w:r>
      <w:r w:rsidR="00A729AB">
        <w:rPr>
          <w:rFonts w:ascii="Arial" w:eastAsia="Calibri" w:hAnsi="Arial" w:cs="Arial"/>
          <w:sz w:val="28"/>
          <w:szCs w:val="28"/>
          <w:lang w:val="bg-BG"/>
        </w:rPr>
        <w:t>“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 № 1, гр. Сливен 8800, електронен адрес: oicsliven@gmail.com;</w:t>
      </w:r>
    </w:p>
    <w:p w14:paraId="555315FB" w14:textId="791BBC18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7. Областен информационен център Шумен, действащ като структура за обслужване на едно гише с адрес: бул. </w:t>
      </w:r>
      <w:r w:rsidR="00A729AB">
        <w:rPr>
          <w:rFonts w:ascii="Arial" w:eastAsia="Calibri" w:hAnsi="Arial" w:cs="Arial"/>
          <w:sz w:val="28"/>
          <w:szCs w:val="28"/>
          <w:lang w:val="bg-BG"/>
        </w:rPr>
        <w:t>„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>Славянски</w:t>
      </w:r>
      <w:r w:rsidR="00A729AB">
        <w:rPr>
          <w:rFonts w:ascii="Arial" w:eastAsia="Calibri" w:hAnsi="Arial" w:cs="Arial"/>
          <w:sz w:val="28"/>
          <w:szCs w:val="28"/>
          <w:lang w:val="bg-BG"/>
        </w:rPr>
        <w:t>“</w:t>
      </w: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="00A729AB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>№ 17, гр. Шумен 9700, електронен адрес: oic_shumen@abv.bg;</w:t>
      </w:r>
    </w:p>
    <w:p w14:paraId="6F7F33BE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8. Областен информационен център Кърджали, действащ като структура за обслужване на едно гише с адрес:  бул. „България“ № 41, гр. Кърджали 6600,  електронна поща:  oic_kardjali@abv.bg;</w:t>
      </w:r>
    </w:p>
    <w:p w14:paraId="7DF0FFFF" w14:textId="78794966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9. Областен информационен център Плевен, действащ като структура за обслужване на едно гише с адрес: ул. „Дойран“ 81А, </w:t>
      </w:r>
      <w:r w:rsidR="002767AC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>гр. Плевен 5800, електронен адрес: oic_pleven@abv.bg;</w:t>
      </w:r>
    </w:p>
    <w:p w14:paraId="2199E322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10. Областен информационен център Смолян, действащ като структура за обслужване на едно гише с адрес: бул. „България“ 12, гр. Смолян 4700, електронен адрес: oicsmolyan@gmail.com;</w:t>
      </w:r>
    </w:p>
    <w:p w14:paraId="27AB4ED1" w14:textId="2DA906CD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11. Областен информационен център Ямбол, действащ като структура за обслужване на едно гише с адрес: ул. „Търговска“ 34, </w:t>
      </w:r>
      <w:r w:rsidR="002767AC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>гр. Ямбол 8600, електронен адрес: oic_yambol@abv.bg;</w:t>
      </w:r>
    </w:p>
    <w:p w14:paraId="71FB7BFE" w14:textId="10DCF6A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12. Областен информационен център Велико Търново, действащ като структура за обслужване на едно гише с адрес: </w:t>
      </w:r>
      <w:r w:rsidR="002767AC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>ул. „Търговска“ 34, гр. Ямбол 8600, електронен адрес:  oic_vt@abv.bg;</w:t>
      </w:r>
    </w:p>
    <w:p w14:paraId="57D0B7D5" w14:textId="77777777" w:rsidR="00781F00" w:rsidRPr="00781F00" w:rsidRDefault="00781F00" w:rsidP="002767AC">
      <w:pPr>
        <w:spacing w:before="10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13. Областен информационен център Кюстендил, действащ като структура за обслужване на едно гише с адрес: ул. „Патриарх Евтимий“ № 18, гр. Кюстендил 2500, електронен адрес: oic_kn@abv.bg;</w:t>
      </w:r>
    </w:p>
    <w:p w14:paraId="7D294A41" w14:textId="3965D9FC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lastRenderedPageBreak/>
        <w:t>14. Областен информационен център Пловдив, действащ като структура за обслужване на едно гише с адрес: ул. „Авксентий Велешки“ № 20, гр. Пловдив 4000, електронен адрес: oic@plovdiv.bg.</w:t>
      </w:r>
    </w:p>
    <w:p w14:paraId="3412A4B0" w14:textId="77777777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15. Областен информационен център София, действащ като структура за обслужване на едно гише с адрес: бул. „Витоша“ № 99, гр. София 1000, електронен адрес: oic.sofia@gmail.com;</w:t>
      </w:r>
    </w:p>
    <w:p w14:paraId="4A44BE31" w14:textId="794F823D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16. Областен информационен център Видин, действащ като структура за обслужване на едно гише с адрес: пл. „Бдинци“ № 2, </w:t>
      </w:r>
      <w:r w:rsidR="002767AC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>гр. Видин 3700, електронен адрес: oic_vidin@abv.bg;</w:t>
      </w:r>
    </w:p>
    <w:p w14:paraId="4A4137DD" w14:textId="77777777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17. Областен информационен център Ловеч, действащ като структура за обслужване на едно гише с адрес: ул. „Търговска“ № 29, Барокови къщи, Ловеч 5500, електронен адрес: oic.lovetch@gmail.com;</w:t>
      </w:r>
    </w:p>
    <w:p w14:paraId="4308FFDD" w14:textId="7A4467F3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18. Областен информационен център Разград, действащ като структура за обслужване на едно гише с адрес: бул. „България“ № 34, гр. Разград 7200, електронен адрес: oic_razgrad@abv.bg;</w:t>
      </w:r>
    </w:p>
    <w:p w14:paraId="4B4C8E50" w14:textId="2D54D6FB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19. Областен информационен център Стара Загора, действащ като структура за обслужване на едно гише с адрес: </w:t>
      </w:r>
      <w:r w:rsidR="002767AC">
        <w:rPr>
          <w:rFonts w:ascii="Arial" w:eastAsia="Calibri" w:hAnsi="Arial" w:cs="Arial"/>
          <w:sz w:val="28"/>
          <w:szCs w:val="28"/>
          <w:lang w:val="bg-BG"/>
        </w:rPr>
        <w:br/>
      </w:r>
      <w:r w:rsidRPr="00781F00">
        <w:rPr>
          <w:rFonts w:ascii="Arial" w:eastAsia="Calibri" w:hAnsi="Arial" w:cs="Arial"/>
          <w:sz w:val="28"/>
          <w:szCs w:val="28"/>
          <w:lang w:val="bg-BG"/>
        </w:rPr>
        <w:t>бул. „Митрополит Методий Кусев“ № 9, гр. Стара Загора 6000, електронен адрес: oic.stz@gmail.com;</w:t>
      </w:r>
    </w:p>
    <w:p w14:paraId="52FC6269" w14:textId="77777777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20. Областен информационен център Враца, действащ като структура за обслужване на едно гише с адрес: ул. „Полковник </w:t>
      </w:r>
      <w:proofErr w:type="spellStart"/>
      <w:r w:rsidRPr="00781F00">
        <w:rPr>
          <w:rFonts w:ascii="Arial" w:eastAsia="Calibri" w:hAnsi="Arial" w:cs="Arial"/>
          <w:sz w:val="28"/>
          <w:szCs w:val="28"/>
          <w:lang w:val="bg-BG"/>
        </w:rPr>
        <w:t>Кетхудов</w:t>
      </w:r>
      <w:proofErr w:type="spellEnd"/>
      <w:r w:rsidRPr="00781F00">
        <w:rPr>
          <w:rFonts w:ascii="Arial" w:eastAsia="Calibri" w:hAnsi="Arial" w:cs="Arial"/>
          <w:sz w:val="28"/>
          <w:szCs w:val="28"/>
          <w:lang w:val="bg-BG"/>
        </w:rPr>
        <w:t xml:space="preserve">“ № 4, гр. Враца 3000, електронен адрес: </w:t>
      </w:r>
      <w:hyperlink r:id="rId16" w:history="1">
        <w:r w:rsidRPr="00781F00">
          <w:rPr>
            <w:rFonts w:ascii="Arial" w:eastAsia="Calibri" w:hAnsi="Arial" w:cs="Arial"/>
            <w:sz w:val="28"/>
            <w:szCs w:val="28"/>
            <w:u w:val="single"/>
            <w:lang w:val="bg-BG"/>
          </w:rPr>
          <w:t>oic_vratza@abv.bg</w:t>
        </w:r>
      </w:hyperlink>
      <w:r w:rsidRPr="00781F00">
        <w:rPr>
          <w:rFonts w:ascii="Arial" w:eastAsia="Calibri" w:hAnsi="Arial" w:cs="Arial"/>
          <w:sz w:val="28"/>
          <w:szCs w:val="28"/>
          <w:lang w:val="bg-BG"/>
        </w:rPr>
        <w:t>;</w:t>
      </w:r>
    </w:p>
    <w:p w14:paraId="37583DB2" w14:textId="77777777" w:rsidR="00781F00" w:rsidRPr="00781F00" w:rsidRDefault="00781F00" w:rsidP="00302909">
      <w:pPr>
        <w:spacing w:before="60" w:line="283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81F00">
        <w:rPr>
          <w:rFonts w:ascii="Arial" w:eastAsia="Calibri" w:hAnsi="Arial" w:cs="Arial"/>
          <w:sz w:val="28"/>
          <w:szCs w:val="28"/>
          <w:lang w:val="bg-BG"/>
        </w:rPr>
        <w:t>21. Областен информационен център Търговище, действащ като структура за обслужване на едно гише с адрес: ул. „Стефан Куцаров“ № 28, гр. Търговище 7700, електронен адрес: oic_targovishte@abv.bg.“.</w:t>
      </w:r>
    </w:p>
    <w:p w14:paraId="0C1E80E8" w14:textId="77777777" w:rsidR="00F322F9" w:rsidRPr="00781F0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81F0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155F02C" w14:textId="77777777" w:rsidR="00803B29" w:rsidRPr="002E2588" w:rsidRDefault="00803B29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18EBA81F" w14:textId="77777777" w:rsidR="00803B29" w:rsidRPr="00480A9C" w:rsidRDefault="00803B29">
      <w:pPr>
        <w:ind w:firstLine="1134"/>
        <w:rPr>
          <w:rFonts w:ascii="Arial" w:hAnsi="Arial"/>
          <w:b/>
          <w:szCs w:val="24"/>
        </w:rPr>
      </w:pPr>
    </w:p>
    <w:p w14:paraId="239D6276" w14:textId="77777777" w:rsidR="00803B29" w:rsidRPr="00480A9C" w:rsidRDefault="00803B29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67D7215B" w14:textId="77777777" w:rsidR="00803B29" w:rsidRPr="00480A9C" w:rsidRDefault="00803B29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43278DC1" w14:textId="77777777" w:rsidR="00803B29" w:rsidRPr="00480A9C" w:rsidRDefault="00803B29">
      <w:pPr>
        <w:ind w:left="1134"/>
        <w:rPr>
          <w:rFonts w:ascii="Arial" w:hAnsi="Arial"/>
          <w:b/>
          <w:szCs w:val="24"/>
        </w:rPr>
      </w:pPr>
    </w:p>
    <w:sectPr w:rsidR="00803B29" w:rsidRPr="00480A9C" w:rsidSect="00561EC6">
      <w:headerReference w:type="even" r:id="rId17"/>
      <w:headerReference w:type="default" r:id="rId18"/>
      <w:footerReference w:type="default" r:id="rId19"/>
      <w:footerReference w:type="first" r:id="rId20"/>
      <w:pgSz w:w="11907" w:h="16840" w:code="9"/>
      <w:pgMar w:top="426" w:right="1417" w:bottom="851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BC721" w14:textId="77777777" w:rsidR="005407B8" w:rsidRDefault="005407B8">
      <w:r>
        <w:separator/>
      </w:r>
    </w:p>
  </w:endnote>
  <w:endnote w:type="continuationSeparator" w:id="0">
    <w:p w14:paraId="08183A74" w14:textId="77777777" w:rsidR="005407B8" w:rsidRDefault="0054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56D61882" w:rsidR="00C2659E" w:rsidRDefault="0004091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A03426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6E7718E7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27ED" w14:textId="77777777" w:rsidR="005407B8" w:rsidRDefault="005407B8">
      <w:r>
        <w:separator/>
      </w:r>
    </w:p>
  </w:footnote>
  <w:footnote w:type="continuationSeparator" w:id="0">
    <w:p w14:paraId="512E32FC" w14:textId="77777777" w:rsidR="005407B8" w:rsidRDefault="0054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41CC"/>
    <w:multiLevelType w:val="hybridMultilevel"/>
    <w:tmpl w:val="C1EE760E"/>
    <w:lvl w:ilvl="0" w:tplc="2C4A99AC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6467" w:hanging="360"/>
      </w:pPr>
    </w:lvl>
    <w:lvl w:ilvl="2" w:tplc="0402001B" w:tentative="1">
      <w:start w:val="1"/>
      <w:numFmt w:val="lowerRoman"/>
      <w:lvlText w:val="%3."/>
      <w:lvlJc w:val="right"/>
      <w:pPr>
        <w:ind w:left="7187" w:hanging="180"/>
      </w:pPr>
    </w:lvl>
    <w:lvl w:ilvl="3" w:tplc="0402000F" w:tentative="1">
      <w:start w:val="1"/>
      <w:numFmt w:val="decimal"/>
      <w:lvlText w:val="%4."/>
      <w:lvlJc w:val="left"/>
      <w:pPr>
        <w:ind w:left="7907" w:hanging="360"/>
      </w:pPr>
    </w:lvl>
    <w:lvl w:ilvl="4" w:tplc="04020019" w:tentative="1">
      <w:start w:val="1"/>
      <w:numFmt w:val="lowerLetter"/>
      <w:lvlText w:val="%5."/>
      <w:lvlJc w:val="left"/>
      <w:pPr>
        <w:ind w:left="8627" w:hanging="360"/>
      </w:pPr>
    </w:lvl>
    <w:lvl w:ilvl="5" w:tplc="0402001B" w:tentative="1">
      <w:start w:val="1"/>
      <w:numFmt w:val="lowerRoman"/>
      <w:lvlText w:val="%6."/>
      <w:lvlJc w:val="right"/>
      <w:pPr>
        <w:ind w:left="9347" w:hanging="180"/>
      </w:pPr>
    </w:lvl>
    <w:lvl w:ilvl="6" w:tplc="0402000F" w:tentative="1">
      <w:start w:val="1"/>
      <w:numFmt w:val="decimal"/>
      <w:lvlText w:val="%7."/>
      <w:lvlJc w:val="left"/>
      <w:pPr>
        <w:ind w:left="10067" w:hanging="360"/>
      </w:pPr>
    </w:lvl>
    <w:lvl w:ilvl="7" w:tplc="04020019" w:tentative="1">
      <w:start w:val="1"/>
      <w:numFmt w:val="lowerLetter"/>
      <w:lvlText w:val="%8."/>
      <w:lvlJc w:val="left"/>
      <w:pPr>
        <w:ind w:left="10787" w:hanging="360"/>
      </w:pPr>
    </w:lvl>
    <w:lvl w:ilvl="8" w:tplc="040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35153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091A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2706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767AC"/>
    <w:rsid w:val="0028035E"/>
    <w:rsid w:val="002855FD"/>
    <w:rsid w:val="0029038B"/>
    <w:rsid w:val="002A36FC"/>
    <w:rsid w:val="002A45D5"/>
    <w:rsid w:val="002B54E5"/>
    <w:rsid w:val="002C3FF6"/>
    <w:rsid w:val="002D43C8"/>
    <w:rsid w:val="002E0D9F"/>
    <w:rsid w:val="002E0EB9"/>
    <w:rsid w:val="002E5489"/>
    <w:rsid w:val="003002B5"/>
    <w:rsid w:val="003006BF"/>
    <w:rsid w:val="00302909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013A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7B8"/>
    <w:rsid w:val="00540889"/>
    <w:rsid w:val="00546A3E"/>
    <w:rsid w:val="00552705"/>
    <w:rsid w:val="00552AC9"/>
    <w:rsid w:val="00561EC6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0EBC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1F00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3B29"/>
    <w:rsid w:val="0080417B"/>
    <w:rsid w:val="0080619E"/>
    <w:rsid w:val="00821C9D"/>
    <w:rsid w:val="00822F40"/>
    <w:rsid w:val="00825EE4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29AB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A45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04B1"/>
    <w:rsid w:val="00CB1412"/>
    <w:rsid w:val="00CB6E59"/>
    <w:rsid w:val="00CC3531"/>
    <w:rsid w:val="00CD33DB"/>
    <w:rsid w:val="00CE0F4B"/>
    <w:rsid w:val="00CE4720"/>
    <w:rsid w:val="00CE552E"/>
    <w:rsid w:val="00CE64BF"/>
    <w:rsid w:val="00CF2C3A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0DF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34"/>
    <w:qFormat/>
    <w:rsid w:val="00781F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styleId="Hyperlink">
    <w:name w:val="Hyperlink"/>
    <w:basedOn w:val="DefaultParagraphFont"/>
    <w:uiPriority w:val="99"/>
    <w:unhideWhenUsed/>
    <w:rsid w:val="00781F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c@montana.bg" TargetMode="External"/><Relationship Id="rId13" Type="http://schemas.openxmlformats.org/officeDocument/2006/relationships/hyperlink" Target="mailto:oic_silistra@abv.b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oic.blagoevgrad@gmail.com" TargetMode="External"/><Relationship Id="rId12" Type="http://schemas.openxmlformats.org/officeDocument/2006/relationships/hyperlink" Target="mailto:oichaskovo@abv.b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ic_vratza@abv.b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ic.burga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ic_pernik@abv.bg" TargetMode="External"/><Relationship Id="rId10" Type="http://schemas.openxmlformats.org/officeDocument/2006/relationships/hyperlink" Target="mailto:oic_varna@abv.b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ic_ruse@abv.bg" TargetMode="External"/><Relationship Id="rId14" Type="http://schemas.openxmlformats.org/officeDocument/2006/relationships/hyperlink" Target="mailto:oic@gabrovo.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2025-11-06T07:52:00Z</dcterms:created>
  <dcterms:modified xsi:type="dcterms:W3CDTF">2025-11-06T07:52:00Z</dcterms:modified>
</cp:coreProperties>
</file>