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1D1B" w14:textId="77777777" w:rsidR="003E2029" w:rsidRPr="00B90491" w:rsidRDefault="003E2029" w:rsidP="003E2029">
      <w:pPr>
        <w:spacing w:line="360" w:lineRule="auto"/>
        <w:jc w:val="right"/>
        <w:rPr>
          <w:rFonts w:ascii="Verdana" w:hAnsi="Verdana"/>
          <w:b/>
          <w:bCs/>
          <w:color w:val="000000"/>
          <w:sz w:val="20"/>
          <w:lang w:val="bg-BG"/>
        </w:rPr>
      </w:pPr>
      <w:r w:rsidRPr="00B90491">
        <w:rPr>
          <w:rFonts w:ascii="Verdana" w:hAnsi="Verdana"/>
          <w:b/>
          <w:bCs/>
          <w:color w:val="000000"/>
          <w:sz w:val="20"/>
          <w:lang w:val="bg-BG"/>
        </w:rPr>
        <w:t>Приложение № 3</w:t>
      </w:r>
    </w:p>
    <w:p w14:paraId="6A6FA172" w14:textId="77777777" w:rsidR="003E2029" w:rsidRPr="00B90491" w:rsidRDefault="003E2029" w:rsidP="003E2029">
      <w:pPr>
        <w:spacing w:line="360" w:lineRule="auto"/>
        <w:jc w:val="right"/>
        <w:rPr>
          <w:rFonts w:ascii="Verdana" w:hAnsi="Verdana"/>
          <w:b/>
          <w:bCs/>
          <w:color w:val="000000"/>
          <w:sz w:val="20"/>
          <w:lang w:val="bg-BG"/>
        </w:rPr>
      </w:pPr>
      <w:r w:rsidRPr="00B90491">
        <w:rPr>
          <w:rFonts w:ascii="Verdana" w:hAnsi="Verdana"/>
          <w:b/>
          <w:bCs/>
          <w:color w:val="000000"/>
          <w:sz w:val="20"/>
          <w:lang w:val="bg-BG"/>
        </w:rPr>
        <w:t>към чл. 12, ал. 5 и чл. 13, ал. 4</w:t>
      </w:r>
    </w:p>
    <w:p w14:paraId="5791905E" w14:textId="77777777" w:rsidR="003E2029" w:rsidRPr="00B90491" w:rsidRDefault="003E2029" w:rsidP="003E2029">
      <w:pPr>
        <w:spacing w:line="360" w:lineRule="auto"/>
        <w:jc w:val="right"/>
        <w:rPr>
          <w:rFonts w:ascii="Verdana" w:hAnsi="Verdana"/>
          <w:b/>
          <w:bCs/>
          <w:color w:val="000000"/>
          <w:sz w:val="20"/>
          <w:lang w:val="bg-BG"/>
        </w:rPr>
      </w:pPr>
    </w:p>
    <w:p w14:paraId="065C4CF4" w14:textId="6B30DC4C" w:rsidR="003E2029" w:rsidRPr="00B90491" w:rsidRDefault="003E2029" w:rsidP="003E2029">
      <w:pPr>
        <w:spacing w:line="360" w:lineRule="auto"/>
        <w:jc w:val="center"/>
        <w:rPr>
          <w:rFonts w:ascii="Verdana" w:hAnsi="Verdana"/>
          <w:b/>
          <w:bCs/>
          <w:color w:val="000000"/>
          <w:sz w:val="20"/>
          <w:lang w:val="bg-BG"/>
        </w:rPr>
      </w:pPr>
      <w:bookmarkStart w:id="0" w:name="_Hlk206932369"/>
      <w:r w:rsidRPr="00B90491">
        <w:rPr>
          <w:rFonts w:ascii="Verdana" w:hAnsi="Verdana"/>
          <w:b/>
          <w:bCs/>
          <w:color w:val="000000"/>
          <w:sz w:val="20"/>
          <w:lang w:val="bg-BG"/>
        </w:rPr>
        <w:t xml:space="preserve">Методика за изчисляване на размера на допустима месечна компенсация за </w:t>
      </w:r>
      <w:r w:rsidR="00683B42">
        <w:rPr>
          <w:rFonts w:ascii="Verdana" w:hAnsi="Verdana"/>
          <w:b/>
          <w:bCs/>
          <w:color w:val="000000"/>
          <w:sz w:val="20"/>
          <w:lang w:val="bg-BG"/>
        </w:rPr>
        <w:br/>
      </w:r>
      <w:r w:rsidRPr="00B90491">
        <w:rPr>
          <w:rFonts w:ascii="Verdana" w:hAnsi="Verdana"/>
          <w:b/>
          <w:bCs/>
          <w:color w:val="000000"/>
          <w:sz w:val="20"/>
          <w:lang w:val="bg-BG"/>
        </w:rPr>
        <w:t xml:space="preserve">1 </w:t>
      </w:r>
      <w:proofErr w:type="spellStart"/>
      <w:r w:rsidRPr="00B90491">
        <w:rPr>
          <w:rFonts w:ascii="Verdana" w:hAnsi="Verdana"/>
          <w:b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/>
          <w:bCs/>
          <w:color w:val="000000"/>
          <w:sz w:val="20"/>
          <w:lang w:val="bg-BG"/>
        </w:rPr>
        <w:t xml:space="preserve"> и размера на допустимата компенсация за 1 </w:t>
      </w:r>
      <w:proofErr w:type="spellStart"/>
      <w:r w:rsidRPr="00B90491">
        <w:rPr>
          <w:rFonts w:ascii="Verdana" w:hAnsi="Verdana"/>
          <w:b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/>
          <w:bCs/>
          <w:color w:val="000000"/>
          <w:sz w:val="20"/>
          <w:lang w:val="bg-BG"/>
        </w:rPr>
        <w:t xml:space="preserve"> за ценови период</w:t>
      </w:r>
    </w:p>
    <w:bookmarkEnd w:id="0"/>
    <w:p w14:paraId="1E00E836" w14:textId="77777777" w:rsidR="003E2029" w:rsidRPr="00B90491" w:rsidRDefault="003E2029" w:rsidP="003E2029">
      <w:pPr>
        <w:spacing w:before="120"/>
        <w:jc w:val="both"/>
        <w:rPr>
          <w:rFonts w:ascii="Verdana" w:hAnsi="Verdana"/>
          <w:b/>
          <w:bCs/>
          <w:color w:val="000000"/>
          <w:sz w:val="20"/>
          <w:lang w:val="bg-BG"/>
        </w:rPr>
      </w:pPr>
      <w:r w:rsidRPr="00B90491">
        <w:rPr>
          <w:rFonts w:ascii="Verdana" w:hAnsi="Verdana"/>
          <w:b/>
          <w:bCs/>
          <w:color w:val="000000"/>
          <w:sz w:val="20"/>
          <w:lang w:val="bg-BG"/>
        </w:rPr>
        <w:t>Раздел I</w:t>
      </w:r>
    </w:p>
    <w:p w14:paraId="23D9229B" w14:textId="77777777" w:rsidR="003E2029" w:rsidRPr="00B90491" w:rsidRDefault="003E2029" w:rsidP="003E2029">
      <w:pPr>
        <w:spacing w:before="120"/>
        <w:jc w:val="both"/>
        <w:rPr>
          <w:rFonts w:ascii="Verdana" w:hAnsi="Verdana"/>
          <w:b/>
          <w:bCs/>
          <w:color w:val="000000"/>
          <w:sz w:val="20"/>
          <w:lang w:val="bg-BG"/>
        </w:rPr>
      </w:pPr>
      <w:r w:rsidRPr="00B90491">
        <w:rPr>
          <w:rFonts w:ascii="Verdana" w:hAnsi="Verdana"/>
          <w:b/>
          <w:bCs/>
          <w:color w:val="000000"/>
          <w:sz w:val="20"/>
          <w:lang w:val="bg-BG"/>
        </w:rPr>
        <w:t xml:space="preserve">Изчисляване на размера на допустима месечна компенсация  за 1 </w:t>
      </w:r>
      <w:proofErr w:type="spellStart"/>
      <w:r w:rsidRPr="00B90491">
        <w:rPr>
          <w:rFonts w:ascii="Verdana" w:hAnsi="Verdana"/>
          <w:b/>
          <w:bCs/>
          <w:color w:val="000000"/>
          <w:sz w:val="20"/>
          <w:lang w:val="bg-BG"/>
        </w:rPr>
        <w:t>MWh</w:t>
      </w:r>
      <w:proofErr w:type="spellEnd"/>
    </w:p>
    <w:p w14:paraId="5C11569E" w14:textId="77777777" w:rsidR="003E2029" w:rsidRPr="00B90491" w:rsidRDefault="003E2029" w:rsidP="003E2029">
      <w:pPr>
        <w:spacing w:before="120"/>
        <w:jc w:val="both"/>
        <w:rPr>
          <w:rFonts w:ascii="Verdana" w:hAnsi="Verdana"/>
          <w:bCs/>
          <w:color w:val="000000"/>
          <w:sz w:val="20"/>
          <w:lang w:val="bg-BG"/>
        </w:rPr>
      </w:pP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Pmax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ab/>
        <w:t>максимален размер на месечната компенсация</w:t>
      </w:r>
    </w:p>
    <w:p w14:paraId="2034E216" w14:textId="77777777" w:rsidR="003E2029" w:rsidRPr="00B90491" w:rsidRDefault="003E2029" w:rsidP="003E2029">
      <w:pPr>
        <w:spacing w:before="120"/>
        <w:jc w:val="both"/>
        <w:rPr>
          <w:rFonts w:ascii="Verdana" w:hAnsi="Verdana"/>
          <w:bCs/>
          <w:color w:val="000000"/>
          <w:sz w:val="20"/>
          <w:lang w:val="bg-BG"/>
        </w:rPr>
      </w:pP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Рк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ab/>
        <w:t xml:space="preserve">размер на дължима месечна компенсация за 1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</w:t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</w:r>
    </w:p>
    <w:p w14:paraId="27D2350B" w14:textId="77777777" w:rsidR="003E2029" w:rsidRPr="00B90491" w:rsidRDefault="003E2029" w:rsidP="003E2029">
      <w:pPr>
        <w:spacing w:before="120"/>
        <w:ind w:left="709" w:hanging="709"/>
        <w:jc w:val="both"/>
        <w:rPr>
          <w:rFonts w:ascii="Verdana" w:hAnsi="Verdana"/>
          <w:bCs/>
          <w:color w:val="000000"/>
          <w:sz w:val="20"/>
          <w:lang w:val="bg-BG"/>
        </w:rPr>
      </w:pPr>
      <w:r w:rsidRPr="00B90491">
        <w:rPr>
          <w:rFonts w:ascii="Verdana" w:hAnsi="Verdana"/>
          <w:bCs/>
          <w:color w:val="000000"/>
          <w:sz w:val="20"/>
          <w:lang w:val="bg-BG"/>
        </w:rPr>
        <w:t xml:space="preserve">СПб </w:t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  <w:t xml:space="preserve">среднопретеглена цена за базов товар на пазарен сегмент „Ден напред“ на организирания борсов пазар за конкретния месец за 1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</w:t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</w:r>
    </w:p>
    <w:p w14:paraId="4649B2AC" w14:textId="77777777" w:rsidR="003E2029" w:rsidRPr="00B90491" w:rsidRDefault="003E2029" w:rsidP="003E2029">
      <w:pPr>
        <w:spacing w:before="120"/>
        <w:ind w:left="709" w:hanging="709"/>
        <w:jc w:val="both"/>
        <w:rPr>
          <w:rFonts w:ascii="Verdana" w:hAnsi="Verdana"/>
          <w:bCs/>
          <w:color w:val="000000"/>
          <w:sz w:val="20"/>
          <w:lang w:val="bg-BG"/>
        </w:rPr>
      </w:pP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РСПк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 реално постигната среднопретеглена цена на потребената електрическа енергия от небитовия краен клиент за конкретния месец за 1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</w:t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</w:r>
    </w:p>
    <w:p w14:paraId="14585BDC" w14:textId="77777777" w:rsidR="003E2029" w:rsidRPr="00B90491" w:rsidRDefault="003E2029" w:rsidP="003E2029">
      <w:pPr>
        <w:spacing w:before="120"/>
        <w:ind w:left="709" w:hanging="709"/>
        <w:jc w:val="both"/>
        <w:rPr>
          <w:rFonts w:ascii="Verdana" w:hAnsi="Verdana"/>
          <w:bCs/>
          <w:color w:val="000000"/>
          <w:sz w:val="20"/>
          <w:lang w:val="bg-BG"/>
        </w:rPr>
      </w:pP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Пр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ab/>
        <w:t>стойност</w:t>
      </w:r>
      <w:r w:rsidRPr="00B90491">
        <w:rPr>
          <w:rFonts w:ascii="Verdana" w:eastAsia="Calibri" w:hAnsi="Verdana"/>
          <w:color w:val="000000"/>
          <w:sz w:val="20"/>
          <w:lang w:val="bg-BG"/>
        </w:rPr>
        <w:t xml:space="preserve"> на цената, под която</w:t>
      </w:r>
      <w:r w:rsidRPr="00B90491">
        <w:rPr>
          <w:rFonts w:ascii="Verdana" w:hAnsi="Verdana"/>
          <w:bCs/>
          <w:color w:val="000000"/>
          <w:sz w:val="20"/>
          <w:lang w:val="bg-BG"/>
        </w:rPr>
        <w:t xml:space="preserve"> не следва да пада намалената реална среднопретеглена цена на потребената електрическа енергия от предприятието за конкретния месец за 1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(пределна намалена цена)</w:t>
      </w:r>
    </w:p>
    <w:p w14:paraId="1CC8C590" w14:textId="77777777" w:rsidR="003E2029" w:rsidRPr="00B90491" w:rsidRDefault="003E2029" w:rsidP="003E2029">
      <w:pPr>
        <w:spacing w:before="120"/>
        <w:jc w:val="both"/>
        <w:rPr>
          <w:rFonts w:ascii="Verdana" w:hAnsi="Verdana"/>
          <w:bCs/>
          <w:color w:val="000000"/>
          <w:sz w:val="20"/>
          <w:lang w:val="bg-BG"/>
        </w:rPr>
      </w:pPr>
      <w:r w:rsidRPr="00B90491">
        <w:rPr>
          <w:rFonts w:ascii="Verdana" w:hAnsi="Verdana"/>
          <w:bCs/>
          <w:color w:val="000000"/>
          <w:sz w:val="20"/>
          <w:lang w:val="bg-BG"/>
        </w:rPr>
        <w:t>Начин на изчисление:</w:t>
      </w:r>
    </w:p>
    <w:p w14:paraId="5D4FF975" w14:textId="77777777" w:rsidR="003E2029" w:rsidRPr="00B90491" w:rsidRDefault="003E2029" w:rsidP="003E2029">
      <w:pPr>
        <w:spacing w:before="120"/>
        <w:jc w:val="both"/>
        <w:rPr>
          <w:rFonts w:ascii="Verdana" w:hAnsi="Verdana"/>
          <w:bCs/>
          <w:color w:val="000000"/>
          <w:sz w:val="20"/>
          <w:lang w:val="bg-BG"/>
        </w:rPr>
      </w:pP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Pmax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= 50%СПб</w:t>
      </w:r>
    </w:p>
    <w:p w14:paraId="6021D6AB" w14:textId="77777777" w:rsidR="003E2029" w:rsidRPr="00B90491" w:rsidRDefault="003E2029" w:rsidP="003E2029">
      <w:pPr>
        <w:spacing w:before="120"/>
        <w:jc w:val="both"/>
        <w:rPr>
          <w:rFonts w:ascii="Verdana" w:hAnsi="Verdana"/>
          <w:bCs/>
          <w:color w:val="000000"/>
          <w:sz w:val="20"/>
          <w:lang w:val="bg-BG"/>
        </w:rPr>
      </w:pP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Пр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= 125 лв./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или 63,91 евро/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за ценови период 1 юли 2025 – 30 юни 2026 г.</w:t>
      </w:r>
    </w:p>
    <w:p w14:paraId="0D353DCF" w14:textId="77777777" w:rsidR="003E2029" w:rsidRPr="00B90491" w:rsidRDefault="003E2029" w:rsidP="003E2029">
      <w:pPr>
        <w:spacing w:before="120"/>
        <w:jc w:val="both"/>
        <w:rPr>
          <w:rFonts w:ascii="Verdana" w:hAnsi="Verdana"/>
          <w:bCs/>
          <w:color w:val="000000"/>
          <w:sz w:val="20"/>
          <w:lang w:val="bg-BG"/>
        </w:rPr>
      </w:pPr>
      <w:r w:rsidRPr="00B90491">
        <w:rPr>
          <w:rFonts w:ascii="Verdana" w:hAnsi="Verdana"/>
          <w:bCs/>
          <w:color w:val="000000"/>
          <w:sz w:val="20"/>
          <w:lang w:val="bg-BG"/>
        </w:rPr>
        <w:t xml:space="preserve">1. Ако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РСПк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-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Pmax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&gt;=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Пр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, то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Рк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= 50%СПб</w:t>
      </w:r>
    </w:p>
    <w:p w14:paraId="4E90DFF3" w14:textId="77777777" w:rsidR="003E2029" w:rsidRPr="00B90491" w:rsidRDefault="003E2029" w:rsidP="003E2029">
      <w:pPr>
        <w:spacing w:before="120"/>
        <w:jc w:val="both"/>
        <w:rPr>
          <w:rFonts w:ascii="Verdana" w:hAnsi="Verdana"/>
          <w:bCs/>
          <w:color w:val="000000"/>
          <w:sz w:val="20"/>
          <w:lang w:val="bg-BG"/>
        </w:rPr>
      </w:pPr>
      <w:r w:rsidRPr="00B90491">
        <w:rPr>
          <w:rFonts w:ascii="Verdana" w:hAnsi="Verdana"/>
          <w:bCs/>
          <w:color w:val="000000"/>
          <w:sz w:val="20"/>
          <w:lang w:val="bg-BG"/>
        </w:rPr>
        <w:t xml:space="preserve">2. Ако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РСПк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-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Pmax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&lt;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Пр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, то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Рк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=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РСПк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-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Пр</w:t>
      </w:r>
      <w:proofErr w:type="spellEnd"/>
    </w:p>
    <w:p w14:paraId="26EC5E7F" w14:textId="77777777" w:rsidR="003E2029" w:rsidRPr="00B90491" w:rsidRDefault="003E2029" w:rsidP="003E2029">
      <w:pPr>
        <w:spacing w:before="120"/>
        <w:jc w:val="both"/>
        <w:rPr>
          <w:rFonts w:ascii="Verdana" w:hAnsi="Verdana"/>
          <w:b/>
          <w:bCs/>
          <w:color w:val="000000"/>
          <w:sz w:val="20"/>
          <w:lang w:val="bg-BG"/>
        </w:rPr>
      </w:pPr>
      <w:r w:rsidRPr="00B90491">
        <w:rPr>
          <w:rFonts w:ascii="Verdana" w:hAnsi="Verdana"/>
          <w:b/>
          <w:bCs/>
          <w:color w:val="000000"/>
          <w:sz w:val="20"/>
          <w:lang w:val="bg-BG"/>
        </w:rPr>
        <w:t>Раздел II</w:t>
      </w:r>
    </w:p>
    <w:p w14:paraId="54F1F338" w14:textId="77777777" w:rsidR="003E2029" w:rsidRPr="00B90491" w:rsidRDefault="003E2029" w:rsidP="003E2029">
      <w:pPr>
        <w:spacing w:before="120"/>
        <w:jc w:val="both"/>
        <w:rPr>
          <w:rFonts w:ascii="Verdana" w:hAnsi="Verdana"/>
          <w:b/>
          <w:bCs/>
          <w:color w:val="000000"/>
          <w:sz w:val="20"/>
          <w:lang w:val="bg-BG"/>
        </w:rPr>
      </w:pPr>
      <w:r w:rsidRPr="00B90491">
        <w:rPr>
          <w:rFonts w:ascii="Verdana" w:hAnsi="Verdana"/>
          <w:b/>
          <w:bCs/>
          <w:color w:val="000000"/>
          <w:sz w:val="20"/>
          <w:lang w:val="bg-BG"/>
        </w:rPr>
        <w:t xml:space="preserve">Изчисляване на размера на допустимата компенсация за 1 </w:t>
      </w:r>
      <w:proofErr w:type="spellStart"/>
      <w:r w:rsidRPr="00B90491">
        <w:rPr>
          <w:rFonts w:ascii="Verdana" w:hAnsi="Verdana"/>
          <w:b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/>
          <w:bCs/>
          <w:color w:val="000000"/>
          <w:sz w:val="20"/>
          <w:lang w:val="bg-BG"/>
        </w:rPr>
        <w:t xml:space="preserve"> за ценови период</w:t>
      </w:r>
    </w:p>
    <w:p w14:paraId="610C9750" w14:textId="77777777" w:rsidR="003E2029" w:rsidRPr="00B90491" w:rsidRDefault="003E2029" w:rsidP="003E2029">
      <w:pPr>
        <w:spacing w:before="120"/>
        <w:jc w:val="both"/>
        <w:rPr>
          <w:rFonts w:ascii="Verdana" w:hAnsi="Verdana"/>
          <w:bCs/>
          <w:color w:val="000000"/>
          <w:sz w:val="20"/>
          <w:lang w:val="bg-BG"/>
        </w:rPr>
      </w:pP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Pmax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-г </w:t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  <w:t>максимален размер на компенсацията за ценови период</w:t>
      </w:r>
    </w:p>
    <w:p w14:paraId="3B15CE73" w14:textId="77777777" w:rsidR="003E2029" w:rsidRPr="00B90491" w:rsidRDefault="003E2029" w:rsidP="003E2029">
      <w:pPr>
        <w:spacing w:before="120"/>
        <w:jc w:val="both"/>
        <w:rPr>
          <w:rFonts w:ascii="Verdana" w:hAnsi="Verdana"/>
          <w:b/>
          <w:bCs/>
          <w:color w:val="000000"/>
          <w:sz w:val="20"/>
          <w:lang w:val="bg-BG"/>
        </w:rPr>
      </w:pP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Рк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>-г</w:t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  <w:t xml:space="preserve"> </w:t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  <w:t xml:space="preserve">размер на дължима компенсация за 1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за ценови период</w:t>
      </w:r>
    </w:p>
    <w:p w14:paraId="4E9DEB51" w14:textId="77777777" w:rsidR="003E2029" w:rsidRPr="00B90491" w:rsidRDefault="003E2029" w:rsidP="003E2029">
      <w:pPr>
        <w:spacing w:before="120"/>
        <w:ind w:left="1418" w:hanging="1418"/>
        <w:jc w:val="both"/>
        <w:rPr>
          <w:rFonts w:ascii="Verdana" w:hAnsi="Verdana"/>
          <w:bCs/>
          <w:color w:val="000000"/>
          <w:sz w:val="20"/>
          <w:lang w:val="bg-BG"/>
        </w:rPr>
      </w:pPr>
      <w:r w:rsidRPr="00B90491">
        <w:rPr>
          <w:rFonts w:ascii="Verdana" w:hAnsi="Verdana"/>
          <w:bCs/>
          <w:color w:val="000000"/>
          <w:sz w:val="20"/>
          <w:lang w:val="bg-BG"/>
        </w:rPr>
        <w:t xml:space="preserve">СПб -г </w:t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  <w:t xml:space="preserve">среднопретеглена цена за базов товар на пазарен сегмент „Ден напред“ на организирания борсов пазар за 1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за ценови период</w:t>
      </w:r>
    </w:p>
    <w:p w14:paraId="1B595E97" w14:textId="77777777" w:rsidR="003E2029" w:rsidRPr="00B90491" w:rsidRDefault="003E2029" w:rsidP="003E2029">
      <w:pPr>
        <w:spacing w:before="120"/>
        <w:ind w:left="1418" w:hanging="1418"/>
        <w:jc w:val="both"/>
        <w:rPr>
          <w:rFonts w:ascii="Verdana" w:hAnsi="Verdana"/>
          <w:bCs/>
          <w:color w:val="000000"/>
          <w:sz w:val="20"/>
          <w:lang w:val="bg-BG"/>
        </w:rPr>
      </w:pP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РСПк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- г </w:t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  <w:t xml:space="preserve">реално постигната среднопретеглена цена на потребената електрическа енергия от предприятието за 1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за ценови период</w:t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</w:r>
    </w:p>
    <w:p w14:paraId="4E8E8A5E" w14:textId="77777777" w:rsidR="003E2029" w:rsidRPr="00B90491" w:rsidRDefault="003E2029" w:rsidP="003E2029">
      <w:pPr>
        <w:spacing w:before="120"/>
        <w:ind w:left="1418" w:hanging="1418"/>
        <w:jc w:val="both"/>
        <w:rPr>
          <w:rFonts w:ascii="Verdana" w:hAnsi="Verdana"/>
          <w:bCs/>
          <w:color w:val="000000"/>
          <w:sz w:val="20"/>
          <w:lang w:val="bg-BG"/>
        </w:rPr>
      </w:pP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Пр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ab/>
      </w:r>
      <w:r w:rsidRPr="00B90491">
        <w:rPr>
          <w:rFonts w:ascii="Verdana" w:eastAsia="Calibri" w:hAnsi="Verdana"/>
          <w:color w:val="000000"/>
          <w:sz w:val="20"/>
          <w:lang w:val="bg-BG"/>
        </w:rPr>
        <w:t>стойност на цената, под която</w:t>
      </w:r>
      <w:r w:rsidRPr="00B90491">
        <w:rPr>
          <w:rFonts w:ascii="Verdana" w:hAnsi="Verdana"/>
          <w:bCs/>
          <w:color w:val="000000"/>
          <w:sz w:val="20"/>
          <w:lang w:val="bg-BG"/>
        </w:rPr>
        <w:t xml:space="preserve"> не следва да пада намалената реална среднопретеглена цена на потребената електрическа енергия от предприятието за 1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за ценови период (пределна намалена цена)</w:t>
      </w:r>
    </w:p>
    <w:p w14:paraId="4D5F04E0" w14:textId="77777777" w:rsidR="003E2029" w:rsidRPr="00B90491" w:rsidRDefault="003E2029" w:rsidP="003E2029">
      <w:pPr>
        <w:spacing w:before="120"/>
        <w:jc w:val="both"/>
        <w:rPr>
          <w:rFonts w:ascii="Verdana" w:hAnsi="Verdana"/>
          <w:bCs/>
          <w:color w:val="000000"/>
          <w:sz w:val="20"/>
          <w:lang w:val="bg-BG"/>
        </w:rPr>
      </w:pPr>
      <w:r w:rsidRPr="00B90491">
        <w:rPr>
          <w:rFonts w:ascii="Verdana" w:hAnsi="Verdana"/>
          <w:bCs/>
          <w:color w:val="000000"/>
          <w:sz w:val="20"/>
          <w:lang w:val="bg-BG"/>
        </w:rPr>
        <w:t>Начин на изчисление:</w:t>
      </w:r>
    </w:p>
    <w:p w14:paraId="514ADF37" w14:textId="77777777" w:rsidR="003E2029" w:rsidRPr="00B90491" w:rsidRDefault="003E2029" w:rsidP="003E2029">
      <w:pPr>
        <w:spacing w:before="120"/>
        <w:jc w:val="both"/>
        <w:rPr>
          <w:rFonts w:ascii="Verdana" w:hAnsi="Verdana"/>
          <w:bCs/>
          <w:color w:val="000000"/>
          <w:sz w:val="20"/>
          <w:lang w:val="bg-BG"/>
        </w:rPr>
      </w:pP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Pmax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>-г = 50%СПб-г</w:t>
      </w:r>
    </w:p>
    <w:p w14:paraId="406212A7" w14:textId="77777777" w:rsidR="003E2029" w:rsidRPr="00B90491" w:rsidRDefault="003E2029" w:rsidP="003E2029">
      <w:pPr>
        <w:spacing w:before="120"/>
        <w:jc w:val="both"/>
        <w:rPr>
          <w:rFonts w:ascii="Verdana" w:hAnsi="Verdana"/>
          <w:bCs/>
          <w:color w:val="000000"/>
          <w:sz w:val="20"/>
          <w:lang w:val="bg-BG"/>
        </w:rPr>
      </w:pP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Пр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= 125 лв./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или 63,91 евро/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MWh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за ценови период 1 юли 2025 – 30 юни 2026 г.</w:t>
      </w:r>
    </w:p>
    <w:p w14:paraId="0D726A10" w14:textId="77777777" w:rsidR="003E2029" w:rsidRPr="00B90491" w:rsidRDefault="003E2029" w:rsidP="003E2029">
      <w:pPr>
        <w:spacing w:before="120"/>
        <w:jc w:val="both"/>
        <w:rPr>
          <w:rFonts w:ascii="Verdana" w:hAnsi="Verdana"/>
          <w:bCs/>
          <w:color w:val="000000"/>
          <w:sz w:val="20"/>
          <w:lang w:val="bg-BG"/>
        </w:rPr>
      </w:pPr>
      <w:r w:rsidRPr="00B90491">
        <w:rPr>
          <w:rFonts w:ascii="Verdana" w:hAnsi="Verdana"/>
          <w:bCs/>
          <w:color w:val="000000"/>
          <w:sz w:val="20"/>
          <w:lang w:val="bg-BG"/>
        </w:rPr>
        <w:t xml:space="preserve">1. Ако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РСПк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-г –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Pmax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>-г &gt;=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Пр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>, то</w:t>
      </w:r>
      <w:r w:rsidRPr="00B90491">
        <w:rPr>
          <w:rFonts w:ascii="Verdana" w:hAnsi="Verdana"/>
          <w:bCs/>
          <w:color w:val="000000"/>
          <w:sz w:val="20"/>
          <w:lang w:val="bg-BG"/>
        </w:rPr>
        <w:tab/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Рк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>-г = 50%СПб-г</w:t>
      </w:r>
    </w:p>
    <w:p w14:paraId="795B8FAC" w14:textId="77777777" w:rsidR="003E2029" w:rsidRPr="00B90491" w:rsidRDefault="003E2029" w:rsidP="003E2029">
      <w:pPr>
        <w:spacing w:before="120"/>
        <w:jc w:val="both"/>
        <w:rPr>
          <w:rFonts w:ascii="Times New Roman" w:hAnsi="Times New Roman"/>
          <w:sz w:val="26"/>
          <w:szCs w:val="26"/>
          <w:lang w:val="bg-BG"/>
        </w:rPr>
      </w:pPr>
      <w:r w:rsidRPr="00B90491">
        <w:rPr>
          <w:rFonts w:ascii="Verdana" w:hAnsi="Verdana"/>
          <w:bCs/>
          <w:color w:val="000000"/>
          <w:sz w:val="20"/>
          <w:lang w:val="bg-BG"/>
        </w:rPr>
        <w:t xml:space="preserve">2. Ако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РСПк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-г –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Pmax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-г &lt;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Пр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 то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Рк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-г =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РСПк</w:t>
      </w:r>
      <w:proofErr w:type="spellEnd"/>
      <w:r w:rsidRPr="00B90491">
        <w:rPr>
          <w:rFonts w:ascii="Verdana" w:hAnsi="Verdana"/>
          <w:bCs/>
          <w:color w:val="000000"/>
          <w:sz w:val="20"/>
          <w:lang w:val="bg-BG"/>
        </w:rPr>
        <w:t xml:space="preserve">-г – </w:t>
      </w:r>
      <w:proofErr w:type="spellStart"/>
      <w:r w:rsidRPr="00B90491">
        <w:rPr>
          <w:rFonts w:ascii="Verdana" w:hAnsi="Verdana"/>
          <w:bCs/>
          <w:color w:val="000000"/>
          <w:sz w:val="20"/>
          <w:lang w:val="bg-BG"/>
        </w:rPr>
        <w:t>Пр</w:t>
      </w:r>
      <w:proofErr w:type="spellEnd"/>
    </w:p>
    <w:p w14:paraId="3315662E" w14:textId="77777777" w:rsidR="0030326B" w:rsidRDefault="0030326B"/>
    <w:sectPr w:rsidR="0030326B" w:rsidSect="003E2029">
      <w:footerReference w:type="default" r:id="rId6"/>
      <w:pgSz w:w="12241" w:h="15841"/>
      <w:pgMar w:top="1276" w:right="1185" w:bottom="992" w:left="1701" w:header="720" w:footer="54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55C0" w14:textId="77777777" w:rsidR="005F6F04" w:rsidRDefault="005F6F04">
      <w:r>
        <w:separator/>
      </w:r>
    </w:p>
  </w:endnote>
  <w:endnote w:type="continuationSeparator" w:id="0">
    <w:p w14:paraId="5702AC3F" w14:textId="77777777" w:rsidR="005F6F04" w:rsidRDefault="005F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AB9A" w14:textId="77777777" w:rsidR="00E277A4" w:rsidRPr="00DD48AE" w:rsidRDefault="00E277A4" w:rsidP="00DD48AE">
    <w:pPr>
      <w:pStyle w:val="Footer"/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AF97" w14:textId="77777777" w:rsidR="005F6F04" w:rsidRDefault="005F6F04">
      <w:r>
        <w:separator/>
      </w:r>
    </w:p>
  </w:footnote>
  <w:footnote w:type="continuationSeparator" w:id="0">
    <w:p w14:paraId="22CAB3B8" w14:textId="77777777" w:rsidR="005F6F04" w:rsidRDefault="005F6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3"/>
    <w:rsid w:val="001418CE"/>
    <w:rsid w:val="00204207"/>
    <w:rsid w:val="0030326B"/>
    <w:rsid w:val="0031650B"/>
    <w:rsid w:val="00333B97"/>
    <w:rsid w:val="00382147"/>
    <w:rsid w:val="003958FE"/>
    <w:rsid w:val="003E2029"/>
    <w:rsid w:val="004758B5"/>
    <w:rsid w:val="005A0E19"/>
    <w:rsid w:val="005F6F04"/>
    <w:rsid w:val="00683B42"/>
    <w:rsid w:val="007229AA"/>
    <w:rsid w:val="007C7EB7"/>
    <w:rsid w:val="00903137"/>
    <w:rsid w:val="009827BE"/>
    <w:rsid w:val="00A448BE"/>
    <w:rsid w:val="00A92242"/>
    <w:rsid w:val="00B442A6"/>
    <w:rsid w:val="00B93F42"/>
    <w:rsid w:val="00E277A4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423B"/>
  <w15:chartTrackingRefBased/>
  <w15:docId w15:val="{B960B9D4-E2B5-4149-AFF5-14248262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bg-BG" w:eastAsia="en-US" w:bidi="ar-SA"/>
      </w:rPr>
    </w:rPrDefault>
    <w:pPrDefault>
      <w:pPr>
        <w:spacing w:line="288" w:lineRule="auto"/>
        <w:ind w:firstLine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29"/>
    <w:pPr>
      <w:spacing w:line="240" w:lineRule="auto"/>
      <w:ind w:firstLine="0"/>
    </w:pPr>
    <w:rPr>
      <w:rFonts w:ascii="Hebar" w:eastAsia="Times New Roman" w:hAnsi="Hebar" w:cs="Times New Roman"/>
      <w:b w:val="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223"/>
    <w:pPr>
      <w:keepNext/>
      <w:keepLines/>
      <w:spacing w:before="360" w:after="80" w:line="288" w:lineRule="auto"/>
      <w:ind w:firstLine="1134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223"/>
    <w:pPr>
      <w:keepNext/>
      <w:keepLines/>
      <w:spacing w:before="160" w:after="80" w:line="288" w:lineRule="auto"/>
      <w:ind w:firstLine="1134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223"/>
    <w:pPr>
      <w:keepNext/>
      <w:keepLines/>
      <w:spacing w:before="160" w:after="80" w:line="288" w:lineRule="auto"/>
      <w:ind w:firstLine="1134"/>
      <w:outlineLvl w:val="2"/>
    </w:pPr>
    <w:rPr>
      <w:rFonts w:asciiTheme="minorHAnsi" w:eastAsiaTheme="majorEastAsia" w:hAnsiTheme="minorHAnsi" w:cstheme="majorBidi"/>
      <w:b/>
      <w:color w:val="0F4761" w:themeColor="accent1" w:themeShade="BF"/>
      <w:sz w:val="28"/>
      <w:szCs w:val="28"/>
      <w:lang w:val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223"/>
    <w:pPr>
      <w:keepNext/>
      <w:keepLines/>
      <w:spacing w:before="80" w:after="40" w:line="288" w:lineRule="auto"/>
      <w:ind w:firstLine="1134"/>
      <w:outlineLvl w:val="3"/>
    </w:pPr>
    <w:rPr>
      <w:rFonts w:asciiTheme="minorHAnsi" w:eastAsiaTheme="majorEastAsia" w:hAnsiTheme="minorHAnsi" w:cstheme="majorBidi"/>
      <w:b/>
      <w:i/>
      <w:iCs/>
      <w:color w:val="0F4761" w:themeColor="accent1" w:themeShade="BF"/>
      <w:szCs w:val="24"/>
      <w:lang w:val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223"/>
    <w:pPr>
      <w:keepNext/>
      <w:keepLines/>
      <w:spacing w:before="80" w:after="40" w:line="288" w:lineRule="auto"/>
      <w:ind w:firstLine="1134"/>
      <w:outlineLvl w:val="4"/>
    </w:pPr>
    <w:rPr>
      <w:rFonts w:asciiTheme="minorHAnsi" w:eastAsiaTheme="majorEastAsia" w:hAnsiTheme="minorHAnsi" w:cstheme="majorBidi"/>
      <w:b/>
      <w:color w:val="0F4761" w:themeColor="accent1" w:themeShade="BF"/>
      <w:szCs w:val="24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223"/>
    <w:pPr>
      <w:keepNext/>
      <w:keepLines/>
      <w:spacing w:before="40" w:line="288" w:lineRule="auto"/>
      <w:ind w:firstLine="1134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szCs w:val="24"/>
      <w:lang w:val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223"/>
    <w:pPr>
      <w:keepNext/>
      <w:keepLines/>
      <w:spacing w:before="40" w:line="288" w:lineRule="auto"/>
      <w:ind w:firstLine="1134"/>
      <w:outlineLvl w:val="6"/>
    </w:pPr>
    <w:rPr>
      <w:rFonts w:asciiTheme="minorHAnsi" w:eastAsiaTheme="majorEastAsia" w:hAnsiTheme="minorHAnsi" w:cstheme="majorBidi"/>
      <w:b/>
      <w:color w:val="595959" w:themeColor="text1" w:themeTint="A6"/>
      <w:szCs w:val="24"/>
      <w:lang w:val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223"/>
    <w:pPr>
      <w:keepNext/>
      <w:keepLines/>
      <w:spacing w:line="288" w:lineRule="auto"/>
      <w:ind w:firstLine="1134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223"/>
    <w:pPr>
      <w:keepNext/>
      <w:keepLines/>
      <w:spacing w:line="288" w:lineRule="auto"/>
      <w:ind w:firstLine="1134"/>
      <w:outlineLvl w:val="8"/>
    </w:pPr>
    <w:rPr>
      <w:rFonts w:asciiTheme="minorHAnsi" w:eastAsiaTheme="majorEastAsia" w:hAnsiTheme="minorHAnsi" w:cstheme="majorBidi"/>
      <w:b/>
      <w:color w:val="272727" w:themeColor="text1" w:themeTint="D8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2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2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2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2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2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2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2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223"/>
    <w:pPr>
      <w:spacing w:after="80"/>
      <w:ind w:firstLine="1134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FD6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223"/>
    <w:pPr>
      <w:numPr>
        <w:ilvl w:val="1"/>
      </w:numPr>
      <w:spacing w:after="160" w:line="288" w:lineRule="auto"/>
      <w:ind w:firstLine="1134"/>
    </w:pPr>
    <w:rPr>
      <w:rFonts w:asciiTheme="minorHAnsi" w:eastAsiaTheme="majorEastAsia" w:hAnsiTheme="minorHAnsi" w:cstheme="majorBidi"/>
      <w:b/>
      <w:color w:val="595959" w:themeColor="text1" w:themeTint="A6"/>
      <w:spacing w:val="15"/>
      <w:sz w:val="28"/>
      <w:szCs w:val="28"/>
      <w:lang w:val="bg-BG"/>
    </w:rPr>
  </w:style>
  <w:style w:type="character" w:customStyle="1" w:styleId="SubtitleChar">
    <w:name w:val="Subtitle Char"/>
    <w:basedOn w:val="DefaultParagraphFont"/>
    <w:link w:val="Subtitle"/>
    <w:uiPriority w:val="11"/>
    <w:rsid w:val="00FD62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223"/>
    <w:pPr>
      <w:spacing w:before="160" w:after="160" w:line="288" w:lineRule="auto"/>
      <w:ind w:firstLine="1134"/>
      <w:jc w:val="center"/>
    </w:pPr>
    <w:rPr>
      <w:rFonts w:ascii="Arial" w:eastAsiaTheme="minorHAnsi" w:hAnsi="Arial" w:cs="Arial"/>
      <w:b/>
      <w:i/>
      <w:iCs/>
      <w:color w:val="404040" w:themeColor="text1" w:themeTint="BF"/>
      <w:szCs w:val="24"/>
      <w:lang w:val="bg-BG"/>
    </w:rPr>
  </w:style>
  <w:style w:type="character" w:customStyle="1" w:styleId="QuoteChar">
    <w:name w:val="Quote Char"/>
    <w:basedOn w:val="DefaultParagraphFont"/>
    <w:link w:val="Quote"/>
    <w:uiPriority w:val="29"/>
    <w:rsid w:val="00FD6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223"/>
    <w:pPr>
      <w:spacing w:line="288" w:lineRule="auto"/>
      <w:ind w:left="720" w:firstLine="1134"/>
      <w:contextualSpacing/>
    </w:pPr>
    <w:rPr>
      <w:rFonts w:ascii="Arial" w:eastAsiaTheme="minorHAnsi" w:hAnsi="Arial" w:cs="Arial"/>
      <w:b/>
      <w:szCs w:val="24"/>
      <w:lang w:val="bg-BG"/>
    </w:rPr>
  </w:style>
  <w:style w:type="character" w:styleId="IntenseEmphasis">
    <w:name w:val="Intense Emphasis"/>
    <w:basedOn w:val="DefaultParagraphFont"/>
    <w:uiPriority w:val="21"/>
    <w:qFormat/>
    <w:rsid w:val="00FD6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8" w:lineRule="auto"/>
      <w:ind w:left="864" w:right="864" w:firstLine="1134"/>
      <w:jc w:val="center"/>
    </w:pPr>
    <w:rPr>
      <w:rFonts w:ascii="Arial" w:eastAsiaTheme="minorHAnsi" w:hAnsi="Arial" w:cs="Arial"/>
      <w:b/>
      <w:i/>
      <w:iCs/>
      <w:color w:val="0F4761" w:themeColor="accent1" w:themeShade="BF"/>
      <w:szCs w:val="24"/>
      <w:lang w:val="bg-B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223"/>
    <w:rPr>
      <w:b w:val="0"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3E20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2029"/>
    <w:rPr>
      <w:rFonts w:ascii="Hebar" w:eastAsia="Times New Roman" w:hAnsi="Hebar" w:cs="Times New Roman"/>
      <w:b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Стоянова</dc:creator>
  <cp:keywords/>
  <dc:description/>
  <cp:lastModifiedBy>Мария Любомирова Карагьозова</cp:lastModifiedBy>
  <cp:revision>2</cp:revision>
  <dcterms:created xsi:type="dcterms:W3CDTF">2025-11-10T07:20:00Z</dcterms:created>
  <dcterms:modified xsi:type="dcterms:W3CDTF">2025-11-10T07:20:00Z</dcterms:modified>
</cp:coreProperties>
</file>