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E9CDF37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548E8C0" w14:textId="77777777" w:rsidR="00847CFD" w:rsidRPr="00847CFD" w:rsidRDefault="00847CFD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5B1FE988" w:rsidR="001D6269" w:rsidRPr="0028035E" w:rsidRDefault="005155B7" w:rsidP="0040560B">
      <w:pPr>
        <w:jc w:val="right"/>
        <w:rPr>
          <w:rFonts w:ascii="Arial" w:hAnsi="Arial"/>
          <w:b/>
          <w:szCs w:val="24"/>
          <w:lang w:val="bg-BG"/>
        </w:rPr>
      </w:pPr>
      <w:r w:rsidRPr="005155B7"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336AE7C8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5155B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776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00AEFBCE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5155B7">
        <w:rPr>
          <w:rFonts w:ascii="Times New Roman" w:hAnsi="Times New Roman"/>
          <w:b/>
          <w:sz w:val="30"/>
          <w:szCs w:val="30"/>
          <w:lang w:val="bg-BG"/>
        </w:rPr>
        <w:t>12  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62CA44FA" w:rsidR="00891781" w:rsidRPr="007046C7" w:rsidRDefault="001D6269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7046C7" w:rsidRPr="007046C7">
        <w:rPr>
          <w:rFonts w:ascii="Times New Roman" w:eastAsia="Calibri" w:hAnsi="Times New Roman"/>
          <w:b/>
          <w:szCs w:val="24"/>
          <w:lang w:val="bg-BG" w:eastAsia="bg-BG"/>
        </w:rPr>
        <w:t xml:space="preserve"> </w:t>
      </w:r>
      <w:r w:rsidR="007046C7" w:rsidRPr="007046C7">
        <w:rPr>
          <w:rFonts w:ascii="Arial" w:hAnsi="Arial" w:cs="Arial"/>
          <w:b/>
          <w:smallCaps/>
          <w:sz w:val="28"/>
          <w:szCs w:val="28"/>
          <w:lang w:val="bg-BG"/>
        </w:rPr>
        <w:t>изплащане на обезщетения по решенията на Европейския съд по правата на човека по делата „</w:t>
      </w:r>
      <w:proofErr w:type="spellStart"/>
      <w:r w:rsidR="007046C7" w:rsidRPr="007046C7">
        <w:rPr>
          <w:rFonts w:ascii="Arial" w:hAnsi="Arial" w:cs="Arial"/>
          <w:b/>
          <w:smallCaps/>
          <w:sz w:val="28"/>
          <w:szCs w:val="28"/>
          <w:lang w:val="bg-BG"/>
        </w:rPr>
        <w:t>Педев</w:t>
      </w:r>
      <w:proofErr w:type="spellEnd"/>
      <w:r w:rsidR="007046C7" w:rsidRPr="007046C7">
        <w:rPr>
          <w:rFonts w:ascii="Arial" w:hAnsi="Arial" w:cs="Arial"/>
          <w:b/>
          <w:smallCaps/>
          <w:sz w:val="28"/>
          <w:szCs w:val="28"/>
          <w:lang w:val="bg-BG"/>
        </w:rPr>
        <w:t xml:space="preserve"> срещу България“ (жалба </w:t>
      </w:r>
      <w:r w:rsidR="00CF4214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7046C7" w:rsidRPr="007046C7">
        <w:rPr>
          <w:rFonts w:ascii="Arial" w:hAnsi="Arial" w:cs="Arial"/>
          <w:b/>
          <w:smallCaps/>
          <w:sz w:val="28"/>
          <w:szCs w:val="28"/>
          <w:lang w:val="bg-BG"/>
        </w:rPr>
        <w:t>№ 27165/21), „Мустафа и Мустафова срещу България“ (жалба № 7428/17), „Станоев и други срещу България“ (жалба № 29331/22) и „</w:t>
      </w:r>
      <w:proofErr w:type="spellStart"/>
      <w:r w:rsidR="007046C7" w:rsidRPr="007046C7">
        <w:rPr>
          <w:rFonts w:ascii="Arial" w:hAnsi="Arial" w:cs="Arial"/>
          <w:b/>
          <w:smallCaps/>
          <w:sz w:val="28"/>
          <w:szCs w:val="28"/>
          <w:lang w:val="bg-BG"/>
        </w:rPr>
        <w:t>Чонин</w:t>
      </w:r>
      <w:proofErr w:type="spellEnd"/>
      <w:r w:rsidR="007046C7" w:rsidRPr="007046C7">
        <w:rPr>
          <w:rFonts w:ascii="Arial" w:hAnsi="Arial" w:cs="Arial"/>
          <w:b/>
          <w:smallCaps/>
          <w:sz w:val="28"/>
          <w:szCs w:val="28"/>
          <w:lang w:val="bg-BG"/>
        </w:rPr>
        <w:t xml:space="preserve"> и други срещу България“ (жалба </w:t>
      </w:r>
      <w:r w:rsidR="00CF4214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7046C7" w:rsidRPr="007046C7">
        <w:rPr>
          <w:rFonts w:ascii="Arial" w:hAnsi="Arial" w:cs="Arial"/>
          <w:b/>
          <w:smallCaps/>
          <w:sz w:val="28"/>
          <w:szCs w:val="28"/>
          <w:lang w:val="bg-BG"/>
        </w:rPr>
        <w:t>№ 30116/23)</w:t>
      </w:r>
    </w:p>
    <w:p w14:paraId="159917FF" w14:textId="77777777" w:rsidR="00891781" w:rsidRPr="00391819" w:rsidRDefault="00891781" w:rsidP="007046C7">
      <w:pPr>
        <w:spacing w:before="120" w:line="288" w:lineRule="auto"/>
        <w:ind w:right="44" w:firstLine="1134"/>
        <w:jc w:val="both"/>
        <w:rPr>
          <w:rFonts w:ascii="Arial" w:hAnsi="Arial"/>
          <w:szCs w:val="24"/>
          <w:lang w:val="bg-BG"/>
        </w:rPr>
      </w:pPr>
    </w:p>
    <w:p w14:paraId="4314E8C5" w14:textId="04C50C4E" w:rsidR="007046C7" w:rsidRPr="007046C7" w:rsidRDefault="007046C7" w:rsidP="001327E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046C7">
        <w:rPr>
          <w:rFonts w:ascii="Arial" w:hAnsi="Arial" w:cs="Arial"/>
          <w:sz w:val="28"/>
          <w:szCs w:val="28"/>
          <w:lang w:val="bg-BG" w:eastAsia="bg-BG"/>
        </w:rPr>
        <w:t>На основание чл. 46, §</w:t>
      </w:r>
      <w:r w:rsidR="00CF4214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7046C7">
        <w:rPr>
          <w:rFonts w:ascii="Arial" w:hAnsi="Arial" w:cs="Arial"/>
          <w:sz w:val="28"/>
          <w:szCs w:val="28"/>
          <w:lang w:val="bg-BG" w:eastAsia="bg-BG"/>
        </w:rPr>
        <w:t>1 от Конвенцията за защита на правата на човека и основните свободи</w:t>
      </w:r>
      <w:r w:rsidRPr="007046C7">
        <w:rPr>
          <w:rFonts w:ascii="Arial" w:hAnsi="Arial" w:cs="Arial"/>
          <w:color w:val="FF0000"/>
          <w:sz w:val="28"/>
          <w:szCs w:val="28"/>
          <w:lang w:val="bg-BG" w:eastAsia="bg-BG"/>
        </w:rPr>
        <w:t xml:space="preserve"> </w:t>
      </w:r>
      <w:r w:rsidRPr="007046C7">
        <w:rPr>
          <w:rFonts w:ascii="Arial" w:hAnsi="Arial" w:cs="Arial"/>
          <w:sz w:val="28"/>
          <w:szCs w:val="28"/>
          <w:lang w:val="bg-BG" w:eastAsia="bg-BG"/>
        </w:rPr>
        <w:t>във връзка с чл. 109, ал. 3 във връзка с чл. 120, ал. 1 от Закона за публичните финанси</w:t>
      </w:r>
    </w:p>
    <w:p w14:paraId="3012945B" w14:textId="77777777" w:rsidR="008B1025" w:rsidRPr="00842762" w:rsidRDefault="008B1025" w:rsidP="001327EE">
      <w:pPr>
        <w:spacing w:before="120" w:line="288" w:lineRule="auto"/>
        <w:jc w:val="center"/>
        <w:rPr>
          <w:rFonts w:ascii="Arial" w:hAnsi="Arial" w:cs="Arial"/>
          <w:b/>
          <w:spacing w:val="40"/>
          <w:sz w:val="20"/>
          <w:lang w:val="en-US"/>
        </w:rPr>
      </w:pPr>
    </w:p>
    <w:p w14:paraId="53D225D9" w14:textId="77777777" w:rsidR="008B1025" w:rsidRPr="00842762" w:rsidRDefault="008B1025" w:rsidP="008B1025">
      <w:pPr>
        <w:jc w:val="center"/>
        <w:rPr>
          <w:rFonts w:ascii="Arial" w:hAnsi="Arial" w:cs="Arial"/>
          <w:b/>
          <w:spacing w:val="40"/>
          <w:sz w:val="20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842762" w:rsidRDefault="001F7504">
      <w:pPr>
        <w:jc w:val="center"/>
        <w:rPr>
          <w:rFonts w:ascii="Arial" w:hAnsi="Arial" w:cs="Arial"/>
          <w:b/>
          <w:spacing w:val="40"/>
          <w:sz w:val="20"/>
          <w:lang w:val="en-US"/>
        </w:rPr>
      </w:pPr>
    </w:p>
    <w:p w14:paraId="6E082043" w14:textId="77777777" w:rsidR="00C6062F" w:rsidRPr="00842762" w:rsidRDefault="00C6062F">
      <w:pPr>
        <w:jc w:val="center"/>
        <w:rPr>
          <w:rFonts w:ascii="Arial" w:hAnsi="Arial" w:cs="Arial"/>
          <w:b/>
          <w:spacing w:val="40"/>
          <w:sz w:val="20"/>
          <w:lang w:val="en-US"/>
        </w:rPr>
      </w:pPr>
    </w:p>
    <w:p w14:paraId="7ECE44EA" w14:textId="52FAFBE0" w:rsidR="007046C7" w:rsidRPr="007046C7" w:rsidRDefault="007046C7" w:rsidP="001327EE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7046C7">
        <w:rPr>
          <w:rFonts w:ascii="Arial" w:hAnsi="Arial" w:cs="Arial"/>
          <w:b/>
          <w:sz w:val="28"/>
          <w:szCs w:val="28"/>
          <w:lang w:val="bg-BG" w:eastAsia="bg-BG"/>
        </w:rPr>
        <w:t>1</w:t>
      </w:r>
      <w:r w:rsidRPr="007046C7">
        <w:rPr>
          <w:rFonts w:ascii="Arial" w:hAnsi="Arial" w:cs="Arial"/>
          <w:sz w:val="28"/>
          <w:szCs w:val="28"/>
          <w:lang w:val="bg-BG" w:eastAsia="bg-BG"/>
        </w:rPr>
        <w:t>. Приема да изплати обезщетенията по решенията на Европейския съд по правата на човека (ЕСПЧ) по делата</w:t>
      </w:r>
      <w:r w:rsidRPr="007046C7">
        <w:rPr>
          <w:rFonts w:ascii="Arial" w:hAnsi="Arial" w:cs="Arial"/>
          <w:b/>
          <w:sz w:val="28"/>
          <w:szCs w:val="28"/>
          <w:lang w:val="bg-BG" w:eastAsia="bg-BG"/>
        </w:rPr>
        <w:t xml:space="preserve"> </w:t>
      </w:r>
      <w:r w:rsidRPr="007046C7">
        <w:rPr>
          <w:rFonts w:ascii="Arial" w:hAnsi="Arial" w:cs="Arial"/>
          <w:bCs/>
          <w:sz w:val="28"/>
          <w:szCs w:val="28"/>
          <w:lang w:val="bg-BG" w:eastAsia="bg-BG"/>
        </w:rPr>
        <w:t>„</w:t>
      </w:r>
      <w:proofErr w:type="spellStart"/>
      <w:r w:rsidRPr="007046C7">
        <w:rPr>
          <w:rFonts w:ascii="Arial" w:hAnsi="Arial" w:cs="Arial"/>
          <w:bCs/>
          <w:sz w:val="28"/>
          <w:szCs w:val="28"/>
          <w:lang w:val="bg-BG" w:eastAsia="bg-BG"/>
        </w:rPr>
        <w:t>Педев</w:t>
      </w:r>
      <w:proofErr w:type="spellEnd"/>
      <w:r w:rsidRPr="007046C7">
        <w:rPr>
          <w:rFonts w:ascii="Arial" w:hAnsi="Arial" w:cs="Arial"/>
          <w:bCs/>
          <w:sz w:val="28"/>
          <w:szCs w:val="28"/>
          <w:lang w:val="bg-BG" w:eastAsia="bg-BG"/>
        </w:rPr>
        <w:t xml:space="preserve"> срещу България“ (жалба № 27165/21), „Мустафа и Мустафова срещу България“ (жалба № 7428/17), „Станоев и други срещу България“ (жалба № 29331/22) и „</w:t>
      </w:r>
      <w:proofErr w:type="spellStart"/>
      <w:r w:rsidRPr="007046C7">
        <w:rPr>
          <w:rFonts w:ascii="Arial" w:hAnsi="Arial" w:cs="Arial"/>
          <w:bCs/>
          <w:sz w:val="28"/>
          <w:szCs w:val="28"/>
          <w:lang w:val="bg-BG" w:eastAsia="bg-BG"/>
        </w:rPr>
        <w:t>Чонин</w:t>
      </w:r>
      <w:proofErr w:type="spellEnd"/>
      <w:r w:rsidRPr="007046C7">
        <w:rPr>
          <w:rFonts w:ascii="Arial" w:hAnsi="Arial" w:cs="Arial"/>
          <w:bCs/>
          <w:sz w:val="28"/>
          <w:szCs w:val="28"/>
          <w:lang w:val="bg-BG" w:eastAsia="bg-BG"/>
        </w:rPr>
        <w:t xml:space="preserve"> и други срещу България“ (жалба </w:t>
      </w:r>
      <w:r w:rsidR="00CF4214">
        <w:rPr>
          <w:rFonts w:ascii="Arial" w:hAnsi="Arial" w:cs="Arial"/>
          <w:bCs/>
          <w:sz w:val="28"/>
          <w:szCs w:val="28"/>
          <w:lang w:val="bg-BG" w:eastAsia="bg-BG"/>
        </w:rPr>
        <w:br/>
      </w:r>
      <w:r w:rsidRPr="007046C7">
        <w:rPr>
          <w:rFonts w:ascii="Arial" w:hAnsi="Arial" w:cs="Arial"/>
          <w:bCs/>
          <w:sz w:val="28"/>
          <w:szCs w:val="28"/>
          <w:lang w:val="bg-BG" w:eastAsia="bg-BG"/>
        </w:rPr>
        <w:t xml:space="preserve">№ 30116/23). </w:t>
      </w:r>
    </w:p>
    <w:p w14:paraId="31300643" w14:textId="019DB438" w:rsidR="007046C7" w:rsidRPr="007046C7" w:rsidRDefault="007046C7" w:rsidP="001327EE">
      <w:pPr>
        <w:widowControl w:val="0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7046C7">
        <w:rPr>
          <w:rFonts w:ascii="Arial" w:hAnsi="Arial" w:cs="Arial"/>
          <w:b/>
          <w:sz w:val="28"/>
          <w:szCs w:val="28"/>
          <w:lang w:val="bg-BG" w:eastAsia="bg-BG"/>
        </w:rPr>
        <w:t>2.</w:t>
      </w:r>
      <w:r w:rsidRPr="007046C7">
        <w:rPr>
          <w:rFonts w:ascii="Arial" w:hAnsi="Arial" w:cs="Arial"/>
          <w:sz w:val="28"/>
          <w:szCs w:val="28"/>
          <w:lang w:val="bg-BG" w:eastAsia="bg-BG"/>
        </w:rPr>
        <w:t xml:space="preserve"> Министерството на правосъдието да изплати на жалбоподателите присъдените обезщетения съгласно диспозитивите на решенията на ЕСПЧ, както следва:</w:t>
      </w:r>
    </w:p>
    <w:p w14:paraId="1A6D1434" w14:textId="1EA01208" w:rsidR="007046C7" w:rsidRPr="007046C7" w:rsidRDefault="007046C7" w:rsidP="001327EE">
      <w:pPr>
        <w:widowControl w:val="0"/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7046C7">
        <w:rPr>
          <w:rFonts w:ascii="Arial" w:hAnsi="Arial" w:cs="Arial"/>
          <w:bCs/>
          <w:sz w:val="28"/>
          <w:szCs w:val="28"/>
          <w:lang w:val="bg-BG" w:eastAsia="bg-BG"/>
        </w:rPr>
        <w:t>а) по жалба № 27165/21, „</w:t>
      </w:r>
      <w:proofErr w:type="spellStart"/>
      <w:r w:rsidRPr="007046C7">
        <w:rPr>
          <w:rFonts w:ascii="Arial" w:hAnsi="Arial" w:cs="Arial"/>
          <w:bCs/>
          <w:iCs/>
          <w:sz w:val="28"/>
          <w:szCs w:val="28"/>
          <w:lang w:val="bg-BG" w:eastAsia="bg-BG"/>
        </w:rPr>
        <w:t>Педев</w:t>
      </w:r>
      <w:proofErr w:type="spellEnd"/>
      <w:r w:rsidRPr="007046C7">
        <w:rPr>
          <w:rFonts w:ascii="Arial" w:hAnsi="Arial" w:cs="Arial"/>
          <w:bCs/>
          <w:iCs/>
          <w:color w:val="FF0000"/>
          <w:sz w:val="28"/>
          <w:szCs w:val="28"/>
          <w:lang w:val="bg-BG" w:eastAsia="bg-BG"/>
        </w:rPr>
        <w:t xml:space="preserve"> </w:t>
      </w:r>
      <w:r w:rsidRPr="007046C7">
        <w:rPr>
          <w:rFonts w:ascii="Arial" w:hAnsi="Arial" w:cs="Arial"/>
          <w:bCs/>
          <w:iCs/>
          <w:sz w:val="28"/>
          <w:szCs w:val="28"/>
          <w:lang w:val="bg-BG" w:eastAsia="bg-BG"/>
        </w:rPr>
        <w:t>срещу България“</w:t>
      </w:r>
      <w:r w:rsidRPr="007046C7">
        <w:rPr>
          <w:rFonts w:ascii="Arial" w:hAnsi="Arial" w:cs="Arial"/>
          <w:bCs/>
          <w:sz w:val="28"/>
          <w:szCs w:val="28"/>
          <w:lang w:val="bg-BG" w:eastAsia="bg-BG"/>
        </w:rPr>
        <w:t>:</w:t>
      </w:r>
    </w:p>
    <w:p w14:paraId="65ACDCE4" w14:textId="2B702F7D" w:rsidR="007046C7" w:rsidRPr="007046C7" w:rsidRDefault="00CF4214" w:rsidP="001327EE">
      <w:pPr>
        <w:pStyle w:val="ListParagraph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  <w:lang w:eastAsia="bg-BG"/>
        </w:rPr>
      </w:pPr>
      <w:proofErr w:type="spellStart"/>
      <w:r>
        <w:rPr>
          <w:rFonts w:ascii="Arial" w:hAnsi="Arial" w:cs="Arial"/>
          <w:sz w:val="28"/>
          <w:szCs w:val="28"/>
          <w:lang w:eastAsia="bg-BG"/>
        </w:rPr>
        <w:lastRenderedPageBreak/>
        <w:t>аа</w:t>
      </w:r>
      <w:proofErr w:type="spellEnd"/>
      <w:r>
        <w:rPr>
          <w:rFonts w:ascii="Arial" w:hAnsi="Arial" w:cs="Arial"/>
          <w:sz w:val="28"/>
          <w:szCs w:val="28"/>
          <w:lang w:eastAsia="bg-BG"/>
        </w:rPr>
        <w:t xml:space="preserve">) </w:t>
      </w:r>
      <w:r w:rsidR="007046C7" w:rsidRPr="007046C7">
        <w:rPr>
          <w:rFonts w:ascii="Arial" w:hAnsi="Arial" w:cs="Arial"/>
          <w:sz w:val="28"/>
          <w:szCs w:val="28"/>
          <w:lang w:eastAsia="bg-BG"/>
        </w:rPr>
        <w:t xml:space="preserve">на жалбоподателя Димитър Иванов </w:t>
      </w:r>
      <w:proofErr w:type="spellStart"/>
      <w:r w:rsidR="007046C7" w:rsidRPr="007046C7">
        <w:rPr>
          <w:rFonts w:ascii="Arial" w:hAnsi="Arial" w:cs="Arial"/>
          <w:sz w:val="28"/>
          <w:szCs w:val="28"/>
          <w:lang w:eastAsia="bg-BG"/>
        </w:rPr>
        <w:t>Педев</w:t>
      </w:r>
      <w:proofErr w:type="spellEnd"/>
      <w:r w:rsidR="007046C7" w:rsidRPr="007046C7">
        <w:rPr>
          <w:rFonts w:ascii="Arial" w:hAnsi="Arial" w:cs="Arial"/>
          <w:sz w:val="28"/>
          <w:szCs w:val="28"/>
          <w:lang w:eastAsia="bg-BG"/>
        </w:rPr>
        <w:t xml:space="preserve"> – обезщетение в размер 6500 евро за неимуществени вреди;</w:t>
      </w:r>
    </w:p>
    <w:p w14:paraId="33A2F40A" w14:textId="77CF88F8" w:rsidR="007046C7" w:rsidRPr="007046C7" w:rsidRDefault="003F4DDF" w:rsidP="001327EE">
      <w:pPr>
        <w:pStyle w:val="ListParagraph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  <w:lang w:eastAsia="bg-BG"/>
        </w:rPr>
      </w:pPr>
      <w:proofErr w:type="spellStart"/>
      <w:r>
        <w:rPr>
          <w:rFonts w:ascii="Arial" w:hAnsi="Arial" w:cs="Arial"/>
          <w:sz w:val="28"/>
          <w:szCs w:val="28"/>
          <w:lang w:eastAsia="bg-BG"/>
        </w:rPr>
        <w:t>бб</w:t>
      </w:r>
      <w:proofErr w:type="spellEnd"/>
      <w:r>
        <w:rPr>
          <w:rFonts w:ascii="Arial" w:hAnsi="Arial" w:cs="Arial"/>
          <w:sz w:val="28"/>
          <w:szCs w:val="28"/>
          <w:lang w:eastAsia="bg-BG"/>
        </w:rPr>
        <w:t>)</w:t>
      </w:r>
      <w:r w:rsidR="007046C7" w:rsidRPr="007046C7">
        <w:rPr>
          <w:rFonts w:ascii="Arial" w:hAnsi="Arial" w:cs="Arial"/>
          <w:sz w:val="28"/>
          <w:szCs w:val="28"/>
          <w:lang w:eastAsia="bg-BG"/>
        </w:rPr>
        <w:t xml:space="preserve"> на процесуалния представител на жалбоподателя – </w:t>
      </w:r>
      <w:proofErr w:type="spellStart"/>
      <w:r w:rsidR="007046C7" w:rsidRPr="007046C7">
        <w:rPr>
          <w:rFonts w:ascii="Arial" w:hAnsi="Arial" w:cs="Arial"/>
          <w:sz w:val="28"/>
          <w:szCs w:val="28"/>
          <w:lang w:eastAsia="bg-BG"/>
        </w:rPr>
        <w:t>Бълтарски</w:t>
      </w:r>
      <w:proofErr w:type="spellEnd"/>
      <w:r w:rsidR="007046C7" w:rsidRPr="007046C7">
        <w:rPr>
          <w:rFonts w:ascii="Arial" w:hAnsi="Arial" w:cs="Arial"/>
          <w:sz w:val="28"/>
          <w:szCs w:val="28"/>
          <w:lang w:eastAsia="bg-BG"/>
        </w:rPr>
        <w:t xml:space="preserve"> хелзинкски комитет – сумата 3510,73 евро за разходи и разноски;</w:t>
      </w:r>
    </w:p>
    <w:p w14:paraId="745572FB" w14:textId="513FFACA" w:rsidR="007046C7" w:rsidRPr="007046C7" w:rsidRDefault="007046C7" w:rsidP="001327EE">
      <w:pPr>
        <w:pStyle w:val="ListParagraph"/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eastAsia="bg-BG"/>
        </w:rPr>
      </w:pPr>
      <w:r w:rsidRPr="007046C7">
        <w:rPr>
          <w:rFonts w:ascii="Arial" w:hAnsi="Arial" w:cs="Arial"/>
          <w:bCs/>
          <w:sz w:val="28"/>
          <w:szCs w:val="28"/>
          <w:lang w:eastAsia="bg-BG"/>
        </w:rPr>
        <w:t>б) по жалба № 7428/17, „Мустафа и Мустафова срещу България“:</w:t>
      </w:r>
    </w:p>
    <w:p w14:paraId="0D28F9FA" w14:textId="77596E9E" w:rsidR="007046C7" w:rsidRPr="007046C7" w:rsidRDefault="003F4DDF" w:rsidP="001327EE">
      <w:pPr>
        <w:pStyle w:val="ListParagraph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  <w:lang w:eastAsia="bg-BG"/>
        </w:rPr>
      </w:pPr>
      <w:proofErr w:type="spellStart"/>
      <w:r>
        <w:rPr>
          <w:rFonts w:ascii="Arial" w:hAnsi="Arial" w:cs="Arial"/>
          <w:sz w:val="28"/>
          <w:szCs w:val="28"/>
          <w:lang w:eastAsia="bg-BG"/>
        </w:rPr>
        <w:t>аа</w:t>
      </w:r>
      <w:proofErr w:type="spellEnd"/>
      <w:r>
        <w:rPr>
          <w:rFonts w:ascii="Arial" w:hAnsi="Arial" w:cs="Arial"/>
          <w:sz w:val="28"/>
          <w:szCs w:val="28"/>
          <w:lang w:eastAsia="bg-BG"/>
        </w:rPr>
        <w:t>)</w:t>
      </w:r>
      <w:r w:rsidR="007046C7" w:rsidRPr="007046C7">
        <w:rPr>
          <w:rFonts w:ascii="Arial" w:hAnsi="Arial" w:cs="Arial"/>
          <w:sz w:val="28"/>
          <w:szCs w:val="28"/>
          <w:lang w:eastAsia="bg-BG"/>
        </w:rPr>
        <w:t xml:space="preserve"> на жалбоподателя </w:t>
      </w:r>
      <w:r w:rsidR="007046C7" w:rsidRPr="007046C7">
        <w:rPr>
          <w:rFonts w:ascii="Arial" w:hAnsi="Arial" w:cs="Arial"/>
          <w:bCs/>
          <w:sz w:val="28"/>
          <w:szCs w:val="28"/>
          <w:lang w:eastAsia="bg-BG"/>
        </w:rPr>
        <w:t xml:space="preserve">Метин Мустафа </w:t>
      </w:r>
      <w:proofErr w:type="spellStart"/>
      <w:r w:rsidR="007046C7" w:rsidRPr="007046C7">
        <w:rPr>
          <w:rFonts w:ascii="Arial" w:hAnsi="Arial" w:cs="Arial"/>
          <w:bCs/>
          <w:sz w:val="28"/>
          <w:szCs w:val="28"/>
          <w:lang w:eastAsia="bg-BG"/>
        </w:rPr>
        <w:t>Мустафа</w:t>
      </w:r>
      <w:proofErr w:type="spellEnd"/>
      <w:r w:rsidR="007046C7" w:rsidRPr="007046C7">
        <w:rPr>
          <w:rFonts w:ascii="Arial" w:hAnsi="Arial" w:cs="Arial"/>
          <w:bCs/>
          <w:sz w:val="28"/>
          <w:szCs w:val="28"/>
          <w:lang w:eastAsia="bg-BG"/>
        </w:rPr>
        <w:t xml:space="preserve"> </w:t>
      </w:r>
      <w:r w:rsidR="007046C7" w:rsidRPr="007046C7">
        <w:rPr>
          <w:rFonts w:ascii="Arial" w:hAnsi="Arial" w:cs="Arial"/>
          <w:sz w:val="28"/>
          <w:szCs w:val="28"/>
          <w:lang w:eastAsia="bg-BG"/>
        </w:rPr>
        <w:t>– обезщетение в размер 1000 евро за неимуществени вреди;</w:t>
      </w:r>
    </w:p>
    <w:p w14:paraId="780AA9C8" w14:textId="06076DE6" w:rsidR="007046C7" w:rsidRPr="007046C7" w:rsidRDefault="003F4DDF" w:rsidP="001327EE">
      <w:pPr>
        <w:pStyle w:val="ListParagraph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  <w:lang w:eastAsia="bg-BG"/>
        </w:rPr>
      </w:pPr>
      <w:proofErr w:type="spellStart"/>
      <w:r>
        <w:rPr>
          <w:rFonts w:ascii="Arial" w:hAnsi="Arial" w:cs="Arial"/>
          <w:sz w:val="28"/>
          <w:szCs w:val="28"/>
          <w:lang w:eastAsia="bg-BG"/>
        </w:rPr>
        <w:t>бб</w:t>
      </w:r>
      <w:proofErr w:type="spellEnd"/>
      <w:r>
        <w:rPr>
          <w:rFonts w:ascii="Arial" w:hAnsi="Arial" w:cs="Arial"/>
          <w:sz w:val="28"/>
          <w:szCs w:val="28"/>
          <w:lang w:eastAsia="bg-BG"/>
        </w:rPr>
        <w:t xml:space="preserve">) </w:t>
      </w:r>
      <w:r w:rsidR="007046C7" w:rsidRPr="007046C7">
        <w:rPr>
          <w:rFonts w:ascii="Arial" w:hAnsi="Arial" w:cs="Arial"/>
          <w:sz w:val="28"/>
          <w:szCs w:val="28"/>
          <w:lang w:eastAsia="bg-BG"/>
        </w:rPr>
        <w:t xml:space="preserve">на </w:t>
      </w:r>
      <w:proofErr w:type="spellStart"/>
      <w:r w:rsidR="007046C7" w:rsidRPr="007046C7">
        <w:rPr>
          <w:rFonts w:ascii="Arial" w:hAnsi="Arial" w:cs="Arial"/>
          <w:sz w:val="28"/>
          <w:szCs w:val="28"/>
          <w:lang w:eastAsia="bg-BG"/>
        </w:rPr>
        <w:t>жалбоподателката</w:t>
      </w:r>
      <w:proofErr w:type="spellEnd"/>
      <w:r w:rsidR="007046C7" w:rsidRPr="007046C7">
        <w:rPr>
          <w:rFonts w:ascii="Arial" w:hAnsi="Arial" w:cs="Arial"/>
          <w:sz w:val="28"/>
          <w:szCs w:val="28"/>
          <w:lang w:eastAsia="bg-BG"/>
        </w:rPr>
        <w:t xml:space="preserve"> </w:t>
      </w:r>
      <w:proofErr w:type="spellStart"/>
      <w:r w:rsidR="007046C7" w:rsidRPr="007046C7">
        <w:rPr>
          <w:rFonts w:ascii="Arial" w:hAnsi="Arial" w:cs="Arial"/>
          <w:sz w:val="28"/>
          <w:szCs w:val="28"/>
          <w:lang w:eastAsia="bg-BG"/>
        </w:rPr>
        <w:t>Есенгюл</w:t>
      </w:r>
      <w:proofErr w:type="spellEnd"/>
      <w:r w:rsidR="007046C7" w:rsidRPr="007046C7">
        <w:rPr>
          <w:rFonts w:ascii="Arial" w:hAnsi="Arial" w:cs="Arial"/>
          <w:sz w:val="28"/>
          <w:szCs w:val="28"/>
          <w:lang w:eastAsia="bg-BG"/>
        </w:rPr>
        <w:t xml:space="preserve"> Мустафова </w:t>
      </w:r>
      <w:proofErr w:type="spellStart"/>
      <w:r w:rsidR="007046C7" w:rsidRPr="007046C7">
        <w:rPr>
          <w:rFonts w:ascii="Arial" w:hAnsi="Arial" w:cs="Arial"/>
          <w:sz w:val="28"/>
          <w:szCs w:val="28"/>
          <w:lang w:eastAsia="bg-BG"/>
        </w:rPr>
        <w:t>Мустафова</w:t>
      </w:r>
      <w:proofErr w:type="spellEnd"/>
      <w:r w:rsidR="007046C7" w:rsidRPr="007046C7">
        <w:rPr>
          <w:rFonts w:ascii="Arial" w:hAnsi="Arial" w:cs="Arial"/>
          <w:sz w:val="28"/>
          <w:szCs w:val="28"/>
          <w:lang w:eastAsia="bg-BG"/>
        </w:rPr>
        <w:t xml:space="preserve"> – обезщетение в размер 1000 евро за неимуществени вреди;</w:t>
      </w:r>
    </w:p>
    <w:p w14:paraId="4C20662D" w14:textId="6A52F721" w:rsidR="007046C7" w:rsidRPr="007046C7" w:rsidRDefault="00617C80" w:rsidP="001327EE">
      <w:pPr>
        <w:pStyle w:val="ListParagraph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  <w:lang w:eastAsia="bg-BG"/>
        </w:rPr>
      </w:pPr>
      <w:proofErr w:type="spellStart"/>
      <w:r>
        <w:rPr>
          <w:rFonts w:ascii="Arial" w:hAnsi="Arial" w:cs="Arial"/>
          <w:sz w:val="28"/>
          <w:szCs w:val="28"/>
          <w:lang w:eastAsia="bg-BG"/>
        </w:rPr>
        <w:t>вв</w:t>
      </w:r>
      <w:proofErr w:type="spellEnd"/>
      <w:r>
        <w:rPr>
          <w:rFonts w:ascii="Arial" w:hAnsi="Arial" w:cs="Arial"/>
          <w:sz w:val="28"/>
          <w:szCs w:val="28"/>
          <w:lang w:eastAsia="bg-BG"/>
        </w:rPr>
        <w:t>)</w:t>
      </w:r>
      <w:r w:rsidR="007046C7" w:rsidRPr="007046C7">
        <w:rPr>
          <w:rFonts w:ascii="Arial" w:hAnsi="Arial" w:cs="Arial"/>
          <w:sz w:val="28"/>
          <w:szCs w:val="28"/>
          <w:lang w:eastAsia="bg-BG"/>
        </w:rPr>
        <w:t xml:space="preserve"> съвместно на жалбоподателите </w:t>
      </w:r>
      <w:r w:rsidR="007046C7" w:rsidRPr="007046C7">
        <w:rPr>
          <w:rFonts w:ascii="Arial" w:hAnsi="Arial" w:cs="Arial"/>
          <w:bCs/>
          <w:sz w:val="28"/>
          <w:szCs w:val="28"/>
          <w:lang w:eastAsia="bg-BG"/>
        </w:rPr>
        <w:t xml:space="preserve">Метин Мустафа </w:t>
      </w:r>
      <w:proofErr w:type="spellStart"/>
      <w:r w:rsidR="007046C7" w:rsidRPr="007046C7">
        <w:rPr>
          <w:rFonts w:ascii="Arial" w:hAnsi="Arial" w:cs="Arial"/>
          <w:bCs/>
          <w:sz w:val="28"/>
          <w:szCs w:val="28"/>
          <w:lang w:eastAsia="bg-BG"/>
        </w:rPr>
        <w:t>Мустафа</w:t>
      </w:r>
      <w:proofErr w:type="spellEnd"/>
      <w:r w:rsidR="007046C7" w:rsidRPr="007046C7">
        <w:rPr>
          <w:rFonts w:ascii="Arial" w:hAnsi="Arial" w:cs="Arial"/>
          <w:bCs/>
          <w:sz w:val="28"/>
          <w:szCs w:val="28"/>
          <w:lang w:eastAsia="bg-BG"/>
        </w:rPr>
        <w:t xml:space="preserve"> и </w:t>
      </w:r>
      <w:proofErr w:type="spellStart"/>
      <w:r w:rsidR="007046C7" w:rsidRPr="007046C7">
        <w:rPr>
          <w:rFonts w:ascii="Arial" w:hAnsi="Arial" w:cs="Arial"/>
          <w:bCs/>
          <w:sz w:val="28"/>
          <w:szCs w:val="28"/>
          <w:lang w:eastAsia="bg-BG"/>
        </w:rPr>
        <w:t>Есенгюл</w:t>
      </w:r>
      <w:proofErr w:type="spellEnd"/>
      <w:r w:rsidR="007046C7" w:rsidRPr="007046C7">
        <w:rPr>
          <w:rFonts w:ascii="Arial" w:hAnsi="Arial" w:cs="Arial"/>
          <w:bCs/>
          <w:sz w:val="28"/>
          <w:szCs w:val="28"/>
          <w:lang w:eastAsia="bg-BG"/>
        </w:rPr>
        <w:t xml:space="preserve"> Мустафова </w:t>
      </w:r>
      <w:proofErr w:type="spellStart"/>
      <w:r w:rsidR="007046C7" w:rsidRPr="007046C7">
        <w:rPr>
          <w:rFonts w:ascii="Arial" w:hAnsi="Arial" w:cs="Arial"/>
          <w:bCs/>
          <w:sz w:val="28"/>
          <w:szCs w:val="28"/>
          <w:lang w:eastAsia="bg-BG"/>
        </w:rPr>
        <w:t>Мустафова</w:t>
      </w:r>
      <w:proofErr w:type="spellEnd"/>
      <w:r w:rsidR="007046C7" w:rsidRPr="007046C7">
        <w:rPr>
          <w:rFonts w:ascii="Arial" w:hAnsi="Arial" w:cs="Arial"/>
          <w:sz w:val="28"/>
          <w:szCs w:val="28"/>
          <w:lang w:eastAsia="bg-BG"/>
        </w:rPr>
        <w:t xml:space="preserve"> – сумата 12 евро за разходи и разноски;</w:t>
      </w:r>
    </w:p>
    <w:p w14:paraId="131A8B30" w14:textId="0FE3C36F" w:rsidR="007046C7" w:rsidRPr="00617C80" w:rsidRDefault="007046C7" w:rsidP="001327EE">
      <w:pPr>
        <w:widowControl w:val="0"/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7046C7">
        <w:rPr>
          <w:rFonts w:ascii="Arial" w:hAnsi="Arial" w:cs="Arial"/>
          <w:bCs/>
          <w:sz w:val="28"/>
          <w:szCs w:val="28"/>
          <w:lang w:val="bg-BG" w:eastAsia="bg-BG"/>
        </w:rPr>
        <w:t>в) по жалба № 29331/22, „</w:t>
      </w:r>
      <w:r w:rsidRPr="007046C7">
        <w:rPr>
          <w:rFonts w:ascii="Arial" w:hAnsi="Arial" w:cs="Arial"/>
          <w:bCs/>
          <w:iCs/>
          <w:sz w:val="28"/>
          <w:szCs w:val="28"/>
          <w:lang w:val="bg-BG" w:eastAsia="bg-BG"/>
        </w:rPr>
        <w:t>Станоев и други</w:t>
      </w:r>
      <w:r w:rsidRPr="007046C7">
        <w:rPr>
          <w:rFonts w:ascii="Arial" w:hAnsi="Arial" w:cs="Arial"/>
          <w:bCs/>
          <w:iCs/>
          <w:color w:val="FF0000"/>
          <w:sz w:val="28"/>
          <w:szCs w:val="28"/>
          <w:lang w:val="bg-BG" w:eastAsia="bg-BG"/>
        </w:rPr>
        <w:t xml:space="preserve"> </w:t>
      </w:r>
      <w:r w:rsidRPr="007046C7">
        <w:rPr>
          <w:rFonts w:ascii="Arial" w:hAnsi="Arial" w:cs="Arial"/>
          <w:bCs/>
          <w:iCs/>
          <w:sz w:val="28"/>
          <w:szCs w:val="28"/>
          <w:lang w:val="bg-BG" w:eastAsia="bg-BG"/>
        </w:rPr>
        <w:t>срещу България“</w:t>
      </w:r>
      <w:r w:rsidR="00617C80">
        <w:rPr>
          <w:rFonts w:ascii="Arial" w:hAnsi="Arial" w:cs="Arial"/>
          <w:bCs/>
          <w:iCs/>
          <w:sz w:val="28"/>
          <w:szCs w:val="28"/>
          <w:lang w:val="bg-BG" w:eastAsia="bg-BG"/>
        </w:rPr>
        <w:t xml:space="preserve"> - </w:t>
      </w:r>
      <w:r w:rsidRPr="007046C7">
        <w:rPr>
          <w:rFonts w:ascii="Arial" w:hAnsi="Arial" w:cs="Arial"/>
          <w:sz w:val="28"/>
          <w:szCs w:val="28"/>
          <w:lang w:val="bg-BG" w:eastAsia="bg-BG"/>
        </w:rPr>
        <w:t xml:space="preserve">съвместно на жалбоподателите Иван Стойков Станоев, Румяна Траянова Ангелова,  Емилия Кирилова Бонева, Асен Игнатов Георгиев, Игнат Павлов Георгиев, Росица Игнатова Георгиева, Горан Иванов Гочев, Бисер </w:t>
      </w:r>
      <w:proofErr w:type="spellStart"/>
      <w:r w:rsidRPr="007046C7">
        <w:rPr>
          <w:rFonts w:ascii="Arial" w:hAnsi="Arial" w:cs="Arial"/>
          <w:sz w:val="28"/>
          <w:szCs w:val="28"/>
          <w:lang w:val="bg-BG" w:eastAsia="bg-BG"/>
        </w:rPr>
        <w:t>Станойчев</w:t>
      </w:r>
      <w:proofErr w:type="spellEnd"/>
      <w:r w:rsidRPr="007046C7">
        <w:rPr>
          <w:rFonts w:ascii="Arial" w:hAnsi="Arial" w:cs="Arial"/>
          <w:sz w:val="28"/>
          <w:szCs w:val="28"/>
          <w:lang w:val="bg-BG" w:eastAsia="bg-BG"/>
        </w:rPr>
        <w:t xml:space="preserve"> Иванов,  Ани Стоянова </w:t>
      </w:r>
      <w:proofErr w:type="spellStart"/>
      <w:r w:rsidRPr="007046C7">
        <w:rPr>
          <w:rFonts w:ascii="Arial" w:hAnsi="Arial" w:cs="Arial"/>
          <w:sz w:val="28"/>
          <w:szCs w:val="28"/>
          <w:lang w:val="bg-BG" w:eastAsia="bg-BG"/>
        </w:rPr>
        <w:t>Здравецова</w:t>
      </w:r>
      <w:proofErr w:type="spellEnd"/>
      <w:r w:rsidRPr="007046C7">
        <w:rPr>
          <w:rFonts w:ascii="Arial" w:hAnsi="Arial" w:cs="Arial"/>
          <w:sz w:val="28"/>
          <w:szCs w:val="28"/>
          <w:lang w:val="bg-BG" w:eastAsia="bg-BG"/>
        </w:rPr>
        <w:t>, Здравко Йорданов Мирков, Татяна Здравкова Владова, Мартин Стоянов Йорданов, Георги Петров Паунов, Георги Милчев Станоев, Стойко Милчев Станоев,</w:t>
      </w:r>
      <w:r w:rsidRPr="007046C7">
        <w:rPr>
          <w:rFonts w:ascii="Arial" w:hAnsi="Arial" w:cs="Arial"/>
          <w:sz w:val="28"/>
          <w:szCs w:val="28"/>
          <w:lang w:val="bg-BG"/>
        </w:rPr>
        <w:t xml:space="preserve"> </w:t>
      </w:r>
      <w:r w:rsidRPr="007046C7">
        <w:rPr>
          <w:rFonts w:ascii="Arial" w:hAnsi="Arial" w:cs="Arial"/>
          <w:sz w:val="28"/>
          <w:szCs w:val="28"/>
          <w:lang w:val="bg-BG" w:eastAsia="bg-BG"/>
        </w:rPr>
        <w:t xml:space="preserve">Зорка Костадинова Станоева, Елена Стоянова </w:t>
      </w:r>
      <w:proofErr w:type="spellStart"/>
      <w:r w:rsidRPr="007046C7">
        <w:rPr>
          <w:rFonts w:ascii="Arial" w:hAnsi="Arial" w:cs="Arial"/>
          <w:sz w:val="28"/>
          <w:szCs w:val="28"/>
          <w:lang w:val="bg-BG" w:eastAsia="bg-BG"/>
        </w:rPr>
        <w:t>Тахмизян</w:t>
      </w:r>
      <w:proofErr w:type="spellEnd"/>
      <w:r w:rsidRPr="007046C7">
        <w:rPr>
          <w:rFonts w:ascii="Arial" w:hAnsi="Arial" w:cs="Arial"/>
          <w:sz w:val="28"/>
          <w:szCs w:val="28"/>
          <w:lang w:val="bg-BG" w:eastAsia="bg-BG"/>
        </w:rPr>
        <w:t>, Красимира Иванова Тодорова, Красимира Стоянова Тодорова, Траян Асенов Траянов, Любка Стоянова Вачева в съответствие с наследствените им дялове – обезщетение в размер 5000 евро за имуществени вреди и 5000 евро за неимуществени вреди;</w:t>
      </w:r>
    </w:p>
    <w:p w14:paraId="35611B08" w14:textId="2FCD3A97" w:rsidR="007046C7" w:rsidRPr="007046C7" w:rsidRDefault="007046C7" w:rsidP="001327EE">
      <w:pPr>
        <w:widowControl w:val="0"/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7046C7">
        <w:rPr>
          <w:rFonts w:ascii="Arial" w:hAnsi="Arial" w:cs="Arial"/>
          <w:bCs/>
          <w:sz w:val="28"/>
          <w:szCs w:val="28"/>
          <w:lang w:val="bg-BG" w:eastAsia="bg-BG"/>
        </w:rPr>
        <w:t>г) по жалба № 30116/23, „</w:t>
      </w:r>
      <w:proofErr w:type="spellStart"/>
      <w:r w:rsidRPr="007046C7">
        <w:rPr>
          <w:rFonts w:ascii="Arial" w:hAnsi="Arial" w:cs="Arial"/>
          <w:bCs/>
          <w:iCs/>
          <w:sz w:val="28"/>
          <w:szCs w:val="28"/>
          <w:lang w:val="bg-BG" w:eastAsia="bg-BG"/>
        </w:rPr>
        <w:t>Чонин</w:t>
      </w:r>
      <w:proofErr w:type="spellEnd"/>
      <w:r w:rsidRPr="007046C7">
        <w:rPr>
          <w:rFonts w:ascii="Arial" w:hAnsi="Arial" w:cs="Arial"/>
          <w:bCs/>
          <w:iCs/>
          <w:sz w:val="28"/>
          <w:szCs w:val="28"/>
          <w:lang w:val="bg-BG" w:eastAsia="bg-BG"/>
        </w:rPr>
        <w:t xml:space="preserve"> и други</w:t>
      </w:r>
      <w:r w:rsidRPr="007046C7">
        <w:rPr>
          <w:rFonts w:ascii="Arial" w:hAnsi="Arial" w:cs="Arial"/>
          <w:bCs/>
          <w:iCs/>
          <w:color w:val="FF0000"/>
          <w:sz w:val="28"/>
          <w:szCs w:val="28"/>
          <w:lang w:val="bg-BG" w:eastAsia="bg-BG"/>
        </w:rPr>
        <w:t xml:space="preserve"> </w:t>
      </w:r>
      <w:r w:rsidRPr="007046C7">
        <w:rPr>
          <w:rFonts w:ascii="Arial" w:hAnsi="Arial" w:cs="Arial"/>
          <w:bCs/>
          <w:iCs/>
          <w:sz w:val="28"/>
          <w:szCs w:val="28"/>
          <w:lang w:val="bg-BG" w:eastAsia="bg-BG"/>
        </w:rPr>
        <w:t>срещу България“</w:t>
      </w:r>
      <w:r w:rsidRPr="007046C7">
        <w:rPr>
          <w:rFonts w:ascii="Arial" w:hAnsi="Arial" w:cs="Arial"/>
          <w:bCs/>
          <w:sz w:val="28"/>
          <w:szCs w:val="28"/>
          <w:lang w:val="bg-BG" w:eastAsia="bg-BG"/>
        </w:rPr>
        <w:t>:</w:t>
      </w:r>
    </w:p>
    <w:p w14:paraId="6956C9C3" w14:textId="247E4FA6" w:rsidR="007046C7" w:rsidRPr="007046C7" w:rsidRDefault="00617C80" w:rsidP="001327EE">
      <w:pPr>
        <w:pStyle w:val="ListParagraph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  <w:lang w:eastAsia="bg-BG"/>
        </w:rPr>
      </w:pPr>
      <w:proofErr w:type="spellStart"/>
      <w:r>
        <w:rPr>
          <w:rFonts w:ascii="Arial" w:hAnsi="Arial" w:cs="Arial"/>
          <w:sz w:val="28"/>
          <w:szCs w:val="28"/>
          <w:lang w:eastAsia="bg-BG"/>
        </w:rPr>
        <w:t>а</w:t>
      </w:r>
      <w:r w:rsidR="00842762">
        <w:rPr>
          <w:rFonts w:ascii="Arial" w:hAnsi="Arial" w:cs="Arial"/>
          <w:sz w:val="28"/>
          <w:szCs w:val="28"/>
          <w:lang w:eastAsia="bg-BG"/>
        </w:rPr>
        <w:t>а</w:t>
      </w:r>
      <w:proofErr w:type="spellEnd"/>
      <w:r>
        <w:rPr>
          <w:rFonts w:ascii="Arial" w:hAnsi="Arial" w:cs="Arial"/>
          <w:sz w:val="28"/>
          <w:szCs w:val="28"/>
          <w:lang w:eastAsia="bg-BG"/>
        </w:rPr>
        <w:t>)</w:t>
      </w:r>
      <w:r w:rsidR="007046C7" w:rsidRPr="007046C7">
        <w:rPr>
          <w:rFonts w:ascii="Arial" w:hAnsi="Arial" w:cs="Arial"/>
          <w:sz w:val="28"/>
          <w:szCs w:val="28"/>
          <w:lang w:eastAsia="bg-BG"/>
        </w:rPr>
        <w:t xml:space="preserve"> съвместно на жалбоподателите Веселин </w:t>
      </w:r>
      <w:proofErr w:type="spellStart"/>
      <w:r w:rsidR="007046C7" w:rsidRPr="007046C7">
        <w:rPr>
          <w:rFonts w:ascii="Arial" w:hAnsi="Arial" w:cs="Arial"/>
          <w:sz w:val="28"/>
          <w:szCs w:val="28"/>
          <w:lang w:eastAsia="bg-BG"/>
        </w:rPr>
        <w:t>Арахангелов</w:t>
      </w:r>
      <w:proofErr w:type="spellEnd"/>
      <w:r w:rsidR="007046C7" w:rsidRPr="007046C7">
        <w:rPr>
          <w:rFonts w:ascii="Arial" w:hAnsi="Arial" w:cs="Arial"/>
          <w:sz w:val="28"/>
          <w:szCs w:val="28"/>
          <w:lang w:eastAsia="bg-BG"/>
        </w:rPr>
        <w:t xml:space="preserve"> </w:t>
      </w:r>
      <w:proofErr w:type="spellStart"/>
      <w:r w:rsidR="007046C7" w:rsidRPr="007046C7">
        <w:rPr>
          <w:rFonts w:ascii="Arial" w:hAnsi="Arial" w:cs="Arial"/>
          <w:sz w:val="28"/>
          <w:szCs w:val="28"/>
          <w:lang w:eastAsia="bg-BG"/>
        </w:rPr>
        <w:t>Чонин</w:t>
      </w:r>
      <w:proofErr w:type="spellEnd"/>
      <w:r w:rsidR="007046C7" w:rsidRPr="007046C7">
        <w:rPr>
          <w:rFonts w:ascii="Arial" w:hAnsi="Arial" w:cs="Arial"/>
          <w:sz w:val="28"/>
          <w:szCs w:val="28"/>
          <w:lang w:eastAsia="bg-BG"/>
        </w:rPr>
        <w:t xml:space="preserve">, Михаил Ангелов </w:t>
      </w:r>
      <w:proofErr w:type="spellStart"/>
      <w:r w:rsidR="007046C7" w:rsidRPr="007046C7">
        <w:rPr>
          <w:rFonts w:ascii="Arial" w:hAnsi="Arial" w:cs="Arial"/>
          <w:sz w:val="28"/>
          <w:szCs w:val="28"/>
          <w:lang w:eastAsia="bg-BG"/>
        </w:rPr>
        <w:t>Ангелов</w:t>
      </w:r>
      <w:proofErr w:type="spellEnd"/>
      <w:r w:rsidR="007046C7" w:rsidRPr="007046C7">
        <w:rPr>
          <w:rFonts w:ascii="Arial" w:hAnsi="Arial" w:cs="Arial"/>
          <w:sz w:val="28"/>
          <w:szCs w:val="28"/>
          <w:lang w:eastAsia="bg-BG"/>
        </w:rPr>
        <w:t xml:space="preserve">, Красимира </w:t>
      </w:r>
      <w:proofErr w:type="spellStart"/>
      <w:r w:rsidR="007046C7" w:rsidRPr="007046C7">
        <w:rPr>
          <w:rFonts w:ascii="Arial" w:hAnsi="Arial" w:cs="Arial"/>
          <w:sz w:val="28"/>
          <w:szCs w:val="28"/>
          <w:lang w:eastAsia="bg-BG"/>
        </w:rPr>
        <w:t>Нацолова</w:t>
      </w:r>
      <w:proofErr w:type="spellEnd"/>
      <w:r w:rsidR="007046C7" w:rsidRPr="007046C7">
        <w:rPr>
          <w:rFonts w:ascii="Arial" w:hAnsi="Arial" w:cs="Arial"/>
          <w:sz w:val="28"/>
          <w:szCs w:val="28"/>
          <w:lang w:eastAsia="bg-BG"/>
        </w:rPr>
        <w:t xml:space="preserve"> Борисова,</w:t>
      </w:r>
      <w:r w:rsidR="007046C7" w:rsidRPr="007046C7">
        <w:rPr>
          <w:rFonts w:ascii="Arial" w:eastAsia="Times New Roman" w:hAnsi="Arial" w:cs="Arial"/>
          <w:sz w:val="28"/>
          <w:szCs w:val="28"/>
        </w:rPr>
        <w:t xml:space="preserve"> </w:t>
      </w:r>
      <w:r w:rsidR="007046C7" w:rsidRPr="007046C7">
        <w:rPr>
          <w:rFonts w:ascii="Arial" w:hAnsi="Arial" w:cs="Arial"/>
          <w:sz w:val="28"/>
          <w:szCs w:val="28"/>
          <w:lang w:eastAsia="bg-BG"/>
        </w:rPr>
        <w:t xml:space="preserve">Мирела Георгиева Филипова, Станислава Георгиева Филипова-Маркова, Христо Георгиев Христов, Ангел </w:t>
      </w:r>
      <w:proofErr w:type="spellStart"/>
      <w:r w:rsidR="007046C7" w:rsidRPr="007046C7">
        <w:rPr>
          <w:rFonts w:ascii="Arial" w:hAnsi="Arial" w:cs="Arial"/>
          <w:sz w:val="28"/>
          <w:szCs w:val="28"/>
          <w:lang w:eastAsia="bg-BG"/>
        </w:rPr>
        <w:t>Ивайлов</w:t>
      </w:r>
      <w:proofErr w:type="spellEnd"/>
      <w:r w:rsidR="007046C7" w:rsidRPr="007046C7">
        <w:rPr>
          <w:rFonts w:ascii="Arial" w:hAnsi="Arial" w:cs="Arial"/>
          <w:sz w:val="28"/>
          <w:szCs w:val="28"/>
          <w:lang w:eastAsia="bg-BG"/>
        </w:rPr>
        <w:t xml:space="preserve"> </w:t>
      </w:r>
      <w:proofErr w:type="spellStart"/>
      <w:r w:rsidR="007046C7" w:rsidRPr="007046C7">
        <w:rPr>
          <w:rFonts w:ascii="Arial" w:hAnsi="Arial" w:cs="Arial"/>
          <w:sz w:val="28"/>
          <w:szCs w:val="28"/>
          <w:lang w:eastAsia="bg-BG"/>
        </w:rPr>
        <w:t>Мавродинов</w:t>
      </w:r>
      <w:proofErr w:type="spellEnd"/>
      <w:r w:rsidR="007046C7" w:rsidRPr="007046C7">
        <w:rPr>
          <w:rFonts w:ascii="Arial" w:hAnsi="Arial" w:cs="Arial"/>
          <w:sz w:val="28"/>
          <w:szCs w:val="28"/>
          <w:lang w:eastAsia="bg-BG"/>
        </w:rPr>
        <w:t xml:space="preserve">, Богдан </w:t>
      </w:r>
      <w:proofErr w:type="spellStart"/>
      <w:r w:rsidR="007046C7" w:rsidRPr="007046C7">
        <w:rPr>
          <w:rFonts w:ascii="Arial" w:hAnsi="Arial" w:cs="Arial"/>
          <w:sz w:val="28"/>
          <w:szCs w:val="28"/>
          <w:lang w:eastAsia="bg-BG"/>
        </w:rPr>
        <w:t>Ивайлов</w:t>
      </w:r>
      <w:proofErr w:type="spellEnd"/>
      <w:r w:rsidR="007046C7" w:rsidRPr="007046C7">
        <w:rPr>
          <w:rFonts w:ascii="Arial" w:hAnsi="Arial" w:cs="Arial"/>
          <w:sz w:val="28"/>
          <w:szCs w:val="28"/>
          <w:lang w:eastAsia="bg-BG"/>
        </w:rPr>
        <w:t xml:space="preserve"> </w:t>
      </w:r>
      <w:proofErr w:type="spellStart"/>
      <w:r w:rsidR="007046C7" w:rsidRPr="007046C7">
        <w:rPr>
          <w:rFonts w:ascii="Arial" w:hAnsi="Arial" w:cs="Arial"/>
          <w:sz w:val="28"/>
          <w:szCs w:val="28"/>
          <w:lang w:eastAsia="bg-BG"/>
        </w:rPr>
        <w:t>Мавродинов</w:t>
      </w:r>
      <w:proofErr w:type="spellEnd"/>
      <w:r w:rsidR="007046C7" w:rsidRPr="007046C7">
        <w:rPr>
          <w:rFonts w:ascii="Arial" w:hAnsi="Arial" w:cs="Arial"/>
          <w:sz w:val="28"/>
          <w:szCs w:val="28"/>
          <w:lang w:eastAsia="bg-BG"/>
        </w:rPr>
        <w:t xml:space="preserve">, Снежина </w:t>
      </w:r>
      <w:proofErr w:type="spellStart"/>
      <w:r w:rsidR="007046C7" w:rsidRPr="007046C7">
        <w:rPr>
          <w:rFonts w:ascii="Arial" w:hAnsi="Arial" w:cs="Arial"/>
          <w:sz w:val="28"/>
          <w:szCs w:val="28"/>
          <w:lang w:eastAsia="bg-BG"/>
        </w:rPr>
        <w:t>Нацолова</w:t>
      </w:r>
      <w:proofErr w:type="spellEnd"/>
      <w:r w:rsidR="007046C7" w:rsidRPr="007046C7">
        <w:rPr>
          <w:rFonts w:ascii="Arial" w:hAnsi="Arial" w:cs="Arial"/>
          <w:sz w:val="28"/>
          <w:szCs w:val="28"/>
          <w:lang w:eastAsia="bg-BG"/>
        </w:rPr>
        <w:t xml:space="preserve"> Станкович,  Ели </w:t>
      </w:r>
      <w:r w:rsidR="007046C7" w:rsidRPr="007046C7">
        <w:rPr>
          <w:rFonts w:ascii="Arial" w:hAnsi="Arial" w:cs="Arial"/>
          <w:sz w:val="28"/>
          <w:szCs w:val="28"/>
          <w:lang w:eastAsia="bg-BG"/>
        </w:rPr>
        <w:lastRenderedPageBreak/>
        <w:t>Георгиева Вучкова – обезщетение в размер 5000 евро за неимуществени вреди и 2500 евро за разходи и разноски;</w:t>
      </w:r>
    </w:p>
    <w:p w14:paraId="77C0D314" w14:textId="34023EE6" w:rsidR="007046C7" w:rsidRPr="007046C7" w:rsidRDefault="00842762" w:rsidP="001327EE">
      <w:pPr>
        <w:pStyle w:val="ListParagraph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  <w:lang w:eastAsia="bg-BG"/>
        </w:rPr>
      </w:pPr>
      <w:proofErr w:type="spellStart"/>
      <w:r>
        <w:rPr>
          <w:rFonts w:ascii="Arial" w:hAnsi="Arial" w:cs="Arial"/>
          <w:sz w:val="28"/>
          <w:szCs w:val="28"/>
          <w:lang w:eastAsia="bg-BG"/>
        </w:rPr>
        <w:t>бб</w:t>
      </w:r>
      <w:proofErr w:type="spellEnd"/>
      <w:r>
        <w:rPr>
          <w:rFonts w:ascii="Arial" w:hAnsi="Arial" w:cs="Arial"/>
          <w:sz w:val="28"/>
          <w:szCs w:val="28"/>
          <w:lang w:eastAsia="bg-BG"/>
        </w:rPr>
        <w:t>)</w:t>
      </w:r>
      <w:r w:rsidR="007046C7" w:rsidRPr="007046C7">
        <w:rPr>
          <w:rFonts w:ascii="Arial" w:hAnsi="Arial" w:cs="Arial"/>
          <w:sz w:val="28"/>
          <w:szCs w:val="28"/>
          <w:lang w:eastAsia="bg-BG"/>
        </w:rPr>
        <w:t xml:space="preserve"> на процесуалния представител на жалбоподателите – адвокатско дружество „Екимджиев и партньори“ – сумата 181 евро за разходи и разноски и 70,80 лева за </w:t>
      </w:r>
      <w:r>
        <w:rPr>
          <w:rFonts w:ascii="Arial" w:hAnsi="Arial" w:cs="Arial"/>
          <w:sz w:val="28"/>
          <w:szCs w:val="28"/>
          <w:lang w:eastAsia="bg-BG"/>
        </w:rPr>
        <w:t>данък върху добавената стойност</w:t>
      </w:r>
      <w:r w:rsidR="003E2660">
        <w:rPr>
          <w:rFonts w:ascii="Arial" w:hAnsi="Arial" w:cs="Arial"/>
          <w:sz w:val="28"/>
          <w:szCs w:val="28"/>
          <w:lang w:eastAsia="bg-BG"/>
        </w:rPr>
        <w:t>.</w:t>
      </w:r>
    </w:p>
    <w:p w14:paraId="3B6E8DAB" w14:textId="2978C065" w:rsidR="007046C7" w:rsidRPr="007046C7" w:rsidRDefault="007046C7" w:rsidP="001327EE">
      <w:pPr>
        <w:spacing w:before="120"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7046C7">
        <w:rPr>
          <w:rFonts w:ascii="Arial" w:hAnsi="Arial" w:cs="Arial"/>
          <w:b/>
          <w:sz w:val="28"/>
          <w:szCs w:val="28"/>
          <w:lang w:val="bg-BG"/>
        </w:rPr>
        <w:t>3.</w:t>
      </w:r>
      <w:r w:rsidRPr="007046C7">
        <w:rPr>
          <w:rFonts w:ascii="Arial" w:hAnsi="Arial" w:cs="Arial"/>
          <w:sz w:val="28"/>
          <w:szCs w:val="28"/>
          <w:lang w:val="bg-BG"/>
        </w:rPr>
        <w:t xml:space="preserve"> Одобрява допълнителни разходи по бюджета на Министерството на правосъдието за 2025 г. в размер 58 166 лв. - левова</w:t>
      </w:r>
      <w:r w:rsidR="00842762">
        <w:rPr>
          <w:rFonts w:ascii="Arial" w:hAnsi="Arial" w:cs="Arial"/>
          <w:sz w:val="28"/>
          <w:szCs w:val="28"/>
          <w:lang w:val="bg-BG"/>
        </w:rPr>
        <w:t>та</w:t>
      </w:r>
      <w:r w:rsidRPr="007046C7">
        <w:rPr>
          <w:rFonts w:ascii="Arial" w:hAnsi="Arial" w:cs="Arial"/>
          <w:sz w:val="28"/>
          <w:szCs w:val="28"/>
          <w:lang w:val="bg-BG"/>
        </w:rPr>
        <w:t xml:space="preserve"> равностойност на дължимата сума по т. 2</w:t>
      </w:r>
      <w:r w:rsidR="00842762">
        <w:rPr>
          <w:rFonts w:ascii="Arial" w:hAnsi="Arial" w:cs="Arial"/>
          <w:sz w:val="28"/>
          <w:szCs w:val="28"/>
          <w:lang w:val="bg-BG"/>
        </w:rPr>
        <w:t>,</w:t>
      </w:r>
      <w:r w:rsidRPr="007046C7">
        <w:rPr>
          <w:rFonts w:ascii="Arial" w:hAnsi="Arial" w:cs="Arial"/>
          <w:sz w:val="28"/>
          <w:szCs w:val="28"/>
          <w:lang w:val="bg-BG"/>
        </w:rPr>
        <w:t xml:space="preserve"> за сметка на предвидените разходи по централния бюджет за 2025 г.</w:t>
      </w:r>
    </w:p>
    <w:p w14:paraId="1B3DA613" w14:textId="2422276E" w:rsidR="007046C7" w:rsidRPr="007046C7" w:rsidRDefault="007046C7" w:rsidP="001327E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046C7">
        <w:rPr>
          <w:rFonts w:ascii="Arial" w:hAnsi="Arial" w:cs="Arial"/>
          <w:b/>
          <w:sz w:val="28"/>
          <w:szCs w:val="28"/>
          <w:lang w:val="bg-BG"/>
        </w:rPr>
        <w:t>4.</w:t>
      </w:r>
      <w:r w:rsidRPr="007046C7">
        <w:rPr>
          <w:rFonts w:ascii="Arial" w:hAnsi="Arial" w:cs="Arial"/>
          <w:sz w:val="28"/>
          <w:szCs w:val="28"/>
          <w:lang w:val="bg-BG"/>
        </w:rPr>
        <w:t xml:space="preserve"> Със сумата по т. 3 се увеличават разходите по бюджета на Министерството на правосъдието за 2025 г. по  „Политика в областта на правосъдието“, бюджетна програма „Правна рамка за функционирането на съдебната система”.</w:t>
      </w:r>
    </w:p>
    <w:p w14:paraId="2718EF49" w14:textId="340AF9E9" w:rsidR="007046C7" w:rsidRPr="007046C7" w:rsidRDefault="007046C7" w:rsidP="001327E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046C7">
        <w:rPr>
          <w:rFonts w:ascii="Arial" w:hAnsi="Arial" w:cs="Arial"/>
          <w:b/>
          <w:sz w:val="28"/>
          <w:szCs w:val="28"/>
          <w:lang w:val="bg-BG"/>
        </w:rPr>
        <w:t>5.</w:t>
      </w:r>
      <w:r w:rsidRPr="007046C7">
        <w:rPr>
          <w:rFonts w:ascii="Arial" w:hAnsi="Arial" w:cs="Arial"/>
          <w:sz w:val="28"/>
          <w:szCs w:val="28"/>
          <w:lang w:val="bg-BG"/>
        </w:rPr>
        <w:t xml:space="preserve"> Със сумата по т. 3 да се увеличат показателите по чл. 13, ал. 3 от Закона за държавния бюджет на Република България за </w:t>
      </w:r>
      <w:r w:rsidR="00842762">
        <w:rPr>
          <w:rFonts w:ascii="Arial" w:hAnsi="Arial" w:cs="Arial"/>
          <w:sz w:val="28"/>
          <w:szCs w:val="28"/>
          <w:lang w:val="bg-BG"/>
        </w:rPr>
        <w:br/>
      </w:r>
      <w:r w:rsidRPr="007046C7">
        <w:rPr>
          <w:rFonts w:ascii="Arial" w:hAnsi="Arial" w:cs="Arial"/>
          <w:sz w:val="28"/>
          <w:szCs w:val="28"/>
          <w:lang w:val="bg-BG"/>
        </w:rPr>
        <w:t>2025 г.</w:t>
      </w:r>
    </w:p>
    <w:p w14:paraId="02A088D5" w14:textId="718C5E99" w:rsidR="007046C7" w:rsidRPr="007046C7" w:rsidRDefault="007046C7" w:rsidP="001327E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046C7">
        <w:rPr>
          <w:rFonts w:ascii="Arial" w:hAnsi="Arial" w:cs="Arial"/>
          <w:b/>
          <w:sz w:val="28"/>
          <w:szCs w:val="28"/>
          <w:lang w:val="bg-BG"/>
        </w:rPr>
        <w:t>6.</w:t>
      </w:r>
      <w:r w:rsidRPr="007046C7">
        <w:rPr>
          <w:rFonts w:ascii="Arial" w:hAnsi="Arial" w:cs="Arial"/>
          <w:sz w:val="28"/>
          <w:szCs w:val="28"/>
          <w:lang w:val="bg-BG"/>
        </w:rPr>
        <w:t xml:space="preserve"> Министърът на правосъдието да направи съответните промени по бюджета на Министерството на правосъдието за 2025 г. и да уведоми министъра на финансите.</w:t>
      </w:r>
    </w:p>
    <w:p w14:paraId="63AE0787" w14:textId="31160001" w:rsidR="007046C7" w:rsidRPr="007046C7" w:rsidRDefault="007046C7" w:rsidP="001327E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046C7">
        <w:rPr>
          <w:rFonts w:ascii="Arial" w:hAnsi="Arial" w:cs="Arial"/>
          <w:b/>
          <w:sz w:val="28"/>
          <w:szCs w:val="28"/>
          <w:lang w:val="bg-BG"/>
        </w:rPr>
        <w:t>7.</w:t>
      </w:r>
      <w:r w:rsidRPr="007046C7">
        <w:rPr>
          <w:rFonts w:ascii="Arial" w:hAnsi="Arial" w:cs="Arial"/>
          <w:sz w:val="28"/>
          <w:szCs w:val="28"/>
          <w:lang w:val="bg-BG"/>
        </w:rPr>
        <w:t xml:space="preserve"> Министърът на финансите да извърши произтичащите от т. 3 промени по централния бюджет за 2025 г.</w:t>
      </w:r>
    </w:p>
    <w:p w14:paraId="0C1E80E8" w14:textId="77777777" w:rsidR="00F322F9" w:rsidRDefault="00F322F9" w:rsidP="00842762">
      <w:pPr>
        <w:pStyle w:val="BodyText"/>
        <w:spacing w:before="120"/>
        <w:ind w:firstLine="1134"/>
        <w:jc w:val="both"/>
        <w:rPr>
          <w:b w:val="0"/>
        </w:rPr>
      </w:pPr>
    </w:p>
    <w:p w14:paraId="093CE795" w14:textId="77777777" w:rsidR="005155B7" w:rsidRPr="00464D4D" w:rsidRDefault="005155B7" w:rsidP="00842762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842762">
      <w:pPr>
        <w:pStyle w:val="BodyText"/>
        <w:spacing w:before="120"/>
        <w:ind w:firstLine="1134"/>
        <w:jc w:val="both"/>
        <w:rPr>
          <w:b w:val="0"/>
        </w:rPr>
      </w:pPr>
    </w:p>
    <w:p w14:paraId="775CDD01" w14:textId="77777777" w:rsidR="005155B7" w:rsidRPr="00657F87" w:rsidRDefault="005155B7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4097775C" w14:textId="77777777" w:rsidR="005155B7" w:rsidRPr="00657F87" w:rsidRDefault="005155B7">
      <w:pPr>
        <w:ind w:firstLine="1134"/>
        <w:rPr>
          <w:rFonts w:ascii="Arial" w:hAnsi="Arial" w:cs="Arial"/>
          <w:b/>
        </w:rPr>
      </w:pPr>
    </w:p>
    <w:p w14:paraId="0DCAD1FA" w14:textId="77777777" w:rsidR="005155B7" w:rsidRPr="00657F87" w:rsidRDefault="005155B7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38E61739" w14:textId="77777777" w:rsidR="005155B7" w:rsidRPr="00657F87" w:rsidRDefault="005155B7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6E15B068" w14:textId="77777777" w:rsidR="005155B7" w:rsidRPr="00657F87" w:rsidRDefault="005155B7">
      <w:pPr>
        <w:ind w:left="1134"/>
        <w:rPr>
          <w:rFonts w:ascii="Arial" w:hAnsi="Arial" w:cs="Arial"/>
          <w:b/>
        </w:rPr>
      </w:pPr>
    </w:p>
    <w:sectPr w:rsidR="005155B7" w:rsidRPr="00657F87" w:rsidSect="00842762">
      <w:headerReference w:type="even" r:id="rId7"/>
      <w:headerReference w:type="default" r:id="rId8"/>
      <w:footerReference w:type="first" r:id="rId9"/>
      <w:pgSz w:w="11907" w:h="16840" w:code="9"/>
      <w:pgMar w:top="568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A04B3" w14:textId="77777777" w:rsidR="007B1F09" w:rsidRDefault="007B1F09">
      <w:r>
        <w:separator/>
      </w:r>
    </w:p>
  </w:endnote>
  <w:endnote w:type="continuationSeparator" w:id="0">
    <w:p w14:paraId="1CBA4EB1" w14:textId="77777777" w:rsidR="007B1F09" w:rsidRDefault="007B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37FB15C3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512FF5F2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B49CF" w14:textId="77777777" w:rsidR="007B1F09" w:rsidRDefault="007B1F09">
      <w:r>
        <w:separator/>
      </w:r>
    </w:p>
  </w:footnote>
  <w:footnote w:type="continuationSeparator" w:id="0">
    <w:p w14:paraId="7B5876A2" w14:textId="77777777" w:rsidR="007B1F09" w:rsidRDefault="007B1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3252C422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2762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27EE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6B1F"/>
    <w:rsid w:val="002A36FC"/>
    <w:rsid w:val="002A45D5"/>
    <w:rsid w:val="002B4C92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91819"/>
    <w:rsid w:val="00394B6E"/>
    <w:rsid w:val="00397C5E"/>
    <w:rsid w:val="003A337E"/>
    <w:rsid w:val="003B72E2"/>
    <w:rsid w:val="003C30E0"/>
    <w:rsid w:val="003E2660"/>
    <w:rsid w:val="003E6849"/>
    <w:rsid w:val="003F4DDF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55B7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6F9"/>
    <w:rsid w:val="005F26D1"/>
    <w:rsid w:val="005F7243"/>
    <w:rsid w:val="00603370"/>
    <w:rsid w:val="00604566"/>
    <w:rsid w:val="00614420"/>
    <w:rsid w:val="00617C8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46C7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4F35"/>
    <w:rsid w:val="00770007"/>
    <w:rsid w:val="0078295A"/>
    <w:rsid w:val="0078486E"/>
    <w:rsid w:val="00787821"/>
    <w:rsid w:val="007A26A9"/>
    <w:rsid w:val="007A5638"/>
    <w:rsid w:val="007B14F9"/>
    <w:rsid w:val="007B1F0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42762"/>
    <w:rsid w:val="00847CFD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2AEB"/>
    <w:rsid w:val="009138BE"/>
    <w:rsid w:val="009177C5"/>
    <w:rsid w:val="00920FA0"/>
    <w:rsid w:val="009235DE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4214"/>
    <w:rsid w:val="00CF55F0"/>
    <w:rsid w:val="00D00089"/>
    <w:rsid w:val="00D13941"/>
    <w:rsid w:val="00D2337C"/>
    <w:rsid w:val="00D258A2"/>
    <w:rsid w:val="00D3331C"/>
    <w:rsid w:val="00D33F4F"/>
    <w:rsid w:val="00D4663C"/>
    <w:rsid w:val="00D53E7B"/>
    <w:rsid w:val="00D72A02"/>
    <w:rsid w:val="00D8797A"/>
    <w:rsid w:val="00D90055"/>
    <w:rsid w:val="00DA6F67"/>
    <w:rsid w:val="00DA7B4F"/>
    <w:rsid w:val="00DB238A"/>
    <w:rsid w:val="00DB77D3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41FE8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3683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paragraph" w:styleId="ListParagraph">
    <w:name w:val="List Paragraph"/>
    <w:basedOn w:val="Normal"/>
    <w:uiPriority w:val="99"/>
    <w:qFormat/>
    <w:rsid w:val="007046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2025-11-12T15:47:00Z</dcterms:created>
  <dcterms:modified xsi:type="dcterms:W3CDTF">2025-11-12T15:47:00Z</dcterms:modified>
</cp:coreProperties>
</file>